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北京市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门头沟区市场监督管理局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2023年政府信息公开工作年度报告</w:t>
      </w:r>
    </w:p>
    <w:p>
      <w:pPr>
        <w:spacing w:line="560" w:lineRule="exact"/>
        <w:jc w:val="center"/>
        <w:rPr>
          <w:sz w:val="44"/>
          <w:szCs w:val="44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</w:t>
      </w:r>
    </w:p>
    <w:p>
      <w:pPr>
        <w:widowControl/>
        <w:spacing w:line="560" w:lineRule="exact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微软雅黑" w:hAnsi="微软雅黑" w:eastAsia="微软雅黑" w:cs="宋体"/>
          <w:color w:val="404040"/>
          <w:kern w:val="0"/>
          <w:sz w:val="24"/>
        </w:rPr>
        <w:t>　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依据《中华人民共和国政府信息公开条例》(以下简称《政府信息公开条例》)第五十条规定，编制本报告。</w:t>
      </w:r>
    </w:p>
    <w:p>
      <w:pPr>
        <w:widowControl/>
        <w:spacing w:line="560" w:lineRule="exact"/>
        <w:ind w:firstLine="672" w:firstLineChars="200"/>
        <w:jc w:val="left"/>
        <w:rPr>
          <w:rFonts w:ascii="黑体" w:hAnsi="黑体" w:eastAsia="黑体" w:cs="宋体"/>
          <w:spacing w:val="8"/>
          <w:kern w:val="0"/>
          <w:sz w:val="32"/>
          <w:szCs w:val="32"/>
        </w:rPr>
      </w:pPr>
      <w:r>
        <w:rPr>
          <w:rFonts w:ascii="黑体" w:hAnsi="黑体" w:eastAsia="黑体" w:cs="宋体"/>
          <w:spacing w:val="8"/>
          <w:kern w:val="0"/>
          <w:sz w:val="32"/>
          <w:szCs w:val="32"/>
        </w:rPr>
        <w:t>一、总体情况</w:t>
      </w:r>
    </w:p>
    <w:p>
      <w:pPr>
        <w:widowControl/>
        <w:spacing w:line="560" w:lineRule="exact"/>
        <w:ind w:firstLine="675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2023年，区市场监管局在区委、区政府的正确指导下，进一步加强组织领导，认真落实政府信息公开各项制度,不断提升信息公开水平，有效保障人民群众的知情权和监督权，在依法行政、民生保障等方面起到了积极有力的推动作用。</w:t>
      </w:r>
    </w:p>
    <w:p>
      <w:pPr>
        <w:widowControl/>
        <w:spacing w:line="560" w:lineRule="exact"/>
        <w:ind w:firstLine="675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（一）主动公开。2023年度，区市场监管局通过政府信息网站公开各类政策文件、监管执法、工作动态等信息111条；通过各级媒体发布信息735条；全年处理并行政许可事项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25627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条；处理并公开行政处罚事项</w:t>
      </w:r>
      <w:r>
        <w:rPr>
          <w:rFonts w:ascii="仿宋_GB2312" w:hAnsi="宋体" w:eastAsia="仿宋_GB2312" w:cs="宋体"/>
          <w:spacing w:val="8"/>
          <w:kern w:val="0"/>
          <w:sz w:val="32"/>
          <w:szCs w:val="32"/>
        </w:rPr>
        <w:t>1039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条。</w:t>
      </w:r>
    </w:p>
    <w:p>
      <w:pPr>
        <w:widowControl/>
        <w:spacing w:line="560" w:lineRule="exact"/>
        <w:ind w:firstLine="675"/>
        <w:jc w:val="left"/>
        <w:rPr>
          <w:rFonts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（二）依申请公开。2023年度，区市场监管局共收到政府信息公开申请4件，全部为网络申请，目前已全部办结。依申请公开答复为信访投诉举报类事项3件，不予公开事项1件。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（三）行政复议和行政诉讼情况。2023年度，无针对我局有关政府信息公开的行政复议案件，亦无针对我局有关政府信息公开的行政诉讼案件。年度内我局未收到针对政府信息公开工作的投诉举报。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四）政府信息管理和监督保障情况。我局严格落实信息公开审查制度，加强信息发布前审核，确保发布的信息规范、及时、完整、准确。同时认真抓好政府信息公开自查自纠工作，针对自查发现的问题，认真分析原因、提出整改措施、限期完成整改工作，立行立改，确保整改到位。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2023年我局制发规范性文件3件，现行有效规范性文件4件。</w:t>
      </w:r>
    </w:p>
    <w:p>
      <w:pPr>
        <w:widowControl/>
        <w:spacing w:line="560" w:lineRule="exact"/>
        <w:ind w:firstLine="675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（五）政府信息公开平台建设情况。规范化建设区局政府信息公开专栏，结合区局职责和重点工作，及时准确公开群众普遍关心的食品安全、消费维权、营商环境、价格监管等重点内容。加强与新闻媒体互通联动，全年通过各级媒体发布政府信息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700余篇，积极营造良好的舆论环境。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主动公开政府信息情况</w:t>
      </w:r>
    </w:p>
    <w:p>
      <w:pPr>
        <w:pStyle w:val="2"/>
      </w:pPr>
    </w:p>
    <w:p>
      <w:pPr>
        <w:pStyle w:val="2"/>
      </w:pPr>
    </w:p>
    <w:tbl>
      <w:tblPr>
        <w:tblStyle w:val="8"/>
        <w:tblW w:w="97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24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25627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1039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/>
              </w:rPr>
              <w:t>17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97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Times New Roman" w:cs="宋体"/>
                <w:sz w:val="24"/>
              </w:rPr>
            </w:pPr>
            <w:r>
              <w:rPr>
                <w:rFonts w:hint="eastAsia"/>
              </w:rPr>
              <w:t>26.32万元</w:t>
            </w:r>
          </w:p>
        </w:tc>
      </w:tr>
    </w:tbl>
    <w:p>
      <w:pPr>
        <w:pStyle w:val="2"/>
      </w:pPr>
    </w:p>
    <w:p>
      <w:pPr>
        <w:spacing w:line="560" w:lineRule="exact"/>
        <w:ind w:left="63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三、收到和处理政府信息公开申请情况</w:t>
      </w:r>
    </w:p>
    <w:p>
      <w:pPr>
        <w:ind w:left="629"/>
        <w:rPr>
          <w:rFonts w:ascii="黑体" w:hAnsi="宋体" w:eastAsia="黑体" w:cs="黑体"/>
          <w:sz w:val="24"/>
        </w:rPr>
      </w:pP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8"/>
        <w:gridCol w:w="943"/>
        <w:gridCol w:w="3220"/>
        <w:gridCol w:w="688"/>
        <w:gridCol w:w="688"/>
        <w:gridCol w:w="688"/>
        <w:gridCol w:w="688"/>
        <w:gridCol w:w="688"/>
        <w:gridCol w:w="688"/>
        <w:gridCol w:w="6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7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restart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9" w:type="dxa"/>
            <w:vMerge w:val="restart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  <w:jc w:val="center"/>
        </w:trPr>
        <w:tc>
          <w:tcPr>
            <w:tcW w:w="4931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vMerge w:val="continue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商业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科研</w:t>
            </w:r>
          </w:p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color="auto" w:sz="8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89" w:type="dxa"/>
            <w:vMerge w:val="continue"/>
            <w:tcBorders>
              <w:top w:val="single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9BC2E6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" w:hRule="atLeast"/>
          <w:jc w:val="center"/>
        </w:trPr>
        <w:tc>
          <w:tcPr>
            <w:tcW w:w="4931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restart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（二）部分公开</w:t>
            </w: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single" w:color="auto" w:sz="0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restart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43" w:type="dxa"/>
            <w:vMerge w:val="continue"/>
            <w:tcBorders>
              <w:top w:val="inset" w:color="auto" w:sz="8" w:space="0"/>
              <w:left w:val="single" w:color="auto" w:sz="0" w:space="0"/>
              <w:bottom w:val="inset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8" w:type="dxa"/>
            <w:vMerge w:val="continue"/>
            <w:tcBorders>
              <w:top w:val="single" w:color="auto" w:sz="0" w:space="0"/>
              <w:left w:val="single" w:color="auto" w:sz="8" w:space="0"/>
              <w:bottom w:val="inset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6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57" w:type="dxa"/>
              <w:right w:w="57" w:type="dxa"/>
            </w:tcMar>
          </w:tcPr>
          <w:p>
            <w:pPr>
              <w:widowControl/>
              <w:jc w:val="center"/>
            </w:pPr>
            <w:r>
              <w:rPr>
                <w:rFonts w:hint="eastAsia" w:cs="Calibri"/>
                <w:kern w:val="0"/>
                <w:sz w:val="20"/>
                <w:szCs w:val="20"/>
              </w:rPr>
              <w:t>4</w:t>
            </w:r>
            <w:r>
              <w:rPr>
                <w:rFonts w:cs="Calibri"/>
                <w:kern w:val="0"/>
                <w:sz w:val="20"/>
                <w:szCs w:val="2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31" w:type="dxa"/>
            <w:gridSpan w:val="3"/>
            <w:tcBorders>
              <w:top w:val="single" w:color="auto" w:sz="0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宋体"/>
                <w:sz w:val="24"/>
              </w:rPr>
            </w:pPr>
            <w:r>
              <w:rPr>
                <w:rFonts w:hint="eastAsia" w:ascii="宋体" w:hAnsi="Times New Roman" w:cs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宋体"/>
                <w:sz w:val="24"/>
              </w:rPr>
            </w:pPr>
            <w:r>
              <w:rPr>
                <w:rFonts w:hint="eastAsia" w:ascii="宋体" w:hAnsi="Times New Roman" w:cs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宋体"/>
                <w:sz w:val="24"/>
              </w:rPr>
            </w:pPr>
            <w:r>
              <w:rPr>
                <w:rFonts w:hint="eastAsia" w:ascii="宋体" w:hAnsi="Times New Roman" w:cs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宋体"/>
                <w:sz w:val="24"/>
              </w:rPr>
            </w:pPr>
            <w:r>
              <w:rPr>
                <w:rFonts w:hint="eastAsia" w:ascii="宋体" w:hAnsi="Times New Roman" w:cs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宋体"/>
                <w:sz w:val="24"/>
              </w:rPr>
            </w:pPr>
            <w:r>
              <w:rPr>
                <w:rFonts w:hint="eastAsia" w:ascii="宋体" w:hAnsi="Times New Roman" w:cs="宋体"/>
                <w:sz w:val="24"/>
              </w:rPr>
              <w:t>0</w:t>
            </w:r>
          </w:p>
        </w:tc>
        <w:tc>
          <w:tcPr>
            <w:tcW w:w="688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宋体"/>
                <w:sz w:val="24"/>
              </w:rPr>
            </w:pPr>
            <w:r>
              <w:rPr>
                <w:rFonts w:hint="eastAsia" w:ascii="宋体" w:hAnsi="Times New Roman" w:cs="宋体"/>
                <w:sz w:val="24"/>
              </w:rPr>
              <w:t>0</w:t>
            </w:r>
          </w:p>
        </w:tc>
        <w:tc>
          <w:tcPr>
            <w:tcW w:w="689" w:type="dxa"/>
            <w:tcBorders>
              <w:top w:val="inset" w:color="auto" w:sz="6" w:space="0"/>
              <w:left w:val="single" w:color="auto" w:sz="0" w:space="0"/>
              <w:bottom w:val="inset" w:color="auto" w:sz="6" w:space="0"/>
              <w:right w:val="inset" w:color="auto" w:sz="6" w:space="0"/>
            </w:tcBorders>
            <w:vAlign w:val="center"/>
          </w:tcPr>
          <w:p>
            <w:pPr>
              <w:jc w:val="center"/>
              <w:rPr>
                <w:rFonts w:ascii="宋体" w:hAnsi="Times New Roman" w:cs="宋体"/>
                <w:sz w:val="24"/>
              </w:rPr>
            </w:pPr>
            <w:r>
              <w:rPr>
                <w:rFonts w:hint="eastAsia" w:ascii="宋体" w:hAnsi="Times New Roman" w:cs="宋体"/>
                <w:sz w:val="24"/>
              </w:rPr>
              <w:t>0</w:t>
            </w:r>
          </w:p>
        </w:tc>
      </w:tr>
    </w:tbl>
    <w:p>
      <w:pPr>
        <w:pStyle w:val="2"/>
        <w:widowControl/>
        <w:ind w:left="420" w:leftChars="200"/>
      </w:pPr>
    </w:p>
    <w:p>
      <w:pPr>
        <w:pStyle w:val="2"/>
        <w:widowControl/>
        <w:ind w:left="420" w:leftChars="200"/>
      </w:pPr>
    </w:p>
    <w:p>
      <w:pPr>
        <w:spacing w:line="560" w:lineRule="exact"/>
        <w:ind w:firstLine="640" w:firstLineChars="200"/>
        <w:rPr>
          <w:rFonts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四、政府信息公开行政复议、行政诉讼情况</w:t>
      </w:r>
    </w:p>
    <w:p>
      <w:pPr>
        <w:widowControl/>
        <w:jc w:val="center"/>
      </w:pPr>
    </w:p>
    <w:tbl>
      <w:tblPr>
        <w:tblStyle w:val="8"/>
        <w:tblW w:w="974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BDD7EE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DDEBF7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黑体" w:hAnsi="宋体" w:eastAsia="黑体" w:cs="黑体"/>
                <w:kern w:val="0"/>
                <w:sz w:val="20"/>
                <w:szCs w:val="20"/>
              </w:rPr>
              <w:t>0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宋体" w:hAnsi="Times New Roman" w:cs="宋体"/>
                <w:sz w:val="24"/>
              </w:rPr>
            </w:pPr>
            <w:r>
              <w:rPr>
                <w:rFonts w:hint="eastAsia" w:ascii="宋体" w:hAnsi="Times New Roman" w:cs="宋体"/>
                <w:sz w:val="24"/>
              </w:rPr>
              <w:t>0</w:t>
            </w:r>
          </w:p>
        </w:tc>
      </w:tr>
    </w:tbl>
    <w:p>
      <w:pPr>
        <w:widowControl/>
        <w:jc w:val="left"/>
      </w:pPr>
    </w:p>
    <w:p>
      <w:pPr>
        <w:widowControl/>
        <w:spacing w:line="560" w:lineRule="exact"/>
        <w:ind w:firstLine="672" w:firstLineChars="200"/>
        <w:jc w:val="left"/>
        <w:rPr>
          <w:rFonts w:ascii="宋体" w:hAnsi="宋体" w:cs="宋体"/>
          <w:spacing w:val="8"/>
          <w:kern w:val="0"/>
          <w:sz w:val="24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</w:rPr>
        <w:t>五、存在的主要问题及改进情况</w:t>
      </w:r>
    </w:p>
    <w:p>
      <w:pPr>
        <w:widowControl/>
        <w:spacing w:line="560" w:lineRule="exact"/>
        <w:ind w:firstLine="675"/>
        <w:jc w:val="left"/>
        <w:rPr>
          <w:rFonts w:ascii="仿宋_GB2312" w:hAnsi="宋体" w:eastAsia="仿宋_GB2312" w:cs="宋体"/>
          <w:b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spacing w:val="8"/>
          <w:kern w:val="0"/>
          <w:sz w:val="32"/>
          <w:szCs w:val="32"/>
        </w:rPr>
        <w:t>主要问题：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一是对区局各部门政府信息公开工作检查指导较少，执法人员业务能力仍需提升。二是政策解读方式需要丰富，精准解读效果仍需加强。</w:t>
      </w:r>
    </w:p>
    <w:p>
      <w:pPr>
        <w:widowControl/>
        <w:spacing w:line="560" w:lineRule="exact"/>
        <w:ind w:firstLine="675"/>
        <w:jc w:val="left"/>
        <w:rPr>
          <w:rFonts w:ascii="仿宋_GB2312" w:hAnsi="宋体" w:eastAsia="仿宋_GB2312" w:cs="宋体"/>
          <w:b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/>
          <w:spacing w:val="8"/>
          <w:kern w:val="0"/>
          <w:sz w:val="32"/>
          <w:szCs w:val="32"/>
        </w:rPr>
        <w:t>改进措施：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一是进一步规范和晚上政务公开的内容、形式，对涉及人民群众关心的重大问题、政策法规及时公开。二是组织业务培训和基层业务指导，进一步提升政务公开工作人员的业务能力和工作水平。</w:t>
      </w:r>
    </w:p>
    <w:p>
      <w:pPr>
        <w:widowControl/>
        <w:spacing w:line="560" w:lineRule="exact"/>
        <w:ind w:firstLine="675"/>
        <w:jc w:val="left"/>
        <w:rPr>
          <w:rFonts w:ascii="宋体" w:hAnsi="宋体" w:cs="宋体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宋体"/>
          <w:spacing w:val="8"/>
          <w:kern w:val="0"/>
          <w:sz w:val="32"/>
          <w:szCs w:val="32"/>
        </w:rPr>
        <w:t>六、其他需要报告的事项</w:t>
      </w:r>
    </w:p>
    <w:p>
      <w:pPr>
        <w:widowControl/>
        <w:spacing w:line="560" w:lineRule="exact"/>
        <w:jc w:val="left"/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</w:pPr>
      <w:r>
        <w:rPr>
          <w:rFonts w:hint="eastAsia" w:ascii="宋体" w:hAnsi="宋体" w:cs="宋体"/>
          <w:spacing w:val="8"/>
          <w:kern w:val="0"/>
          <w:sz w:val="32"/>
          <w:szCs w:val="32"/>
        </w:rPr>
        <w:t>　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依据《政府信息公开信息处理费管理办法》(国办函〔2020〕109号)，2023年度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eastAsia="zh-CN"/>
        </w:rPr>
        <w:t>门头沟区市场监督管理局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收取信息处理费情况为：发出收费通知的件数为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件，总金额为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元，实际收取的总金额为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72" w:firstLineChars="200"/>
        <w:jc w:val="left"/>
        <w:textAlignment w:val="auto"/>
        <w:outlineLvl w:val="9"/>
        <w:rPr>
          <w:rFonts w:ascii="仿宋_GB2312" w:hAnsi="宋体" w:eastAsia="仿宋_GB2312" w:cs="宋体"/>
          <w:color w:val="9BC2E6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8"/>
          <w:kern w:val="0"/>
          <w:sz w:val="32"/>
          <w:szCs w:val="32"/>
        </w:rPr>
        <w:t>北京市门头沟区人民政府网站网址为http://www.bjmtg.gov.cn/，如需了解更多政府信息，请登录查询。</w:t>
      </w:r>
    </w:p>
    <w:p>
      <w:pPr>
        <w:pStyle w:val="2"/>
        <w:widowControl/>
        <w:spacing w:line="560" w:lineRule="exact"/>
      </w:pPr>
    </w:p>
    <w:p>
      <w:pPr>
        <w:spacing w:line="560" w:lineRule="exact"/>
        <w:rPr>
          <w:rFonts w:ascii="黑体" w:hAnsi="宋体" w:eastAsia="黑体" w:cs="黑体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310ABD9-8349-433B-A511-815A5938D1A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0D76C11-4F31-4245-BDE7-8B3D5F1931F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436DDE3-A4BB-417D-8481-0CC38233C299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C8677CB3-A140-4D2B-AB5B-383A5BB5715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2A9EEB62-A83B-439D-A9D6-18ED57CABA60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C710CA3A-660F-433C-9E28-A9CD2163F064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FBF937"/>
    <w:multiLevelType w:val="singleLevel"/>
    <w:tmpl w:val="F8FBF93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2NjJjYWRiZWYzY2ViZDcxMWU0YjhkNjE4ZmUzZjEifQ=="/>
  </w:docVars>
  <w:rsids>
    <w:rsidRoot w:val="12EB65A5"/>
    <w:rsid w:val="0004621F"/>
    <w:rsid w:val="001219EA"/>
    <w:rsid w:val="001C1ED3"/>
    <w:rsid w:val="0021636F"/>
    <w:rsid w:val="002B795E"/>
    <w:rsid w:val="00341A14"/>
    <w:rsid w:val="004448A9"/>
    <w:rsid w:val="0048181F"/>
    <w:rsid w:val="005245F8"/>
    <w:rsid w:val="00575A75"/>
    <w:rsid w:val="005D22BC"/>
    <w:rsid w:val="00625F02"/>
    <w:rsid w:val="007662F4"/>
    <w:rsid w:val="007718A2"/>
    <w:rsid w:val="00842538"/>
    <w:rsid w:val="00856889"/>
    <w:rsid w:val="00866A63"/>
    <w:rsid w:val="00C42FAC"/>
    <w:rsid w:val="00C4591C"/>
    <w:rsid w:val="00CA153E"/>
    <w:rsid w:val="00D1725F"/>
    <w:rsid w:val="00D243F5"/>
    <w:rsid w:val="00E15028"/>
    <w:rsid w:val="00E47EB1"/>
    <w:rsid w:val="00F96177"/>
    <w:rsid w:val="0208294C"/>
    <w:rsid w:val="0339544E"/>
    <w:rsid w:val="0A00689C"/>
    <w:rsid w:val="12EB65A5"/>
    <w:rsid w:val="157B7FAB"/>
    <w:rsid w:val="17371930"/>
    <w:rsid w:val="174D5C54"/>
    <w:rsid w:val="191A6DA1"/>
    <w:rsid w:val="1D5D6E24"/>
    <w:rsid w:val="20977EB3"/>
    <w:rsid w:val="213E0B73"/>
    <w:rsid w:val="21AD09D2"/>
    <w:rsid w:val="25871C98"/>
    <w:rsid w:val="25B25B45"/>
    <w:rsid w:val="2E1B49FC"/>
    <w:rsid w:val="2EB35BD6"/>
    <w:rsid w:val="2EEE1E6F"/>
    <w:rsid w:val="2F2D192B"/>
    <w:rsid w:val="305D48EB"/>
    <w:rsid w:val="322E5B79"/>
    <w:rsid w:val="325B56DA"/>
    <w:rsid w:val="3330627F"/>
    <w:rsid w:val="37643766"/>
    <w:rsid w:val="3EAB7648"/>
    <w:rsid w:val="46322CD4"/>
    <w:rsid w:val="48475164"/>
    <w:rsid w:val="4DC23FB1"/>
    <w:rsid w:val="512A4665"/>
    <w:rsid w:val="5AD1170E"/>
    <w:rsid w:val="5FD760D2"/>
    <w:rsid w:val="60BC260E"/>
    <w:rsid w:val="61723263"/>
    <w:rsid w:val="643F20FC"/>
    <w:rsid w:val="71C61094"/>
    <w:rsid w:val="71C87E79"/>
    <w:rsid w:val="749008A3"/>
    <w:rsid w:val="7C792090"/>
    <w:rsid w:val="7DBD16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autoRedefine/>
    <w:unhideWhenUsed/>
    <w:qFormat/>
    <w:uiPriority w:val="1"/>
  </w:style>
  <w:style w:type="table" w:default="1" w:styleId="8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autoRedefine/>
    <w:qFormat/>
    <w:uiPriority w:val="0"/>
    <w:rPr>
      <w:rFonts w:ascii="宋体" w:hAnsi="Courier New"/>
    </w:rPr>
  </w:style>
  <w:style w:type="paragraph" w:styleId="4">
    <w:name w:val="annotation text"/>
    <w:basedOn w:val="1"/>
    <w:autoRedefine/>
    <w:qFormat/>
    <w:uiPriority w:val="0"/>
    <w:pPr>
      <w:jc w:val="left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link w:val="12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页眉 Char"/>
    <w:basedOn w:val="9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区委办公室</Company>
  <Pages>4</Pages>
  <Words>1507</Words>
  <Characters>638</Characters>
  <Lines>5</Lines>
  <Paragraphs>4</Paragraphs>
  <TotalTime>1</TotalTime>
  <ScaleCrop>false</ScaleCrop>
  <LinksUpToDate>false</LinksUpToDate>
  <CharactersWithSpaces>2141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2024-01-08T06:20:00Z</dcterms:created>
  <dc:creator>MRX</dc:creator>
  <cp:lastModifiedBy>slw</cp:lastModifiedBy>
  <cp:lastPrinted>2023-12-27T01:26:00Z</cp:lastPrinted>
  <dcterms:modified xsi:type="dcterms:W3CDTF">2024-01-22T02:57:20Z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E4D85335F88D4E02AF66AFF940AE8186_13</vt:lpwstr>
  </property>
</Properties>
</file>