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line="312" w:lineRule="auto"/>
        <w:outlineLvl w:val="1"/>
        <w:rPr>
          <w:rFonts w:ascii="Cambria" w:hAnsi="Cambria" w:eastAsia="宋体" w:cs="Times New Roman"/>
          <w:b/>
          <w:bCs/>
          <w:szCs w:val="21"/>
        </w:rPr>
      </w:pPr>
      <w:bookmarkStart w:id="0" w:name="_Toc396293518"/>
      <w:r>
        <w:rPr>
          <w:rFonts w:hint="eastAsia" w:ascii="Cambria" w:hAnsi="Cambria" w:eastAsia="宋体" w:cs="Times New Roman"/>
          <w:b/>
          <w:bCs/>
          <w:szCs w:val="21"/>
        </w:rPr>
        <w:t>附件</w:t>
      </w:r>
      <w:r>
        <w:rPr>
          <w:rFonts w:ascii="Cambria" w:hAnsi="Cambria" w:eastAsia="宋体" w:cs="Times New Roman"/>
          <w:b/>
          <w:bCs/>
          <w:szCs w:val="21"/>
        </w:rPr>
        <w:t>3</w:t>
      </w:r>
    </w:p>
    <w:p>
      <w:pPr>
        <w:keepNext/>
        <w:keepLines/>
        <w:spacing w:line="312" w:lineRule="auto"/>
        <w:jc w:val="center"/>
        <w:outlineLvl w:val="1"/>
        <w:rPr>
          <w:rFonts w:ascii="Cambria" w:hAnsi="Cambria" w:eastAsia="宋体" w:cs="Times New Roman"/>
          <w:b/>
          <w:bCs/>
          <w:sz w:val="52"/>
          <w:szCs w:val="52"/>
        </w:rPr>
      </w:pPr>
    </w:p>
    <w:bookmarkEnd w:id="0"/>
    <w:p>
      <w:pPr>
        <w:jc w:val="center"/>
        <w:rPr>
          <w:rFonts w:ascii="宋体" w:hAnsi="Times New Roman" w:eastAsia="宋体" w:cs="Times New Roman"/>
          <w:b/>
          <w:color w:val="000000"/>
          <w:sz w:val="48"/>
          <w:szCs w:val="48"/>
        </w:rPr>
      </w:pPr>
      <w:r>
        <w:rPr>
          <w:rFonts w:hint="eastAsia" w:ascii="宋体" w:hAnsi="宋体" w:eastAsia="宋体" w:cs="宋体"/>
          <w:b/>
          <w:color w:val="000000"/>
          <w:sz w:val="48"/>
          <w:szCs w:val="48"/>
        </w:rPr>
        <w:t>部门整体支出绩效自评报告</w:t>
      </w:r>
    </w:p>
    <w:p>
      <w:pPr>
        <w:jc w:val="center"/>
        <w:rPr>
          <w:rFonts w:ascii="宋体" w:hAnsi="宋体" w:eastAsia="宋体" w:cs="Times New Roman"/>
          <w:b/>
          <w:color w:val="000000"/>
          <w:sz w:val="48"/>
          <w:szCs w:val="48"/>
        </w:rPr>
      </w:pPr>
      <w:r>
        <w:rPr>
          <w:rFonts w:ascii="宋体" w:hAnsi="宋体" w:eastAsia="宋体" w:cs="Times New Roman"/>
          <w:b/>
          <w:color w:val="000000"/>
          <w:sz w:val="48"/>
          <w:szCs w:val="48"/>
        </w:rPr>
        <w:t>(202</w:t>
      </w:r>
      <w:r>
        <w:rPr>
          <w:rFonts w:hint="eastAsia" w:ascii="宋体" w:hAnsi="宋体" w:eastAsia="宋体" w:cs="Times New Roman"/>
          <w:b/>
          <w:color w:val="000000"/>
          <w:sz w:val="48"/>
          <w:szCs w:val="48"/>
        </w:rPr>
        <w:t>3</w:t>
      </w:r>
      <w:r>
        <w:rPr>
          <w:rFonts w:hint="eastAsia" w:ascii="宋体" w:hAnsi="宋体" w:eastAsia="宋体" w:cs="宋体"/>
          <w:b/>
          <w:color w:val="000000"/>
          <w:sz w:val="48"/>
          <w:szCs w:val="48"/>
        </w:rPr>
        <w:t>年度</w:t>
      </w:r>
      <w:r>
        <w:rPr>
          <w:rFonts w:ascii="宋体" w:hAnsi="宋体" w:eastAsia="宋体" w:cs="Times New Roman"/>
          <w:b/>
          <w:color w:val="000000"/>
          <w:sz w:val="48"/>
          <w:szCs w:val="48"/>
        </w:rPr>
        <w:t>)</w:t>
      </w:r>
    </w:p>
    <w:p>
      <w:pPr>
        <w:adjustRightInd w:val="0"/>
        <w:snapToGrid w:val="0"/>
        <w:spacing w:before="100" w:beforeAutospacing="1" w:after="100" w:afterAutospacing="1" w:line="312" w:lineRule="auto"/>
        <w:ind w:firstLine="636" w:firstLineChars="200"/>
        <w:rPr>
          <w:rFonts w:ascii="仿宋_GB2312" w:hAnsi="宋体" w:eastAsia="仿宋_GB2312" w:cs="Times New Roman"/>
          <w:color w:val="000000"/>
          <w:sz w:val="32"/>
          <w:szCs w:val="32"/>
        </w:rPr>
      </w:pPr>
    </w:p>
    <w:p>
      <w:pPr>
        <w:adjustRightInd w:val="0"/>
        <w:snapToGrid w:val="0"/>
        <w:spacing w:before="100" w:beforeAutospacing="1" w:after="100" w:afterAutospacing="1" w:line="312" w:lineRule="auto"/>
        <w:ind w:firstLine="636" w:firstLineChars="200"/>
        <w:rPr>
          <w:rFonts w:ascii="仿宋_GB2312" w:hAnsi="宋体" w:eastAsia="仿宋_GB2312" w:cs="Times New Roman"/>
          <w:color w:val="000000"/>
          <w:sz w:val="32"/>
          <w:szCs w:val="32"/>
        </w:rPr>
      </w:pPr>
    </w:p>
    <w:p>
      <w:pPr>
        <w:adjustRightInd w:val="0"/>
        <w:snapToGrid w:val="0"/>
        <w:spacing w:before="100" w:beforeAutospacing="1" w:after="100" w:afterAutospacing="1" w:line="312" w:lineRule="auto"/>
        <w:ind w:firstLine="636" w:firstLineChars="200"/>
        <w:rPr>
          <w:rFonts w:ascii="仿宋_GB2312" w:hAnsi="宋体" w:eastAsia="仿宋_GB2312" w:cs="Times New Roman"/>
          <w:color w:val="000000"/>
          <w:sz w:val="32"/>
          <w:szCs w:val="32"/>
        </w:rPr>
      </w:pPr>
    </w:p>
    <w:p>
      <w:pPr>
        <w:adjustRightInd w:val="0"/>
        <w:snapToGrid w:val="0"/>
        <w:spacing w:before="100" w:beforeAutospacing="1" w:after="100" w:afterAutospacing="1" w:line="312" w:lineRule="auto"/>
        <w:rPr>
          <w:rFonts w:ascii="宋体" w:hAnsi="Times New Roman" w:eastAsia="宋体" w:cs="Times New Roman"/>
          <w:color w:val="000000"/>
          <w:sz w:val="32"/>
          <w:szCs w:val="32"/>
        </w:rPr>
      </w:pPr>
    </w:p>
    <w:p>
      <w:pPr>
        <w:spacing w:line="360" w:lineRule="auto"/>
        <w:ind w:firstLine="1059" w:firstLineChars="333"/>
        <w:jc w:val="left"/>
        <w:rPr>
          <w:rFonts w:ascii="宋体" w:hAnsi="宋体" w:eastAsia="宋体" w:cs="Times New Roman"/>
          <w:b/>
          <w:color w:val="000000"/>
          <w:spacing w:val="-14"/>
          <w:sz w:val="32"/>
          <w:szCs w:val="32"/>
          <w:u w:val="single"/>
        </w:rPr>
      </w:pPr>
      <w:r>
        <w:rPr>
          <w:rFonts w:hint="eastAsia" w:ascii="宋体" w:hAnsi="宋体" w:eastAsia="宋体" w:cs="宋体"/>
          <w:b/>
          <w:color w:val="000000"/>
          <w:sz w:val="32"/>
          <w:szCs w:val="32"/>
        </w:rPr>
        <w:t>部门名称：</w:t>
      </w:r>
      <w:r>
        <w:rPr>
          <w:rFonts w:ascii="宋体" w:hAnsi="宋体" w:eastAsia="宋体" w:cs="Times New Roman"/>
          <w:b/>
          <w:color w:val="000000"/>
          <w:spacing w:val="-14"/>
          <w:sz w:val="32"/>
          <w:szCs w:val="32"/>
        </w:rPr>
        <w:t xml:space="preserve"> </w:t>
      </w:r>
      <w:r>
        <w:rPr>
          <w:rFonts w:ascii="宋体" w:hAnsi="宋体" w:eastAsia="宋体" w:cs="Times New Roman"/>
          <w:b/>
          <w:color w:val="000000"/>
          <w:spacing w:val="-14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Times New Roman"/>
          <w:b/>
          <w:color w:val="000000"/>
          <w:spacing w:val="-14"/>
          <w:sz w:val="32"/>
          <w:szCs w:val="32"/>
          <w:u w:val="single"/>
          <w:lang w:eastAsia="zh-CN"/>
        </w:rPr>
        <w:t>北京市门头沟区市场监督管理局</w:t>
      </w:r>
      <w:r>
        <w:rPr>
          <w:rFonts w:hint="eastAsia" w:ascii="宋体" w:hAnsi="宋体" w:eastAsia="宋体" w:cs="宋体"/>
          <w:b/>
          <w:sz w:val="32"/>
          <w:szCs w:val="32"/>
          <w:u w:val="single"/>
        </w:rPr>
        <w:t>（盖章）</w:t>
      </w:r>
      <w:r>
        <w:rPr>
          <w:rFonts w:ascii="宋体" w:hAnsi="宋体" w:eastAsia="宋体" w:cs="宋体"/>
          <w:b/>
          <w:sz w:val="32"/>
          <w:szCs w:val="32"/>
          <w:u w:val="single"/>
        </w:rPr>
        <w:t xml:space="preserve">    </w:t>
      </w:r>
      <w:r>
        <w:rPr>
          <w:rFonts w:ascii="宋体" w:hAnsi="宋体" w:eastAsia="宋体" w:cs="Times New Roman"/>
          <w:b/>
          <w:color w:val="000000"/>
          <w:spacing w:val="-14"/>
          <w:sz w:val="32"/>
          <w:szCs w:val="32"/>
          <w:u w:val="single"/>
        </w:rPr>
        <w:t xml:space="preserve">      </w:t>
      </w:r>
    </w:p>
    <w:p>
      <w:pPr>
        <w:spacing w:line="360" w:lineRule="auto"/>
        <w:ind w:firstLine="1059" w:firstLineChars="333"/>
        <w:jc w:val="left"/>
        <w:rPr>
          <w:rFonts w:ascii="宋体" w:hAnsi="宋体" w:eastAsia="宋体" w:cs="Times New Roman"/>
          <w:b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color w:val="000000"/>
          <w:sz w:val="32"/>
          <w:szCs w:val="32"/>
        </w:rPr>
        <w:t>填报日期：</w:t>
      </w:r>
      <w:r>
        <w:rPr>
          <w:rFonts w:ascii="宋体" w:hAnsi="宋体" w:eastAsia="宋体" w:cs="Times New Roman"/>
          <w:b/>
          <w:color w:val="000000"/>
          <w:sz w:val="32"/>
          <w:szCs w:val="32"/>
        </w:rPr>
        <w:t xml:space="preserve"> </w:t>
      </w:r>
      <w:r>
        <w:rPr>
          <w:rFonts w:ascii="宋体" w:hAnsi="宋体" w:eastAsia="宋体" w:cs="Times New Roman"/>
          <w:b/>
          <w:color w:val="000000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Times New Roman"/>
          <w:b/>
          <w:color w:val="000000"/>
          <w:sz w:val="32"/>
          <w:szCs w:val="32"/>
          <w:u w:val="single"/>
          <w:lang w:val="en-US" w:eastAsia="zh-CN"/>
        </w:rPr>
        <w:t xml:space="preserve">      2024</w:t>
      </w:r>
      <w:r>
        <w:rPr>
          <w:rFonts w:hint="eastAsia" w:ascii="宋体" w:hAnsi="宋体" w:eastAsia="宋体" w:cs="宋体"/>
          <w:b/>
          <w:color w:val="000000"/>
          <w:sz w:val="32"/>
          <w:szCs w:val="32"/>
          <w:u w:val="single"/>
        </w:rPr>
        <w:t>年</w:t>
      </w:r>
      <w:r>
        <w:rPr>
          <w:rFonts w:hint="eastAsia" w:ascii="宋体" w:hAnsi="宋体" w:eastAsia="宋体" w:cs="Times New Roman"/>
          <w:b/>
          <w:color w:val="000000"/>
          <w:sz w:val="32"/>
          <w:szCs w:val="32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sz w:val="32"/>
          <w:szCs w:val="32"/>
          <w:u w:val="single"/>
        </w:rPr>
        <w:t>月</w:t>
      </w:r>
      <w:r>
        <w:rPr>
          <w:rFonts w:hint="eastAsia" w:ascii="宋体" w:hAnsi="宋体" w:eastAsia="宋体" w:cs="Times New Roman"/>
          <w:b/>
          <w:sz w:val="32"/>
          <w:szCs w:val="32"/>
          <w:u w:val="single"/>
          <w:lang w:val="en-US" w:eastAsia="zh-CN"/>
        </w:rPr>
        <w:t>10</w:t>
      </w:r>
      <w:r>
        <w:rPr>
          <w:rFonts w:hint="eastAsia" w:ascii="宋体" w:hAnsi="宋体" w:eastAsia="宋体" w:cs="宋体"/>
          <w:b/>
          <w:sz w:val="32"/>
          <w:szCs w:val="32"/>
          <w:u w:val="single"/>
        </w:rPr>
        <w:t>日</w:t>
      </w:r>
      <w:r>
        <w:rPr>
          <w:rFonts w:ascii="宋体" w:hAnsi="宋体" w:eastAsia="宋体" w:cs="Times New Roman"/>
          <w:b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Times New Roman"/>
          <w:b/>
          <w:color w:val="00000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ascii="宋体" w:hAnsi="宋体" w:eastAsia="宋体" w:cs="Times New Roman"/>
          <w:b/>
          <w:color w:val="000000"/>
          <w:sz w:val="32"/>
          <w:szCs w:val="32"/>
          <w:u w:val="single"/>
        </w:rPr>
        <w:t xml:space="preserve">   </w:t>
      </w:r>
    </w:p>
    <w:p>
      <w:pPr>
        <w:adjustRightInd w:val="0"/>
        <w:snapToGrid w:val="0"/>
        <w:spacing w:before="100" w:beforeAutospacing="1" w:after="100" w:afterAutospacing="1" w:line="312" w:lineRule="auto"/>
        <w:ind w:firstLine="1310" w:firstLineChars="412"/>
        <w:rPr>
          <w:rFonts w:ascii="仿宋_GB2312" w:hAnsi="宋体" w:eastAsia="仿宋_GB2312" w:cs="Times New Roman"/>
          <w:color w:val="000000"/>
          <w:sz w:val="32"/>
          <w:szCs w:val="32"/>
        </w:rPr>
      </w:pPr>
    </w:p>
    <w:p>
      <w:pPr>
        <w:adjustRightInd w:val="0"/>
        <w:snapToGrid w:val="0"/>
        <w:spacing w:before="100" w:beforeAutospacing="1" w:after="100" w:afterAutospacing="1" w:line="312" w:lineRule="auto"/>
        <w:ind w:firstLine="1310" w:firstLineChars="412"/>
        <w:rPr>
          <w:rFonts w:hint="eastAsia" w:ascii="宋体" w:hAnsi="Times New Roman" w:eastAsia="宋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宋体" w:hAnsi="Times New Roman" w:eastAsia="宋体" w:cs="Times New Roman"/>
          <w:color w:val="000000"/>
          <w:sz w:val="32"/>
          <w:szCs w:val="32"/>
          <w:lang w:val="en-US" w:eastAsia="zh-CN"/>
        </w:rPr>
        <w:t xml:space="preserve">   </w:t>
      </w:r>
    </w:p>
    <w:p>
      <w:pPr>
        <w:widowControl/>
        <w:adjustRightInd w:val="0"/>
        <w:snapToGrid w:val="0"/>
        <w:spacing w:before="100" w:beforeAutospacing="1" w:after="100" w:afterAutospacing="1" w:line="312" w:lineRule="auto"/>
        <w:ind w:right="45" w:firstLine="476" w:firstLineChars="200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before="100" w:beforeAutospacing="1" w:after="100" w:afterAutospacing="1" w:line="360" w:lineRule="auto"/>
        <w:jc w:val="center"/>
        <w:rPr>
          <w:rFonts w:ascii="宋体" w:hAnsi="宋体" w:eastAsia="宋体" w:cs="宋体"/>
          <w:b/>
          <w:color w:val="000000"/>
          <w:kern w:val="0"/>
          <w:sz w:val="36"/>
          <w:szCs w:val="36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40"/>
          <w:pgMar w:top="1440" w:right="1797" w:bottom="1440" w:left="1797" w:header="851" w:footer="992" w:gutter="0"/>
          <w:cols w:space="425" w:num="1"/>
          <w:docGrid w:type="linesAndChars" w:linePitch="606" w:charSpace="-614"/>
        </w:sectPr>
      </w:pPr>
    </w:p>
    <w:p>
      <w:pPr>
        <w:widowControl/>
        <w:spacing w:line="560" w:lineRule="exact"/>
        <w:ind w:firstLine="716" w:firstLineChars="200"/>
        <w:jc w:val="center"/>
        <w:rPr>
          <w:rFonts w:ascii="宋体" w:hAnsi="宋体" w:eastAsia="宋体" w:cs="宋体"/>
          <w:b/>
          <w:sz w:val="36"/>
          <w:szCs w:val="36"/>
        </w:rPr>
      </w:pPr>
      <w:r>
        <w:rPr>
          <w:rFonts w:ascii="宋体" w:hAnsi="宋体" w:eastAsia="宋体" w:cs="宋体"/>
          <w:b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sz w:val="36"/>
          <w:szCs w:val="36"/>
        </w:rPr>
        <w:t>3年部门整体支出绩效自评报告</w:t>
      </w:r>
    </w:p>
    <w:p>
      <w:pPr>
        <w:widowControl/>
        <w:spacing w:line="560" w:lineRule="exact"/>
        <w:ind w:firstLine="636" w:firstLineChars="200"/>
        <w:rPr>
          <w:rFonts w:ascii="黑体" w:hAnsi="黑体" w:eastAsia="黑体" w:cs="宋体"/>
          <w:sz w:val="32"/>
          <w:szCs w:val="32"/>
        </w:rPr>
      </w:pPr>
    </w:p>
    <w:p>
      <w:pPr>
        <w:widowControl/>
        <w:adjustRightInd w:val="0"/>
        <w:snapToGrid w:val="0"/>
        <w:spacing w:line="520" w:lineRule="exact"/>
        <w:ind w:firstLine="636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一、部门概况</w:t>
      </w:r>
    </w:p>
    <w:p>
      <w:pPr>
        <w:adjustRightInd w:val="0"/>
        <w:snapToGrid w:val="0"/>
        <w:spacing w:line="520" w:lineRule="exact"/>
        <w:ind w:firstLine="636" w:firstLineChars="200"/>
        <w:rPr>
          <w:rFonts w:ascii="楷体_GB2312" w:hAnsi="仿宋" w:eastAsia="楷体_GB2312" w:cs="Times New Roman"/>
          <w:sz w:val="32"/>
          <w:szCs w:val="32"/>
        </w:rPr>
      </w:pPr>
      <w:bookmarkStart w:id="1" w:name="_Toc268005755"/>
      <w:r>
        <w:rPr>
          <w:rFonts w:hint="eastAsia" w:ascii="楷体_GB2312" w:hAnsi="仿宋" w:eastAsia="楷体_GB2312" w:cs="Times New Roman"/>
          <w:sz w:val="32"/>
          <w:szCs w:val="32"/>
        </w:rPr>
        <w:t>（一）部门职责情况</w:t>
      </w:r>
    </w:p>
    <w:p>
      <w:pPr>
        <w:adjustRightInd w:val="0"/>
        <w:snapToGrid w:val="0"/>
        <w:spacing w:line="520" w:lineRule="exact"/>
        <w:ind w:firstLine="636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北京市门头沟区市场监督管理局于2019年3月22日挂牌成立，负有以下主要职责：负责本区市场综合监督管理；负责本区市场主体统一登记注册；负责组织和指导本区市场监管综合执法工作；负责监督管理本区市场秩序；负责本区宏观质量管理；负责本区产品质量安全监督管理；负责本区特种设备安全监督管理；负责本区食品安全监督管理综合协调；负责本区食品安全监督管理；负责统一管理本区计量工作；负责统一管理本区标准化工作；根据国家认证认可监督管理部门授权，依法组织对本区认证活动实施监督；负责本区市场监督管理科技和信息化建设、新闻宣传、对外交流与合作；负责本区药品零售、医疗器械经营的许可、检查和处罚，以及化妆品经营和药品、医疗器械使用环节质量的检查和处罚；负责组织指导实施本区商标专利执法工作；完成区委、区政府交办的其他任务。</w:t>
      </w:r>
    </w:p>
    <w:p>
      <w:pPr>
        <w:adjustRightInd w:val="0"/>
        <w:snapToGrid w:val="0"/>
        <w:spacing w:line="520" w:lineRule="exact"/>
        <w:ind w:firstLine="636" w:firstLineChars="200"/>
        <w:rPr>
          <w:rFonts w:ascii="楷体_GB2312" w:hAnsi="仿宋" w:eastAsia="楷体_GB2312" w:cs="Times New Roman"/>
          <w:sz w:val="32"/>
          <w:szCs w:val="32"/>
        </w:rPr>
      </w:pPr>
      <w:r>
        <w:rPr>
          <w:rFonts w:hint="eastAsia" w:ascii="楷体_GB2312" w:hAnsi="仿宋" w:eastAsia="楷体_GB2312" w:cs="Times New Roman"/>
          <w:sz w:val="32"/>
          <w:szCs w:val="32"/>
        </w:rPr>
        <w:t>（二）部门机构设置情况</w:t>
      </w:r>
    </w:p>
    <w:p>
      <w:pPr>
        <w:widowControl/>
        <w:adjustRightInd w:val="0"/>
        <w:snapToGrid w:val="0"/>
        <w:spacing w:line="520" w:lineRule="exact"/>
        <w:ind w:firstLine="636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本部门共设22个内设机构，包括办公室、法制科、财务审计科、人事教育科及相关业务科；15个派出机构，包括龙泉、大峪、永定、城子、石龙等市场监督管理所；下设7个事业单位，包括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门头沟区知识产权服务中心、门头沟区特种设备检测所</w:t>
      </w:r>
      <w:r>
        <w:rPr>
          <w:rFonts w:hint="eastAsia" w:ascii="仿宋_GB2312" w:hAnsi="仿宋" w:eastAsia="仿宋_GB2312" w:cs="Times New Roman"/>
          <w:sz w:val="32"/>
          <w:szCs w:val="32"/>
        </w:rPr>
        <w:t>、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门头沟区消费者协会、门头沟区市场监督管理综合服务保障中心、门头沟区市场监督管理政务服务中心、门头沟区市场监督管理检验检测所、门头沟区私营个体经济指导服务中心</w:t>
      </w:r>
      <w:r>
        <w:rPr>
          <w:rFonts w:hint="eastAsia" w:ascii="仿宋_GB2312" w:hAnsi="仿宋" w:eastAsia="仿宋_GB2312" w:cs="Times New Roman"/>
          <w:sz w:val="32"/>
          <w:szCs w:val="32"/>
        </w:rPr>
        <w:t>。</w:t>
      </w:r>
    </w:p>
    <w:p>
      <w:pPr>
        <w:adjustRightInd w:val="0"/>
        <w:snapToGrid w:val="0"/>
        <w:spacing w:line="520" w:lineRule="exact"/>
        <w:ind w:firstLine="636" w:firstLineChars="200"/>
        <w:rPr>
          <w:rFonts w:ascii="楷体_GB2312" w:hAnsi="仿宋" w:eastAsia="楷体_GB2312" w:cs="Times New Roman"/>
          <w:sz w:val="32"/>
          <w:szCs w:val="32"/>
        </w:rPr>
      </w:pPr>
      <w:r>
        <w:rPr>
          <w:rFonts w:hint="eastAsia" w:ascii="楷体_GB2312" w:hAnsi="仿宋" w:eastAsia="楷体_GB2312" w:cs="Times New Roman"/>
          <w:sz w:val="32"/>
          <w:szCs w:val="32"/>
        </w:rPr>
        <w:t>（三）</w:t>
      </w:r>
      <w:r>
        <w:rPr>
          <w:rFonts w:ascii="楷体_GB2312" w:hAnsi="仿宋" w:eastAsia="楷体_GB2312" w:cs="Times New Roman"/>
          <w:sz w:val="32"/>
          <w:szCs w:val="32"/>
        </w:rPr>
        <w:t>202</w:t>
      </w:r>
      <w:r>
        <w:rPr>
          <w:rFonts w:hint="eastAsia" w:ascii="楷体_GB2312" w:hAnsi="仿宋" w:eastAsia="楷体_GB2312" w:cs="Times New Roman"/>
          <w:sz w:val="32"/>
          <w:szCs w:val="32"/>
        </w:rPr>
        <w:t>3年主要工作任务</w:t>
      </w:r>
    </w:p>
    <w:bookmarkEnd w:id="1"/>
    <w:p>
      <w:pPr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</w:rPr>
      </w:pPr>
      <w:bookmarkStart w:id="2" w:name="_Toc268005759"/>
      <w:bookmarkStart w:id="3" w:name="_Toc263686375"/>
      <w:r>
        <w:rPr>
          <w:rFonts w:hint="eastAsia" w:ascii="仿宋_GB2312" w:hAnsi="仿宋" w:eastAsia="仿宋_GB2312" w:cs="Times New Roman"/>
          <w:sz w:val="32"/>
          <w:szCs w:val="32"/>
        </w:rPr>
        <w:t>202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Times New Roman"/>
          <w:sz w:val="32"/>
          <w:szCs w:val="32"/>
        </w:rPr>
        <w:t>年，本部门立足本职工作，主动履职尽责，重点打击不正当竞争、假冒伪劣、虚假宣传、合同欺诈、价格欺诈、商标侵权等违法行为，加大食品、药品、特种设备、产品质量安全违法行为惩处力度，保障区域民生安全;持续优化营商环境，不断创新监管方式，努力打造公平、透明、便捷、有序的市场环境，最大深度激发市场活力和社会创造力;深化质量提升，落实企业主体责任，加大“双随机、一公开”抽查和跨部门联合检查力度，建立跨部门失信联合惩戒机制，不断完善以信用监管为核心的新型监管体系，做到监管效能最大化、监管成本最优化、对市场主体干扰最小化，实现“一次抽查、全面体检”，提高市场监管效能;防范风险隐患，筑牢食药安全底线，加强食品安全、特种设备安全、产品质量安全日常监管、监督抽检和专项整治，解决突出问题，做好安全风险隐患排查，以及重大活动安全保障工作，深入推进特种设备安全“双预防”工作，实行药械环节全主体、全品种、全链条监管，完善从伤害监测、监督抽查、风险监测到缺陷召回的产品质量全链条监管体系，加大产品质量监督抽查力度，按照“四个最严”要求，把守住底线作为市场监管工作的重中之重；深入推进“放心消费”创建活动，加强与民生相关的教育、医疗、商品房销售、养老、旅游等领域的价格监管力度，努力营造更加安全放心的消费环境，不断增强辖区百姓的安全感、获得感、幸福感。</w:t>
      </w:r>
    </w:p>
    <w:p>
      <w:pPr>
        <w:adjustRightInd w:val="0"/>
        <w:snapToGrid w:val="0"/>
        <w:spacing w:line="520" w:lineRule="exact"/>
        <w:ind w:firstLine="636" w:firstLineChars="200"/>
        <w:rPr>
          <w:rFonts w:hint="eastAsia" w:ascii="楷体_GB2312" w:hAnsi="仿宋" w:eastAsia="楷体_GB2312" w:cs="Times New Roman"/>
          <w:sz w:val="32"/>
          <w:szCs w:val="32"/>
          <w:highlight w:val="none"/>
        </w:rPr>
      </w:pPr>
    </w:p>
    <w:p>
      <w:pPr>
        <w:adjustRightInd w:val="0"/>
        <w:snapToGrid w:val="0"/>
        <w:spacing w:line="520" w:lineRule="exact"/>
        <w:ind w:firstLine="636" w:firstLineChars="200"/>
        <w:rPr>
          <w:rFonts w:ascii="楷体_GB2312" w:hAnsi="仿宋" w:eastAsia="楷体_GB2312" w:cs="Times New Roman"/>
          <w:sz w:val="32"/>
          <w:szCs w:val="32"/>
          <w:highlight w:val="none"/>
        </w:rPr>
      </w:pPr>
      <w:r>
        <w:rPr>
          <w:rFonts w:hint="eastAsia" w:ascii="楷体_GB2312" w:hAnsi="仿宋" w:eastAsia="楷体_GB2312" w:cs="Times New Roman"/>
          <w:sz w:val="32"/>
          <w:szCs w:val="32"/>
          <w:highlight w:val="none"/>
        </w:rPr>
        <w:t>（四）部门</w:t>
      </w:r>
      <w:bookmarkEnd w:id="2"/>
      <w:r>
        <w:rPr>
          <w:rFonts w:hint="eastAsia" w:ascii="楷体_GB2312" w:hAnsi="仿宋" w:eastAsia="楷体_GB2312" w:cs="Times New Roman"/>
          <w:sz w:val="32"/>
          <w:szCs w:val="32"/>
          <w:highlight w:val="none"/>
        </w:rPr>
        <w:t>整体绩效目标设立情况</w:t>
      </w:r>
    </w:p>
    <w:tbl>
      <w:tblPr>
        <w:tblStyle w:val="8"/>
        <w:tblW w:w="90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2213"/>
        <w:gridCol w:w="1525"/>
        <w:gridCol w:w="1812"/>
        <w:gridCol w:w="1325"/>
        <w:gridCol w:w="13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2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三级指标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指标性质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指标值</w:t>
            </w:r>
          </w:p>
        </w:tc>
        <w:tc>
          <w:tcPr>
            <w:tcW w:w="1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度量单位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指标权重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　</w:t>
            </w:r>
            <w:r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2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检测数量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eastAsia="zh-CN"/>
              </w:rPr>
              <w:t>定量指标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　≥1200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2061件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6%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　</w:t>
            </w:r>
            <w:r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2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运维设备数量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eastAsia="zh-CN"/>
              </w:rPr>
              <w:t>定量指标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　≥1000件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1200件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6%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　</w:t>
            </w:r>
            <w:r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  <w:t>3</w:t>
            </w:r>
          </w:p>
        </w:tc>
        <w:tc>
          <w:tcPr>
            <w:tcW w:w="2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标准化抽查数量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eastAsia="zh-CN"/>
              </w:rPr>
              <w:t>定量指标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　=30件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30件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6%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278" w:firstLineChars="100"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tabs>
                <w:tab w:val="left" w:pos="527"/>
              </w:tabs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eastAsia="zh-CN"/>
              </w:rPr>
              <w:t>综合执法案件数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eastAsia="zh-CN"/>
              </w:rPr>
              <w:t>定量指标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　≥1000件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1039件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6%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278" w:firstLineChars="100"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2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档案电子化件数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eastAsia="zh-CN"/>
              </w:rPr>
              <w:t>定量指标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≥5000件</w:t>
            </w:r>
          </w:p>
        </w:tc>
        <w:tc>
          <w:tcPr>
            <w:tcW w:w="1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6325件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6%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 xml:space="preserve">  6</w:t>
            </w:r>
          </w:p>
        </w:tc>
        <w:tc>
          <w:tcPr>
            <w:tcW w:w="2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检测样本合格率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eastAsia="zh-CN"/>
              </w:rPr>
              <w:t>定量指标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≥95%</w:t>
            </w:r>
          </w:p>
        </w:tc>
        <w:tc>
          <w:tcPr>
            <w:tcW w:w="1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99.1%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6%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278" w:firstLineChars="100"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2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商品检测合格率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eastAsia="zh-CN"/>
              </w:rPr>
              <w:t>定量指标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≥95%</w:t>
            </w:r>
          </w:p>
        </w:tc>
        <w:tc>
          <w:tcPr>
            <w:tcW w:w="1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/>
                <w:highlight w:val="none"/>
              </w:rPr>
            </w:pPr>
          </w:p>
          <w:p>
            <w:pPr>
              <w:pStyle w:val="2"/>
              <w:jc w:val="center"/>
              <w:rPr>
                <w:rFonts w:hint="eastAsia" w:eastAsia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89%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6%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278" w:firstLineChars="100"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2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准入、许可审批、信用监管等市场主体管理工作正常开展</w:t>
            </w: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eastAsia="zh-CN"/>
              </w:rPr>
              <w:t>率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eastAsia="zh-CN"/>
              </w:rPr>
              <w:t>定量指标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278" w:firstLineChars="100"/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≥95%</w:t>
            </w:r>
          </w:p>
        </w:tc>
        <w:tc>
          <w:tcPr>
            <w:tcW w:w="1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100%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6%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278" w:firstLineChars="100"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2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档案电子化率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eastAsia="zh-CN"/>
              </w:rPr>
              <w:t>定量指标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≥95%</w:t>
            </w:r>
          </w:p>
        </w:tc>
        <w:tc>
          <w:tcPr>
            <w:tcW w:w="1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100%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6%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278" w:firstLineChars="100"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2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执法终端运维率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eastAsia="zh-CN"/>
              </w:rPr>
              <w:t>定量指标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≥95%</w:t>
            </w:r>
          </w:p>
        </w:tc>
        <w:tc>
          <w:tcPr>
            <w:tcW w:w="1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100%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6%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278" w:firstLineChars="100"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yellow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11</w:t>
            </w:r>
          </w:p>
        </w:tc>
        <w:tc>
          <w:tcPr>
            <w:tcW w:w="2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服务企业对象满意度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仿宋" w:eastAsia="仿宋_GB2312" w:cs="Times New Roman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eastAsia="zh-CN"/>
              </w:rPr>
              <w:t>定量指标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≥95%</w:t>
            </w:r>
          </w:p>
        </w:tc>
        <w:tc>
          <w:tcPr>
            <w:tcW w:w="1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</w:rPr>
              <w:t>≥95%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highlight w:val="none"/>
                <w:lang w:val="en-US" w:eastAsia="zh-CN"/>
              </w:rPr>
              <w:t>6%</w:t>
            </w:r>
          </w:p>
        </w:tc>
      </w:tr>
    </w:tbl>
    <w:p>
      <w:pPr>
        <w:adjustRightInd w:val="0"/>
        <w:snapToGrid w:val="0"/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  <w:highlight w:val="yellow"/>
        </w:rPr>
      </w:pPr>
    </w:p>
    <w:p>
      <w:pPr>
        <w:pStyle w:val="2"/>
        <w:rPr>
          <w:rFonts w:ascii="仿宋_GB2312" w:hAnsi="仿宋" w:eastAsia="仿宋_GB2312" w:cs="Times New Roman"/>
          <w:sz w:val="32"/>
          <w:szCs w:val="32"/>
          <w:highlight w:val="yellow"/>
        </w:rPr>
      </w:pPr>
    </w:p>
    <w:tbl>
      <w:tblPr>
        <w:tblStyle w:val="8"/>
        <w:tblW w:w="83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3200"/>
        <w:gridCol w:w="28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3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202</w:t>
            </w:r>
            <w:r>
              <w:rPr>
                <w:rFonts w:hint="eastAsia" w:ascii="仿宋" w:hAnsi="仿宋" w:eastAsia="仿宋"/>
                <w:color w:val="auto"/>
                <w:sz w:val="28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年部门整体绩效目标申报表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 xml:space="preserve">                                             单位:</w:t>
            </w:r>
            <w:r>
              <w:rPr>
                <w:rFonts w:hint="eastAsia" w:ascii="仿宋" w:hAnsi="仿宋" w:eastAsia="仿宋"/>
                <w:color w:val="auto"/>
                <w:sz w:val="28"/>
                <w:highlight w:val="none"/>
                <w:lang w:eastAsia="zh-CN"/>
              </w:rPr>
              <w:t>万</w:t>
            </w: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单位</w:t>
            </w:r>
          </w:p>
        </w:tc>
        <w:tc>
          <w:tcPr>
            <w:tcW w:w="601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北京市门头沟区市场监督管理局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财政拨款总计</w:t>
            </w:r>
          </w:p>
        </w:tc>
        <w:tc>
          <w:tcPr>
            <w:tcW w:w="601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  <w:lang w:val="en-US" w:eastAsia="zh-CN"/>
              </w:rPr>
              <w:t>11791.03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基本支出</w:t>
            </w:r>
          </w:p>
        </w:tc>
        <w:tc>
          <w:tcPr>
            <w:tcW w:w="601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  <w:lang w:val="en-US" w:eastAsia="zh-CN"/>
              </w:rPr>
              <w:t>10946.93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项目支出</w:t>
            </w:r>
          </w:p>
        </w:tc>
        <w:tc>
          <w:tcPr>
            <w:tcW w:w="601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  <w:lang w:val="en-US" w:eastAsia="zh-CN"/>
              </w:rPr>
              <w:t>844.10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6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部门(单位)职能概述</w:t>
            </w:r>
          </w:p>
        </w:tc>
        <w:tc>
          <w:tcPr>
            <w:tcW w:w="601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left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北京市门头沟区市场监督管理局于2019年3月22日挂牌成立，负有以下主要职责：负责本区市场综合监督管理；负责本区市场主体统一登记注册；负责组织和指导本区市场监管综合执法工作；负责监督管理本区市场秩序；负责本区宏观质量管理；负责本区产品质量安全监督管理；负责本区特种设备安全监督管理；负责本区食品安全监督管理综合协调；负责本区食品安全监督管理；负责统一管理本区计量工作；负责统一管理本区标准化工作；根据国家认证认可监督管理部门授权，依法组织对本区认证活动实施监督；负责本区市场监督管理科技和信息化建设、新闻宣传、对外交流与合作；负责本区药品零售、医疗器械经营的许可、检查和处罚，以及化妆品经营和药品、医疗器械使用环节质量的检查和处罚；负责组织指导实施本区商标专利执法工作；完成区委、区政府交办的其他任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1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部门(单位)绩效目标</w:t>
            </w:r>
          </w:p>
        </w:tc>
        <w:tc>
          <w:tcPr>
            <w:tcW w:w="601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left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立足本职工作，主动履职尽责，重点打击不正当竞争、假冒伪劣、虚假宣传、合同欺诈、价格欺诈、商标侵权等违法行为，加大食品、药品、特种设备、产品质量安全违法行为惩处力度，保障区域民生安全;持续优化营商环境，不断创新监管方式，努力打造公平、透明、便捷、有序的市场环境，最大深度激发市场活力和社会创造力;深化质量提升，落实企业主体责任，加大“双随机、一公开”抽查和跨部门联合检查力度，建立跨部门失信联合惩戒机制，不断完善以信用监管为核心的新型监管体系，做到监管效能最大化、监管成本最优化、对市场主体干扰最小化，实现“一次抽查、全面体检”，提高市场监管效能;防范风险隐患，筑牢食药安全底线，加强食品安全、特种设备安全、产品质量安全日常监管、监督抽检和专项整治，解决突出问题，做好安全风险隐患排查，以及重大活动安全保障工作，深入推进特种设备安全“双预防”工作，实行药械环节全主体、全品种、全链条监管，完善从伤害监测、监督抽查、风险监测到缺陷召回的产品质量全链条监管体系，加大产品质量监督抽查力度，按照“四个最严”要求，把守住底线作为市场监管工作的重中之重；深入推进“放心消费”创建活动，加强与民生相关的教育、医疗、商品房销售、养老、旅游等领域的价格监管力度，努力营造更加安全放心的消费环境，不断增强辖区百姓的安全感、获得感、幸福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32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202</w:t>
            </w:r>
            <w:r>
              <w:rPr>
                <w:rFonts w:hint="eastAsia" w:ascii="仿宋" w:hAnsi="仿宋" w:eastAsia="仿宋"/>
                <w:color w:val="auto"/>
                <w:sz w:val="28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年绩效目标</w:t>
            </w:r>
          </w:p>
        </w:tc>
        <w:tc>
          <w:tcPr>
            <w:tcW w:w="28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202</w:t>
            </w:r>
            <w:r>
              <w:rPr>
                <w:rFonts w:hint="eastAsia" w:ascii="仿宋" w:hAnsi="仿宋" w:eastAsia="仿宋"/>
                <w:color w:val="auto"/>
                <w:sz w:val="28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年完成情况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8"/>
                <w:highlight w:val="none"/>
              </w:rPr>
              <w:t>绩效指标</w:t>
            </w:r>
          </w:p>
        </w:tc>
        <w:tc>
          <w:tcPr>
            <w:tcW w:w="320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后列明细</w:t>
            </w:r>
          </w:p>
        </w:tc>
        <w:tc>
          <w:tcPr>
            <w:tcW w:w="28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产出指标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后列明细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产出数量指标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预算批复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产出质量指标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严格执行预算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产出进度指标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按时完成支出进度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按时完成支出进度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产出成本指标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按相关规定控制成本支出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8"/>
                <w:highlight w:val="none"/>
              </w:rPr>
              <w:t>效果指标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经济效益指标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圆满完成各项工作任务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社会效益指标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服务质量提升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环境效益指标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市场监管执法环境得到明显改善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可持续影响指标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维护人民群众的合法权益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服务对象满意度指标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比较满意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完成</w:t>
            </w:r>
          </w:p>
        </w:tc>
      </w:tr>
    </w:tbl>
    <w:p>
      <w:pPr>
        <w:pStyle w:val="2"/>
        <w:numPr>
          <w:ilvl w:val="0"/>
          <w:numId w:val="0"/>
        </w:numPr>
        <w:spacing w:beforeLines="0" w:afterLines="0"/>
        <w:ind w:firstLine="834" w:firstLineChars="300"/>
        <w:rPr>
          <w:rFonts w:hint="eastAsia"/>
          <w:color w:val="auto"/>
          <w:sz w:val="28"/>
          <w:highlight w:val="yellow"/>
        </w:rPr>
      </w:pPr>
    </w:p>
    <w:p>
      <w:pPr>
        <w:pStyle w:val="2"/>
        <w:numPr>
          <w:ilvl w:val="0"/>
          <w:numId w:val="0"/>
        </w:numPr>
        <w:spacing w:beforeLines="0" w:afterLines="0"/>
        <w:ind w:firstLine="834" w:firstLineChars="300"/>
        <w:rPr>
          <w:rFonts w:hint="eastAsia" w:eastAsia="仿宋_GB2312"/>
          <w:color w:val="auto"/>
          <w:sz w:val="28"/>
          <w:highlight w:val="none"/>
        </w:rPr>
      </w:pPr>
      <w:r>
        <w:rPr>
          <w:rFonts w:hint="eastAsia"/>
          <w:color w:val="auto"/>
          <w:sz w:val="28"/>
          <w:highlight w:val="none"/>
        </w:rPr>
        <w:t xml:space="preserve">  </w:t>
      </w:r>
      <w:r>
        <w:rPr>
          <w:rFonts w:hint="eastAsia" w:ascii="仿宋_GB2312" w:hAnsi="Arial" w:eastAsia="仿宋_GB2312"/>
          <w:b/>
          <w:color w:val="auto"/>
          <w:kern w:val="0"/>
          <w:sz w:val="32"/>
          <w:highlight w:val="none"/>
        </w:rPr>
        <w:t>202</w:t>
      </w:r>
      <w:r>
        <w:rPr>
          <w:rFonts w:hint="eastAsia" w:ascii="仿宋_GB2312" w:hAnsi="Arial" w:eastAsia="仿宋_GB2312"/>
          <w:b/>
          <w:color w:val="auto"/>
          <w:kern w:val="0"/>
          <w:sz w:val="32"/>
          <w:highlight w:val="none"/>
          <w:lang w:val="en-US" w:eastAsia="zh-CN"/>
        </w:rPr>
        <w:t>3</w:t>
      </w:r>
      <w:r>
        <w:rPr>
          <w:rFonts w:hint="eastAsia" w:ascii="仿宋_GB2312" w:hAnsi="Arial" w:eastAsia="仿宋_GB2312"/>
          <w:b/>
          <w:color w:val="auto"/>
          <w:kern w:val="0"/>
          <w:sz w:val="32"/>
          <w:highlight w:val="none"/>
        </w:rPr>
        <w:t>年部门整体绩效目标申报数量值考核情况简述</w:t>
      </w:r>
    </w:p>
    <w:tbl>
      <w:tblPr>
        <w:tblStyle w:val="8"/>
        <w:tblW w:w="924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2889"/>
        <w:gridCol w:w="906"/>
        <w:gridCol w:w="45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序号</w:t>
            </w:r>
          </w:p>
        </w:tc>
        <w:tc>
          <w:tcPr>
            <w:tcW w:w="2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职责</w:t>
            </w:r>
          </w:p>
        </w:tc>
        <w:tc>
          <w:tcPr>
            <w:tcW w:w="9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年度任务</w:t>
            </w:r>
          </w:p>
        </w:tc>
        <w:tc>
          <w:tcPr>
            <w:tcW w:w="4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绩效指标及指标值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1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left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辖区内市场综合监管(食品药品安全)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left"/>
              <w:rPr>
                <w:rFonts w:hint="eastAsia" w:ascii="仿宋" w:hAnsi="仿宋" w:eastAsia="仿宋"/>
                <w:color w:val="auto"/>
                <w:sz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　20</w:t>
            </w:r>
            <w:r>
              <w:rPr>
                <w:rFonts w:hint="eastAsia" w:ascii="仿宋" w:hAnsi="仿宋" w:eastAsia="仿宋"/>
                <w:color w:val="auto"/>
                <w:sz w:val="28"/>
                <w:highlight w:val="none"/>
                <w:lang w:val="en-US" w:eastAsia="zh-CN"/>
              </w:rPr>
              <w:t>23</w:t>
            </w:r>
          </w:p>
        </w:tc>
        <w:tc>
          <w:tcPr>
            <w:tcW w:w="4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left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检测数量</w:t>
            </w:r>
            <w:r>
              <w:rPr>
                <w:rFonts w:hint="default" w:ascii="Arial" w:hAnsi="Arial" w:eastAsia="仿宋"/>
                <w:color w:val="auto"/>
                <w:sz w:val="28"/>
                <w:highlight w:val="none"/>
              </w:rPr>
              <w:t>≥</w:t>
            </w:r>
            <w:r>
              <w:rPr>
                <w:rFonts w:hint="eastAsia" w:ascii="Arial" w:hAnsi="Arial" w:eastAsia="仿宋"/>
                <w:color w:val="auto"/>
                <w:sz w:val="28"/>
                <w:highlight w:val="none"/>
              </w:rPr>
              <w:t>1200件</w:t>
            </w: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，已完成2</w:t>
            </w:r>
            <w:r>
              <w:rPr>
                <w:rFonts w:hint="eastAsia" w:ascii="仿宋" w:hAnsi="仿宋" w:eastAsia="仿宋"/>
                <w:color w:val="auto"/>
                <w:sz w:val="28"/>
                <w:highlight w:val="none"/>
                <w:lang w:val="en-US" w:eastAsia="zh-CN"/>
              </w:rPr>
              <w:t>061</w:t>
            </w: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2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left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　辖区内市场综合监管(标准化抽查)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left"/>
              <w:rPr>
                <w:rFonts w:hint="eastAsia" w:ascii="仿宋" w:hAnsi="仿宋" w:eastAsia="仿宋"/>
                <w:color w:val="auto"/>
                <w:sz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　202</w:t>
            </w:r>
            <w:r>
              <w:rPr>
                <w:rFonts w:hint="eastAsia" w:ascii="仿宋" w:hAnsi="仿宋" w:eastAsia="仿宋"/>
                <w:color w:val="auto"/>
                <w:sz w:val="28"/>
                <w:highlight w:val="none"/>
                <w:lang w:val="en-US" w:eastAsia="zh-CN"/>
              </w:rPr>
              <w:t>3</w:t>
            </w:r>
          </w:p>
        </w:tc>
        <w:tc>
          <w:tcPr>
            <w:tcW w:w="4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left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　目标企业=30家，已完成30家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3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left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辖区内市场综合监管(综合执法案件数)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left"/>
              <w:rPr>
                <w:rFonts w:hint="eastAsia" w:ascii="仿宋" w:hAnsi="仿宋" w:eastAsia="仿宋"/>
                <w:color w:val="auto"/>
                <w:sz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202</w:t>
            </w:r>
            <w:r>
              <w:rPr>
                <w:rFonts w:hint="eastAsia" w:ascii="仿宋" w:hAnsi="仿宋" w:eastAsia="仿宋"/>
                <w:color w:val="auto"/>
                <w:sz w:val="28"/>
                <w:highlight w:val="none"/>
                <w:lang w:val="en-US" w:eastAsia="zh-CN"/>
              </w:rPr>
              <w:t>3</w:t>
            </w:r>
          </w:p>
        </w:tc>
        <w:tc>
          <w:tcPr>
            <w:tcW w:w="4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left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综合执法案件数</w:t>
            </w:r>
            <w:r>
              <w:rPr>
                <w:rFonts w:hint="default" w:ascii="Arial" w:hAnsi="Arial" w:eastAsia="仿宋"/>
                <w:color w:val="auto"/>
                <w:sz w:val="28"/>
                <w:highlight w:val="none"/>
              </w:rPr>
              <w:t>≥</w:t>
            </w:r>
            <w:r>
              <w:rPr>
                <w:rFonts w:hint="eastAsia" w:ascii="Arial" w:hAnsi="Arial" w:eastAsia="仿宋"/>
                <w:color w:val="auto"/>
                <w:sz w:val="28"/>
                <w:highlight w:val="none"/>
              </w:rPr>
              <w:t>1000件</w:t>
            </w: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，已完成1</w:t>
            </w:r>
            <w:r>
              <w:rPr>
                <w:rFonts w:hint="eastAsia" w:ascii="仿宋" w:hAnsi="仿宋" w:eastAsia="仿宋"/>
                <w:color w:val="auto"/>
                <w:sz w:val="28"/>
                <w:highlight w:val="none"/>
                <w:lang w:val="en-US" w:eastAsia="zh-CN"/>
              </w:rPr>
              <w:t>039</w:t>
            </w: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85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both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center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科技信息化建设及设备运维(执法专线运维)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left"/>
              <w:rPr>
                <w:rFonts w:hint="eastAsia" w:ascii="仿宋" w:hAnsi="仿宋" w:eastAsia="仿宋"/>
                <w:color w:val="auto"/>
                <w:sz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202</w:t>
            </w:r>
            <w:r>
              <w:rPr>
                <w:rFonts w:hint="eastAsia" w:ascii="仿宋" w:hAnsi="仿宋" w:eastAsia="仿宋"/>
                <w:color w:val="auto"/>
                <w:sz w:val="28"/>
                <w:highlight w:val="none"/>
                <w:lang w:val="en-US" w:eastAsia="zh-CN"/>
              </w:rPr>
              <w:t>3</w:t>
            </w:r>
          </w:p>
        </w:tc>
        <w:tc>
          <w:tcPr>
            <w:tcW w:w="4591" w:type="dxa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left"/>
              <w:rPr>
                <w:rFonts w:hint="eastAsia" w:ascii="仿宋" w:hAnsi="仿宋" w:eastAsia="仿宋"/>
                <w:color w:val="auto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执法专线数量=38条，已完成38条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both"/>
              <w:rPr>
                <w:rFonts w:hint="eastAsia" w:ascii="仿宋" w:hAnsi="仿宋" w:eastAsia="仿宋"/>
                <w:color w:val="auto"/>
                <w:sz w:val="28"/>
                <w:highlight w:val="yellow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highlight w:val="none"/>
              </w:rPr>
              <w:t>4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left"/>
              <w:rPr>
                <w:rFonts w:hint="eastAsia" w:ascii="仿宋" w:hAnsi="仿宋" w:eastAsia="仿宋"/>
                <w:color w:val="auto"/>
                <w:sz w:val="28"/>
                <w:highlight w:val="yellow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left"/>
              <w:rPr>
                <w:rFonts w:hint="eastAsia" w:ascii="仿宋" w:hAnsi="仿宋" w:eastAsia="仿宋"/>
                <w:color w:val="auto"/>
                <w:sz w:val="28"/>
                <w:highlight w:val="yellow"/>
              </w:rPr>
            </w:pPr>
          </w:p>
        </w:tc>
        <w:tc>
          <w:tcPr>
            <w:tcW w:w="4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ind w:firstLine="0" w:firstLineChars="0"/>
              <w:jc w:val="left"/>
              <w:rPr>
                <w:rFonts w:hint="eastAsia" w:ascii="仿宋" w:hAnsi="仿宋" w:eastAsia="仿宋"/>
                <w:color w:val="auto"/>
                <w:sz w:val="28"/>
                <w:highlight w:val="yellow"/>
              </w:rPr>
            </w:pPr>
          </w:p>
        </w:tc>
      </w:tr>
    </w:tbl>
    <w:p>
      <w:pPr>
        <w:pStyle w:val="2"/>
        <w:rPr>
          <w:rFonts w:ascii="仿宋_GB2312" w:hAnsi="仿宋" w:eastAsia="仿宋_GB2312" w:cs="Times New Roman"/>
          <w:sz w:val="32"/>
          <w:szCs w:val="32"/>
          <w:highlight w:val="yellow"/>
        </w:rPr>
      </w:pPr>
    </w:p>
    <w:p>
      <w:pPr>
        <w:widowControl/>
        <w:adjustRightInd w:val="0"/>
        <w:snapToGrid w:val="0"/>
        <w:spacing w:line="520" w:lineRule="exact"/>
        <w:ind w:firstLine="636" w:firstLineChars="200"/>
        <w:rPr>
          <w:rFonts w:ascii="黑体" w:hAnsi="黑体" w:eastAsia="黑体" w:cs="宋体"/>
          <w:sz w:val="32"/>
          <w:szCs w:val="32"/>
          <w:highlight w:val="none"/>
        </w:rPr>
      </w:pPr>
      <w:bookmarkStart w:id="4" w:name="_Toc268005761"/>
      <w:r>
        <w:rPr>
          <w:rFonts w:hint="eastAsia" w:ascii="黑体" w:hAnsi="黑体" w:eastAsia="黑体" w:cs="宋体"/>
          <w:sz w:val="32"/>
          <w:szCs w:val="32"/>
          <w:highlight w:val="none"/>
        </w:rPr>
        <w:t>二、当年预算执行情况</w:t>
      </w:r>
    </w:p>
    <w:p>
      <w:pPr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  <w:highlight w:val="yellow"/>
        </w:rPr>
      </w:pPr>
      <w:r>
        <w:rPr>
          <w:rFonts w:ascii="仿宋_GB2312" w:hAnsi="仿宋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3年全年预算数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  <w:t>11791.03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万元，其中：基本支出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  <w:t>10946.93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万元，占比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  <w:t>92.84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%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；项目支出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  <w:t>844.10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万元，占比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  <w:t>7.16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%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；其他支出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万元，占比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%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。</w:t>
      </w:r>
    </w:p>
    <w:p>
      <w:pPr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截止到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3年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12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月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31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日，预算资金总体支出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  <w:t>11791.03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万元，其中：基本支出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  <w:t>10946.93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万元，占比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  <w:t>92.84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%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；项目支出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  <w:t>844.10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万元，占比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  <w:t>7.16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%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；其他支出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万元，占比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%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。部门预算执行率为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  <w:t>100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%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。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 xml:space="preserve">         </w:t>
      </w:r>
      <w:bookmarkStart w:id="5" w:name="_GoBack"/>
      <w:bookmarkEnd w:id="5"/>
      <w:r>
        <w:rPr>
          <w:rFonts w:ascii="仿宋_GB2312" w:hAnsi="仿宋" w:eastAsia="仿宋_GB2312" w:cs="Times New Roman"/>
          <w:sz w:val="32"/>
          <w:szCs w:val="32"/>
          <w:highlight w:val="none"/>
        </w:rPr>
        <w:t xml:space="preserve">                           </w:t>
      </w:r>
    </w:p>
    <w:bookmarkEnd w:id="4"/>
    <w:p>
      <w:pPr>
        <w:spacing w:line="520" w:lineRule="exact"/>
        <w:ind w:firstLine="636" w:firstLineChars="200"/>
        <w:rPr>
          <w:rFonts w:ascii="仿宋_GB2312" w:hAnsi="Times New Roman" w:eastAsia="仿宋_GB2312" w:cs="Times New Roman"/>
          <w:sz w:val="32"/>
          <w:szCs w:val="32"/>
          <w:highlight w:val="none"/>
        </w:rPr>
      </w:pPr>
      <w:r>
        <w:rPr>
          <w:rFonts w:ascii="仿宋_GB2312" w:hAnsi="仿宋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3年年末结转结余资金总额为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万元，全年支出预算数为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万元，资金结转结余率为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ascii="仿宋_GB2312" w:hAnsi="Times New Roman" w:eastAsia="仿宋_GB2312" w:cs="Times New Roman"/>
          <w:sz w:val="32"/>
          <w:szCs w:val="32"/>
          <w:highlight w:val="none"/>
        </w:rPr>
        <w:t>%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；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2年年末结转结余资金总额为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万元，全年支出预算数为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万元，资金结转结余率为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ascii="仿宋_GB2312" w:hAnsi="Times New Roman" w:eastAsia="仿宋_GB2312" w:cs="Times New Roman"/>
          <w:sz w:val="32"/>
          <w:szCs w:val="32"/>
          <w:highlight w:val="none"/>
        </w:rPr>
        <w:t>%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；</w:t>
      </w:r>
      <w:r>
        <w:rPr>
          <w:rFonts w:ascii="仿宋_GB2312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3年度部门结转结余率较上一年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持平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。</w:t>
      </w:r>
    </w:p>
    <w:p>
      <w:pPr>
        <w:spacing w:line="520" w:lineRule="exact"/>
        <w:ind w:firstLine="636" w:firstLineChars="200"/>
        <w:rPr>
          <w:rFonts w:ascii="黑体" w:hAnsi="黑体" w:eastAsia="黑体" w:cs="Times New Roman"/>
          <w:sz w:val="32"/>
          <w:szCs w:val="32"/>
          <w:highlight w:val="none"/>
        </w:rPr>
      </w:pPr>
      <w:r>
        <w:rPr>
          <w:rFonts w:hint="eastAsia" w:ascii="黑体" w:hAnsi="黑体" w:eastAsia="黑体" w:cs="Times New Roman"/>
          <w:sz w:val="32"/>
          <w:szCs w:val="32"/>
          <w:highlight w:val="none"/>
        </w:rPr>
        <w:t>三、整体绩效目标实现情况</w:t>
      </w:r>
    </w:p>
    <w:p>
      <w:pPr>
        <w:spacing w:line="520" w:lineRule="exact"/>
        <w:ind w:firstLine="636" w:firstLineChars="200"/>
        <w:rPr>
          <w:rFonts w:ascii="楷体_GB2312" w:hAnsi="Times New Roman" w:eastAsia="楷体_GB2312" w:cs="Times New Roman"/>
          <w:sz w:val="32"/>
          <w:szCs w:val="32"/>
          <w:highlight w:val="none"/>
        </w:rPr>
      </w:pPr>
      <w:r>
        <w:rPr>
          <w:rFonts w:hint="eastAsia" w:ascii="楷体_GB2312" w:hAnsi="Times New Roman" w:eastAsia="楷体_GB2312" w:cs="Times New Roman"/>
          <w:sz w:val="32"/>
          <w:szCs w:val="32"/>
          <w:highlight w:val="none"/>
        </w:rPr>
        <w:t>（一）产出完成情况分析</w:t>
      </w:r>
    </w:p>
    <w:p>
      <w:pPr>
        <w:spacing w:line="520" w:lineRule="exact"/>
        <w:ind w:firstLine="636" w:firstLineChars="200"/>
        <w:rPr>
          <w:rFonts w:ascii="仿宋_GB2312" w:hAnsi="Times New Roman" w:eastAsia="仿宋_GB2312" w:cs="Times New Roman"/>
          <w:sz w:val="32"/>
          <w:szCs w:val="32"/>
          <w:highlight w:val="none"/>
        </w:rPr>
      </w:pPr>
      <w:r>
        <w:rPr>
          <w:rFonts w:ascii="仿宋_GB2312" w:hAnsi="Times New Roman" w:eastAsia="仿宋_GB2312" w:cs="Times New Roman"/>
          <w:sz w:val="32"/>
          <w:szCs w:val="32"/>
          <w:highlight w:val="none"/>
        </w:rPr>
        <w:t>1.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产出数量</w:t>
      </w:r>
    </w:p>
    <w:tbl>
      <w:tblPr>
        <w:tblStyle w:val="8"/>
        <w:tblW w:w="920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901"/>
        <w:gridCol w:w="1950"/>
        <w:gridCol w:w="1850"/>
        <w:gridCol w:w="169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2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  <w:t>三级指标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  <w:t>计划值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  <w:t>完成值</w:t>
            </w:r>
          </w:p>
        </w:tc>
        <w:tc>
          <w:tcPr>
            <w:tcW w:w="1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  <w:t>偏差原因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食品药品检测数量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318" w:firstLineChars="100"/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≥1200件　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636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2061件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　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标准化抽查数量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636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　30件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954" w:firstLineChars="300"/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30件　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  <w:t>3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执法案件数量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318" w:firstLineChars="100"/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≥1000件　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636" w:firstLineChars="200"/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1039件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　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执法专线条数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954" w:firstLineChars="300"/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38条　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954" w:firstLineChars="300"/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highlight w:val="none"/>
              </w:rPr>
              <w:t>38条　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highlight w:val="none"/>
              </w:rPr>
              <w:t>　</w:t>
            </w:r>
          </w:p>
        </w:tc>
      </w:tr>
    </w:tbl>
    <w:p>
      <w:pPr>
        <w:numPr>
          <w:ilvl w:val="0"/>
          <w:numId w:val="1"/>
        </w:numPr>
        <w:spacing w:line="520" w:lineRule="exact"/>
        <w:ind w:firstLine="636" w:firstLineChars="200"/>
        <w:rPr>
          <w:rFonts w:hint="eastAsia"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产出质量</w:t>
      </w:r>
    </w:p>
    <w:tbl>
      <w:tblPr>
        <w:tblStyle w:val="8"/>
        <w:tblW w:w="9200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3254"/>
        <w:gridCol w:w="1360"/>
        <w:gridCol w:w="1686"/>
        <w:gridCol w:w="2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520" w:lineRule="exact"/>
              <w:ind w:firstLine="0" w:firstLineChars="0"/>
              <w:jc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仿宋_GB2312" w:hAnsi="宋体"/>
                <w:color w:val="auto"/>
                <w:kern w:val="0"/>
                <w:sz w:val="28"/>
              </w:rPr>
              <w:t>序号</w:t>
            </w:r>
          </w:p>
        </w:tc>
        <w:tc>
          <w:tcPr>
            <w:tcW w:w="3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520" w:lineRule="exact"/>
              <w:ind w:firstLine="0" w:firstLineChars="0"/>
              <w:jc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仿宋_GB2312" w:hAnsi="宋体"/>
                <w:color w:val="auto"/>
                <w:kern w:val="0"/>
                <w:sz w:val="28"/>
              </w:rPr>
              <w:t>绩效指标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520" w:lineRule="exact"/>
              <w:ind w:firstLine="0" w:firstLineChars="0"/>
              <w:jc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仿宋_GB2312" w:hAnsi="宋体"/>
                <w:color w:val="auto"/>
                <w:kern w:val="0"/>
                <w:sz w:val="28"/>
              </w:rPr>
              <w:t>计划值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520" w:lineRule="exact"/>
              <w:ind w:firstLine="0" w:firstLineChars="0"/>
              <w:jc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仿宋_GB2312" w:hAnsi="宋体"/>
                <w:color w:val="auto"/>
                <w:kern w:val="0"/>
                <w:sz w:val="28"/>
              </w:rPr>
              <w:t>完成值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520" w:lineRule="exact"/>
              <w:ind w:firstLine="0" w:firstLineChars="0"/>
              <w:jc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仿宋_GB2312" w:hAnsi="宋体"/>
                <w:color w:val="auto"/>
                <w:kern w:val="0"/>
                <w:sz w:val="28"/>
              </w:rPr>
              <w:t>偏差原因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520" w:lineRule="exact"/>
              <w:ind w:firstLine="0" w:firstLineChars="0"/>
              <w:jc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仿宋_GB2312" w:hAnsi="宋体"/>
                <w:color w:val="auto"/>
                <w:kern w:val="0"/>
                <w:sz w:val="28"/>
              </w:rPr>
              <w:t>1</w:t>
            </w:r>
          </w:p>
        </w:tc>
        <w:tc>
          <w:tcPr>
            <w:tcW w:w="3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ind w:firstLine="0" w:firstLineChars="0"/>
              <w:jc w:val="center"/>
              <w:textAlignment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0"/>
              </w:rPr>
              <w:t>食品药品检测样本合格率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ind w:firstLine="396"/>
              <w:jc w:val="center"/>
              <w:textAlignment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0"/>
              </w:rPr>
              <w:t>≥95%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ind w:firstLine="396"/>
              <w:jc w:val="center"/>
              <w:textAlignment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0"/>
              </w:rPr>
              <w:t>99.</w:t>
            </w:r>
            <w:r>
              <w:rPr>
                <w:rFonts w:hint="eastAsia" w:ascii="宋体" w:hAnsi="宋体" w:eastAsia="宋体"/>
                <w:color w:val="auto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color w:val="auto"/>
                <w:kern w:val="0"/>
                <w:sz w:val="20"/>
              </w:rPr>
              <w:t>%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520" w:lineRule="exact"/>
              <w:ind w:firstLine="0" w:firstLineChars="0"/>
              <w:jc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仿宋_GB2312" w:hAnsi="宋体"/>
                <w:color w:val="auto"/>
                <w:kern w:val="0"/>
                <w:sz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520" w:lineRule="exact"/>
              <w:ind w:firstLine="0" w:firstLineChars="0"/>
              <w:jc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仿宋_GB2312" w:hAnsi="宋体"/>
                <w:color w:val="auto"/>
                <w:kern w:val="0"/>
                <w:sz w:val="28"/>
              </w:rPr>
              <w:t>2</w:t>
            </w:r>
          </w:p>
        </w:tc>
        <w:tc>
          <w:tcPr>
            <w:tcW w:w="3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ind w:firstLine="396"/>
              <w:jc w:val="center"/>
              <w:textAlignment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0"/>
              </w:rPr>
              <w:t>接诉即办响应率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ind w:firstLine="396"/>
              <w:jc w:val="center"/>
              <w:textAlignment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0"/>
              </w:rPr>
              <w:t>≥95%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ind w:firstLine="396"/>
              <w:jc w:val="center"/>
              <w:textAlignment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0"/>
              </w:rPr>
              <w:t>100%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520" w:lineRule="exact"/>
              <w:ind w:firstLine="0" w:firstLineChars="0"/>
              <w:jc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仿宋_GB2312" w:hAnsi="宋体"/>
                <w:color w:val="auto"/>
                <w:kern w:val="0"/>
                <w:sz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520" w:lineRule="exact"/>
              <w:ind w:firstLine="0" w:firstLineChars="0"/>
              <w:jc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仿宋_GB2312" w:hAnsi="宋体"/>
                <w:color w:val="auto"/>
                <w:kern w:val="0"/>
                <w:sz w:val="28"/>
              </w:rPr>
              <w:t>3</w:t>
            </w:r>
          </w:p>
        </w:tc>
        <w:tc>
          <w:tcPr>
            <w:tcW w:w="3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ind w:firstLine="0" w:firstLineChars="0"/>
              <w:textAlignment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0"/>
              </w:rPr>
              <w:t>辖区内市场主体登记注册相关工作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ind w:firstLine="396"/>
              <w:jc w:val="center"/>
              <w:textAlignment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0"/>
              </w:rPr>
              <w:t>≥95%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ind w:firstLine="396"/>
              <w:jc w:val="center"/>
              <w:textAlignment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0"/>
              </w:rPr>
              <w:t>100%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520" w:lineRule="exact"/>
              <w:ind w:firstLine="0" w:firstLineChars="0"/>
              <w:jc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520" w:lineRule="exact"/>
              <w:ind w:firstLine="0" w:firstLineChars="0"/>
              <w:jc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仿宋_GB2312" w:hAnsi="宋体"/>
                <w:color w:val="auto"/>
                <w:kern w:val="0"/>
                <w:sz w:val="28"/>
              </w:rPr>
              <w:t>4</w:t>
            </w:r>
          </w:p>
        </w:tc>
        <w:tc>
          <w:tcPr>
            <w:tcW w:w="3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ind w:firstLine="396"/>
              <w:jc w:val="center"/>
              <w:textAlignment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0"/>
              </w:rPr>
              <w:t>执法社设备正常运行率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ind w:firstLine="396"/>
              <w:jc w:val="center"/>
              <w:textAlignment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0"/>
              </w:rPr>
              <w:t>≥95%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ind w:firstLine="396"/>
              <w:jc w:val="center"/>
              <w:textAlignment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0"/>
              </w:rPr>
              <w:t>100%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520" w:lineRule="exact"/>
              <w:ind w:firstLine="0" w:firstLineChars="0"/>
              <w:jc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520" w:lineRule="exact"/>
              <w:ind w:firstLine="0" w:firstLineChars="0"/>
              <w:jc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仿宋_GB2312" w:hAnsi="宋体"/>
                <w:color w:val="auto"/>
                <w:kern w:val="0"/>
                <w:sz w:val="28"/>
              </w:rPr>
              <w:t>5</w:t>
            </w:r>
          </w:p>
        </w:tc>
        <w:tc>
          <w:tcPr>
            <w:tcW w:w="3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ind w:firstLine="396"/>
              <w:jc w:val="center"/>
              <w:textAlignment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0"/>
              </w:rPr>
              <w:t>档案电子化率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ind w:firstLine="396"/>
              <w:jc w:val="center"/>
              <w:textAlignment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0"/>
              </w:rPr>
              <w:t>≥95%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ind w:firstLine="396"/>
              <w:jc w:val="center"/>
              <w:textAlignment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0"/>
              </w:rPr>
              <w:t>100%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520" w:lineRule="exact"/>
              <w:ind w:firstLine="0" w:firstLineChars="0"/>
              <w:jc w:val="center"/>
              <w:rPr>
                <w:rFonts w:hint="eastAsia" w:ascii="仿宋_GB2312" w:hAnsi="宋体"/>
                <w:color w:val="auto"/>
                <w:kern w:val="0"/>
                <w:sz w:val="28"/>
              </w:rPr>
            </w:pPr>
          </w:p>
        </w:tc>
      </w:tr>
    </w:tbl>
    <w:p>
      <w:pPr>
        <w:pStyle w:val="2"/>
        <w:numPr>
          <w:ilvl w:val="0"/>
          <w:numId w:val="0"/>
        </w:numPr>
      </w:pPr>
    </w:p>
    <w:p>
      <w:pPr>
        <w:numPr>
          <w:ilvl w:val="0"/>
          <w:numId w:val="1"/>
        </w:numPr>
        <w:spacing w:line="520" w:lineRule="exact"/>
        <w:ind w:left="0" w:leftChars="0" w:firstLine="636" w:firstLineChars="200"/>
        <w:rPr>
          <w:rFonts w:hint="eastAsia"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产出进度</w:t>
      </w:r>
    </w:p>
    <w:p>
      <w:pPr>
        <w:spacing w:beforeLines="0" w:afterLines="0" w:line="520" w:lineRule="exact"/>
        <w:ind w:firstLine="634"/>
        <w:rPr>
          <w:rFonts w:hint="eastAsia" w:ascii="仿宋" w:hAnsi="仿宋" w:eastAsia="仿宋" w:cstheme="minorBidi"/>
          <w:color w:val="auto"/>
          <w:kern w:val="2"/>
          <w:sz w:val="32"/>
          <w:szCs w:val="22"/>
          <w:highlight w:val="none"/>
          <w:lang w:val="en-US" w:eastAsia="zh-CN" w:bidi="ar-SA"/>
        </w:rPr>
      </w:pPr>
      <w:r>
        <w:rPr>
          <w:rFonts w:hint="eastAsia" w:ascii="仿宋" w:hAnsi="仿宋" w:eastAsia="仿宋" w:cstheme="minorBidi"/>
          <w:color w:val="auto"/>
          <w:kern w:val="2"/>
          <w:sz w:val="32"/>
          <w:szCs w:val="22"/>
          <w:highlight w:val="none"/>
          <w:lang w:val="en-US" w:eastAsia="zh-CN" w:bidi="ar-SA"/>
        </w:rPr>
        <w:t>按照预算申报要求，我局本年度各项任务完成时间均是在年度内，已按时按质完成全年各项主要工作任务。</w:t>
      </w:r>
    </w:p>
    <w:p>
      <w:pPr>
        <w:numPr>
          <w:ilvl w:val="0"/>
          <w:numId w:val="1"/>
        </w:numPr>
        <w:spacing w:line="520" w:lineRule="exact"/>
        <w:ind w:left="0" w:leftChars="0" w:firstLine="636" w:firstLineChars="200"/>
        <w:rPr>
          <w:rFonts w:hint="eastAsia"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产出成本</w:t>
      </w:r>
    </w:p>
    <w:p>
      <w:pPr>
        <w:pStyle w:val="2"/>
        <w:spacing w:beforeLines="0" w:afterLines="0"/>
      </w:pPr>
      <w:r>
        <w:rPr>
          <w:rFonts w:hint="eastAsia" w:ascii="仿宋" w:hAnsi="仿宋" w:eastAsia="仿宋"/>
          <w:color w:val="auto"/>
          <w:sz w:val="32"/>
          <w:highlight w:val="none"/>
        </w:rPr>
        <w:t>按照预算申报要求，我局本年度各项工作任务成本实际支出相关费用：</w:t>
      </w:r>
      <w:r>
        <w:rPr>
          <w:rFonts w:hint="eastAsia" w:ascii="仿宋" w:hAnsi="仿宋" w:eastAsia="仿宋"/>
          <w:color w:val="auto"/>
          <w:sz w:val="32"/>
          <w:highlight w:val="none"/>
          <w:lang w:val="en-US" w:eastAsia="zh-CN"/>
        </w:rPr>
        <w:t>11791.03</w:t>
      </w:r>
      <w:r>
        <w:rPr>
          <w:rFonts w:hint="eastAsia" w:ascii="仿宋" w:hAnsi="仿宋" w:eastAsia="仿宋"/>
          <w:color w:val="auto"/>
          <w:sz w:val="32"/>
          <w:highlight w:val="none"/>
        </w:rPr>
        <w:t>万元（其中项目经费</w:t>
      </w:r>
      <w:r>
        <w:rPr>
          <w:rFonts w:hint="eastAsia" w:ascii="仿宋" w:hAnsi="仿宋" w:eastAsia="仿宋"/>
          <w:color w:val="auto"/>
          <w:sz w:val="32"/>
          <w:highlight w:val="none"/>
          <w:lang w:val="en-US" w:eastAsia="zh-CN"/>
        </w:rPr>
        <w:t>844.10</w:t>
      </w:r>
      <w:r>
        <w:rPr>
          <w:rFonts w:hint="eastAsia" w:ascii="仿宋" w:hAnsi="仿宋" w:eastAsia="仿宋"/>
          <w:color w:val="auto"/>
          <w:sz w:val="32"/>
          <w:highlight w:val="none"/>
        </w:rPr>
        <w:t>万元），无超支挤占事项。</w:t>
      </w:r>
    </w:p>
    <w:p>
      <w:pPr>
        <w:spacing w:line="520" w:lineRule="exact"/>
        <w:ind w:firstLine="636" w:firstLineChars="200"/>
        <w:rPr>
          <w:rFonts w:ascii="楷体_GB2312" w:hAnsi="Times New Roman" w:eastAsia="楷体_GB2312" w:cs="Times New Roman"/>
          <w:sz w:val="32"/>
          <w:szCs w:val="32"/>
          <w:highlight w:val="none"/>
        </w:rPr>
      </w:pPr>
      <w:r>
        <w:rPr>
          <w:rFonts w:hint="eastAsia" w:ascii="楷体_GB2312" w:hAnsi="Times New Roman" w:eastAsia="楷体_GB2312" w:cs="Times New Roman"/>
          <w:sz w:val="32"/>
          <w:szCs w:val="32"/>
          <w:highlight w:val="none"/>
        </w:rPr>
        <w:t>（二）效果实现情况分析</w:t>
      </w:r>
    </w:p>
    <w:p>
      <w:pPr>
        <w:spacing w:line="520" w:lineRule="exact"/>
        <w:ind w:firstLine="636" w:firstLineChars="200"/>
        <w:rPr>
          <w:rFonts w:hint="eastAsia" w:ascii="仿宋_GB2312" w:hAnsi="仿宋" w:eastAsia="仿宋_GB2312" w:cs="Times New Roman"/>
          <w:sz w:val="32"/>
          <w:szCs w:val="32"/>
          <w:highlight w:val="none"/>
        </w:rPr>
      </w:pPr>
      <w:r>
        <w:rPr>
          <w:rFonts w:ascii="仿宋_GB2312" w:hAnsi="仿宋" w:eastAsia="仿宋_GB2312" w:cs="Times New Roman"/>
          <w:sz w:val="32"/>
          <w:szCs w:val="32"/>
          <w:highlight w:val="none"/>
        </w:rPr>
        <w:t>1.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经济效益</w:t>
      </w:r>
    </w:p>
    <w:p>
      <w:pPr>
        <w:pStyle w:val="2"/>
        <w:ind w:left="0" w:leftChars="0" w:firstLine="636" w:firstLineChars="200"/>
        <w:rPr>
          <w:highlight w:val="none"/>
        </w:rPr>
      </w:pPr>
      <w:r>
        <w:rPr>
          <w:rFonts w:hint="eastAsia" w:ascii="仿宋" w:hAnsi="仿宋" w:eastAsia="仿宋"/>
          <w:color w:val="auto"/>
          <w:sz w:val="32"/>
          <w:highlight w:val="none"/>
        </w:rPr>
        <w:t>按照预算申报要求，我局各项目的经济效益是通过各种行政执法方式,利用安全有效的检测手段，力争减轻执法成本，减少人为干扰因素，严格执法，公正执法，通过本年度各项目的实施，已经达到了预期效果</w:t>
      </w:r>
      <w:r>
        <w:rPr>
          <w:rFonts w:hint="eastAsia" w:ascii="仿宋_GB2312"/>
          <w:color w:val="auto"/>
          <w:sz w:val="32"/>
          <w:highlight w:val="none"/>
        </w:rPr>
        <w:t>。</w:t>
      </w:r>
    </w:p>
    <w:p>
      <w:pPr>
        <w:spacing w:line="520" w:lineRule="exact"/>
        <w:ind w:firstLine="636" w:firstLineChars="200"/>
        <w:rPr>
          <w:rFonts w:hint="eastAsia" w:ascii="仿宋_GB2312" w:hAnsi="仿宋" w:eastAsia="仿宋_GB2312" w:cs="Times New Roman"/>
          <w:sz w:val="32"/>
          <w:szCs w:val="32"/>
          <w:highlight w:val="none"/>
        </w:rPr>
      </w:pPr>
      <w:r>
        <w:rPr>
          <w:rFonts w:ascii="仿宋_GB2312" w:hAnsi="仿宋" w:eastAsia="仿宋_GB2312" w:cs="Times New Roman"/>
          <w:sz w:val="32"/>
          <w:szCs w:val="32"/>
          <w:highlight w:val="none"/>
        </w:rPr>
        <w:t>2.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社会效益</w:t>
      </w:r>
    </w:p>
    <w:p>
      <w:pPr>
        <w:pStyle w:val="2"/>
        <w:ind w:left="0" w:leftChars="0" w:firstLine="636" w:firstLineChars="200"/>
        <w:rPr>
          <w:highlight w:val="none"/>
        </w:rPr>
      </w:pPr>
      <w:r>
        <w:rPr>
          <w:rFonts w:hint="eastAsia" w:ascii="仿宋" w:hAnsi="仿宋" w:eastAsia="仿宋"/>
          <w:color w:val="auto"/>
          <w:sz w:val="32"/>
          <w:highlight w:val="none"/>
        </w:rPr>
        <w:t>按照预算申报要求，我局各项目的社会效益是通过加强执法检查、利用检测手段等各种方式方法，做好安全风险隐患排查，减少市场假冒伪劣产品，通过本年度各项目的实施，已经达到了预期效果。</w:t>
      </w:r>
    </w:p>
    <w:p>
      <w:pPr>
        <w:spacing w:line="520" w:lineRule="exact"/>
        <w:ind w:firstLine="636" w:firstLineChars="200"/>
        <w:rPr>
          <w:rFonts w:hint="eastAsia" w:ascii="仿宋_GB2312" w:hAnsi="仿宋" w:eastAsia="仿宋_GB2312" w:cs="Times New Roman"/>
          <w:sz w:val="32"/>
          <w:szCs w:val="32"/>
          <w:highlight w:val="none"/>
        </w:rPr>
      </w:pPr>
      <w:r>
        <w:rPr>
          <w:rFonts w:ascii="仿宋_GB2312" w:hAnsi="仿宋" w:eastAsia="仿宋_GB2312" w:cs="Times New Roman"/>
          <w:sz w:val="32"/>
          <w:szCs w:val="32"/>
          <w:highlight w:val="none"/>
        </w:rPr>
        <w:t>3.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环境效益</w:t>
      </w:r>
    </w:p>
    <w:p>
      <w:pPr>
        <w:numPr>
          <w:ilvl w:val="0"/>
          <w:numId w:val="0"/>
        </w:numPr>
        <w:spacing w:beforeLines="0" w:afterLines="0" w:line="520" w:lineRule="exact"/>
        <w:ind w:firstLine="636"/>
        <w:rPr>
          <w:highlight w:val="none"/>
        </w:rPr>
      </w:pPr>
      <w:r>
        <w:rPr>
          <w:rFonts w:hint="eastAsia" w:ascii="仿宋" w:hAnsi="仿宋" w:eastAsia="仿宋"/>
          <w:color w:val="auto"/>
          <w:sz w:val="32"/>
          <w:highlight w:val="none"/>
        </w:rPr>
        <w:t>按照预算申报要求，我局各项目的环境效益是通过正规的检测机构及检测手段，减少浪费污染，保持我区的生态环境安全，通过本年度个项目的实施，已经达到了预期效果。</w:t>
      </w:r>
    </w:p>
    <w:p>
      <w:pPr>
        <w:numPr>
          <w:ilvl w:val="0"/>
          <w:numId w:val="2"/>
        </w:numPr>
        <w:spacing w:line="520" w:lineRule="exact"/>
        <w:ind w:firstLine="636" w:firstLineChars="200"/>
        <w:rPr>
          <w:rFonts w:hint="eastAsia"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可持续影响</w:t>
      </w:r>
    </w:p>
    <w:p>
      <w:pPr>
        <w:pStyle w:val="2"/>
        <w:numPr>
          <w:ilvl w:val="0"/>
          <w:numId w:val="0"/>
        </w:numPr>
        <w:ind w:firstLine="636" w:firstLineChars="200"/>
        <w:rPr>
          <w:rFonts w:hint="eastAsia"/>
          <w:highlight w:val="none"/>
          <w:lang w:eastAsia="zh-CN"/>
        </w:rPr>
      </w:pPr>
      <w:r>
        <w:rPr>
          <w:rFonts w:hint="eastAsia" w:ascii="仿宋" w:hAnsi="仿宋" w:eastAsia="仿宋"/>
          <w:color w:val="auto"/>
          <w:sz w:val="32"/>
          <w:highlight w:val="none"/>
        </w:rPr>
        <w:t>按照预算申报要求，我局各项目的可持续影响效益是强化底线思维，筑牢市场安全防线，创造我区宜居宜业环境，通过本年度各项目的实施，已经达到了预期效果。</w:t>
      </w:r>
    </w:p>
    <w:p>
      <w:pPr>
        <w:numPr>
          <w:ilvl w:val="0"/>
          <w:numId w:val="2"/>
        </w:numPr>
        <w:spacing w:line="520" w:lineRule="exact"/>
        <w:ind w:left="0" w:leftChars="0" w:firstLine="636" w:firstLineChars="200"/>
        <w:rPr>
          <w:rFonts w:hint="eastAsia"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服务对象满意度</w:t>
      </w:r>
    </w:p>
    <w:p>
      <w:pPr>
        <w:pStyle w:val="2"/>
        <w:spacing w:beforeLines="0" w:afterLines="0"/>
        <w:ind w:left="0" w:leftChars="0" w:firstLine="636" w:firstLineChars="200"/>
      </w:pPr>
      <w:r>
        <w:rPr>
          <w:rFonts w:hint="eastAsia" w:ascii="仿宋" w:hAnsi="仿宋" w:eastAsia="仿宋"/>
          <w:color w:val="auto"/>
          <w:sz w:val="32"/>
          <w:highlight w:val="none"/>
        </w:rPr>
        <w:t>202</w:t>
      </w:r>
      <w:r>
        <w:rPr>
          <w:rFonts w:hint="eastAsia" w:ascii="仿宋" w:hAnsi="仿宋" w:eastAsia="仿宋"/>
          <w:color w:val="auto"/>
          <w:sz w:val="32"/>
          <w:highlight w:val="none"/>
          <w:lang w:val="en-US" w:eastAsia="zh-CN"/>
        </w:rPr>
        <w:t>3</w:t>
      </w:r>
      <w:r>
        <w:rPr>
          <w:rFonts w:hint="eastAsia" w:ascii="仿宋" w:hAnsi="仿宋" w:eastAsia="仿宋"/>
          <w:color w:val="auto"/>
          <w:sz w:val="32"/>
          <w:highlight w:val="none"/>
        </w:rPr>
        <w:t>年我局在实施各</w:t>
      </w:r>
      <w:r>
        <w:rPr>
          <w:rFonts w:hint="eastAsia" w:ascii="仿宋" w:hAnsi="仿宋" w:eastAsia="仿宋"/>
          <w:color w:val="auto"/>
          <w:sz w:val="32"/>
        </w:rPr>
        <w:t>项任务项目时，综合考虑了市场的安全因素和社会和谐因素，没有收到大量的监管对象投诉，监管满意度达到了95%以上。</w:t>
      </w:r>
    </w:p>
    <w:p>
      <w:pPr>
        <w:spacing w:line="520" w:lineRule="exact"/>
        <w:ind w:firstLine="636" w:firstLineChars="200"/>
        <w:rPr>
          <w:rFonts w:ascii="黑体" w:hAnsi="黑体" w:eastAsia="黑体" w:cs="Times New Roman"/>
          <w:sz w:val="32"/>
          <w:szCs w:val="32"/>
          <w:highlight w:val="none"/>
        </w:rPr>
      </w:pPr>
      <w:r>
        <w:rPr>
          <w:rFonts w:hint="eastAsia" w:ascii="黑体" w:hAnsi="黑体" w:eastAsia="黑体" w:cs="Times New Roman"/>
          <w:sz w:val="32"/>
          <w:szCs w:val="32"/>
          <w:highlight w:val="none"/>
        </w:rPr>
        <w:t>四、预算管理情况分析</w:t>
      </w:r>
    </w:p>
    <w:p>
      <w:pPr>
        <w:spacing w:line="520" w:lineRule="exact"/>
        <w:ind w:firstLine="636" w:firstLineChars="200"/>
        <w:rPr>
          <w:rFonts w:ascii="楷体_GB2312" w:hAnsi="Times New Roman" w:eastAsia="楷体_GB2312" w:cs="Times New Roman"/>
          <w:sz w:val="32"/>
          <w:szCs w:val="32"/>
          <w:highlight w:val="none"/>
        </w:rPr>
      </w:pPr>
      <w:r>
        <w:rPr>
          <w:rFonts w:hint="eastAsia" w:ascii="楷体_GB2312" w:hAnsi="Times New Roman" w:eastAsia="楷体_GB2312" w:cs="Times New Roman"/>
          <w:sz w:val="32"/>
          <w:szCs w:val="32"/>
          <w:highlight w:val="none"/>
        </w:rPr>
        <w:t>（一）财务管理</w:t>
      </w:r>
    </w:p>
    <w:p>
      <w:pPr>
        <w:widowControl/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  <w:highlight w:val="yellow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本单位制定了财务管理方面的相关制度,如资金管理制度、内部审计制度等；在财务工作中严格执行相关资金的管理、使用、收支等制度，今后还会结合本单位的实际情况进一步的修改和完善各项制度，形成财务管理制度体系。</w:t>
      </w:r>
    </w:p>
    <w:p>
      <w:pPr>
        <w:spacing w:line="520" w:lineRule="exact"/>
        <w:ind w:firstLine="636" w:firstLineChars="200"/>
        <w:rPr>
          <w:rFonts w:ascii="楷体_GB2312" w:hAnsi="Times New Roman" w:eastAsia="楷体_GB2312" w:cs="Times New Roman"/>
          <w:sz w:val="32"/>
          <w:szCs w:val="32"/>
          <w:highlight w:val="none"/>
        </w:rPr>
      </w:pPr>
      <w:r>
        <w:rPr>
          <w:rFonts w:hint="eastAsia" w:ascii="楷体_GB2312" w:hAnsi="Times New Roman" w:eastAsia="楷体_GB2312" w:cs="Times New Roman"/>
          <w:sz w:val="32"/>
          <w:szCs w:val="32"/>
          <w:highlight w:val="none"/>
        </w:rPr>
        <w:t>（二）资产管理</w:t>
      </w:r>
    </w:p>
    <w:p>
      <w:pPr>
        <w:widowControl/>
        <w:spacing w:line="520" w:lineRule="exact"/>
        <w:ind w:firstLine="636" w:firstLineChars="200"/>
        <w:rPr>
          <w:rFonts w:hint="eastAsia"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按照固定资产管理工作的要求，我局已制定了«固定资产管理制度»，并在实际工作中严格落实：</w:t>
      </w:r>
    </w:p>
    <w:p>
      <w:pPr>
        <w:widowControl/>
        <w:spacing w:line="520" w:lineRule="exact"/>
        <w:ind w:firstLine="636" w:firstLineChars="200"/>
        <w:rPr>
          <w:rFonts w:hint="eastAsia"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1.建立资产管理长效机制，增强财务管理人员的职责意识，使财务管理管理和记账人员的职责落实到实处；</w:t>
      </w:r>
    </w:p>
    <w:p>
      <w:pPr>
        <w:widowControl/>
        <w:spacing w:line="520" w:lineRule="exact"/>
        <w:ind w:firstLine="636" w:firstLineChars="200"/>
        <w:rPr>
          <w:rFonts w:hint="eastAsia"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2.运用信息技术进行资产管理，依托资产动态库等管理手段加强对资产的监控，把单位的资产管理与财务管理、资产的价值管理和实物管理结合起来，及时反映单位的资产存量和变量情况，实现由静态管理向动态管理的转变；</w:t>
      </w:r>
    </w:p>
    <w:p>
      <w:pPr>
        <w:widowControl/>
        <w:spacing w:line="520" w:lineRule="exact"/>
        <w:ind w:firstLine="636" w:firstLineChars="200"/>
        <w:rPr>
          <w:rFonts w:hint="eastAsia"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3.定期组织固定资产盘点清查工作，使固定资产检查经常化，更好的从源头上加强了对固定资产的监督管理。</w:t>
      </w:r>
    </w:p>
    <w:p>
      <w:pPr>
        <w:spacing w:line="520" w:lineRule="exact"/>
        <w:ind w:firstLine="636" w:firstLineChars="200"/>
        <w:rPr>
          <w:rFonts w:ascii="楷体_GB2312" w:hAnsi="Times New Roman" w:eastAsia="楷体_GB2312" w:cs="Times New Roman"/>
          <w:sz w:val="32"/>
          <w:szCs w:val="32"/>
          <w:highlight w:val="none"/>
        </w:rPr>
      </w:pPr>
      <w:r>
        <w:rPr>
          <w:rFonts w:hint="eastAsia" w:ascii="楷体_GB2312" w:hAnsi="Times New Roman" w:eastAsia="楷体_GB2312" w:cs="Times New Roman"/>
          <w:sz w:val="32"/>
          <w:szCs w:val="32"/>
          <w:highlight w:val="none"/>
        </w:rPr>
        <w:t>（三）绩效管理</w:t>
      </w:r>
    </w:p>
    <w:p>
      <w:pPr>
        <w:spacing w:line="520" w:lineRule="exact"/>
        <w:ind w:firstLine="636" w:firstLineChars="200"/>
        <w:rPr>
          <w:rFonts w:hint="eastAsia" w:ascii="仿宋_GB2312" w:hAnsi="仿宋" w:eastAsia="仿宋_GB2312" w:cs="Times New Roman"/>
          <w:sz w:val="32"/>
          <w:szCs w:val="32"/>
          <w:highlight w:val="none"/>
        </w:rPr>
      </w:pPr>
      <w:r>
        <w:rPr>
          <w:rFonts w:ascii="仿宋_GB2312" w:hAnsi="仿宋" w:eastAsia="仿宋_GB2312" w:cs="Times New Roman"/>
          <w:sz w:val="32"/>
          <w:szCs w:val="32"/>
          <w:highlight w:val="none"/>
        </w:rPr>
        <w:t>1.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预算绩效管理制度情况</w:t>
      </w:r>
    </w:p>
    <w:p>
      <w:pPr>
        <w:pStyle w:val="2"/>
        <w:ind w:left="0" w:leftChars="0" w:firstLine="636" w:firstLineChars="200"/>
      </w:pPr>
      <w:r>
        <w:rPr>
          <w:rFonts w:hint="eastAsia" w:ascii="仿宋_GB2312" w:hAnsi="微软雅黑" w:eastAsia="仿宋_GB2312"/>
          <w:color w:val="auto"/>
          <w:sz w:val="32"/>
          <w:shd w:val="clear" w:color="auto" w:fill="FFFFFF"/>
        </w:rPr>
        <w:t>随着我局内控制度的推进，包括采购管理、合同管理等制度的建设情况，在工作中均有所体现，但是仍不是特别完善，今后工作中还需要结合本单位的实际情况进一步的修订。</w:t>
      </w:r>
    </w:p>
    <w:p>
      <w:pPr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  <w:highlight w:val="none"/>
        </w:rPr>
      </w:pPr>
      <w:r>
        <w:rPr>
          <w:rFonts w:ascii="仿宋_GB2312" w:hAnsi="仿宋" w:eastAsia="仿宋_GB2312" w:cs="Times New Roman"/>
          <w:sz w:val="32"/>
          <w:szCs w:val="32"/>
          <w:highlight w:val="none"/>
        </w:rPr>
        <w:t>2.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绩效目标管理情况</w:t>
      </w:r>
    </w:p>
    <w:p>
      <w:pPr>
        <w:spacing w:line="520" w:lineRule="exact"/>
        <w:ind w:firstLine="636" w:firstLineChars="200"/>
        <w:rPr>
          <w:rFonts w:hint="eastAsia" w:ascii="仿宋_GB2312" w:hAnsi="微软雅黑" w:eastAsia="仿宋_GB2312" w:cstheme="minorBidi"/>
          <w:color w:val="auto"/>
          <w:kern w:val="2"/>
          <w:sz w:val="32"/>
          <w:szCs w:val="22"/>
          <w:shd w:val="clear" w:color="auto" w:fill="FFFFFF"/>
          <w:lang w:val="en-US" w:eastAsia="zh-CN" w:bidi="ar-SA"/>
        </w:rPr>
      </w:pPr>
      <w:r>
        <w:rPr>
          <w:rFonts w:hint="eastAsia" w:ascii="仿宋_GB2312" w:hAnsi="微软雅黑" w:eastAsia="仿宋_GB2312" w:cstheme="minorBidi"/>
          <w:color w:val="auto"/>
          <w:kern w:val="2"/>
          <w:sz w:val="32"/>
          <w:szCs w:val="22"/>
          <w:shd w:val="clear" w:color="auto" w:fill="FFFFFF"/>
          <w:lang w:val="en-US" w:eastAsia="zh-CN" w:bidi="ar-SA"/>
        </w:rPr>
        <w:t>2023年部门预算项目10个，部门预算公开绩效目标的预算项目10个，占本部门全部预算项目的100%。</w:t>
      </w:r>
    </w:p>
    <w:p>
      <w:pPr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  <w:highlight w:val="none"/>
        </w:rPr>
      </w:pPr>
      <w:r>
        <w:rPr>
          <w:rFonts w:ascii="仿宋_GB2312" w:hAnsi="仿宋" w:eastAsia="仿宋_GB2312" w:cs="Times New Roman"/>
          <w:sz w:val="32"/>
          <w:szCs w:val="32"/>
          <w:highlight w:val="none"/>
        </w:rPr>
        <w:t>3.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绩效运行监控情况</w:t>
      </w:r>
    </w:p>
    <w:p>
      <w:pPr>
        <w:spacing w:line="520" w:lineRule="exact"/>
        <w:ind w:firstLine="636" w:firstLineChars="200"/>
        <w:rPr>
          <w:rFonts w:hint="eastAsia" w:ascii="仿宋_GB2312" w:hAnsi="微软雅黑" w:eastAsia="仿宋_GB2312" w:cstheme="minorBidi"/>
          <w:color w:val="auto"/>
          <w:kern w:val="2"/>
          <w:sz w:val="32"/>
          <w:szCs w:val="22"/>
          <w:shd w:val="clear" w:color="auto" w:fill="FFFFFF"/>
          <w:lang w:val="en-US" w:eastAsia="zh-CN" w:bidi="ar-SA"/>
        </w:rPr>
      </w:pPr>
      <w:r>
        <w:rPr>
          <w:rFonts w:hint="eastAsia" w:ascii="仿宋_GB2312" w:hAnsi="微软雅黑" w:eastAsia="仿宋_GB2312" w:cstheme="minorBidi"/>
          <w:color w:val="auto"/>
          <w:kern w:val="2"/>
          <w:sz w:val="32"/>
          <w:szCs w:val="22"/>
          <w:shd w:val="clear" w:color="auto" w:fill="FFFFFF"/>
          <w:lang w:val="en-US" w:eastAsia="zh-CN" w:bidi="ar-SA"/>
        </w:rPr>
        <w:t>2023年对本部门及所属单位10个预算项目进行绩效运行监控，占部门项目总数的10%，涉及资金308.36万元。</w:t>
      </w:r>
    </w:p>
    <w:p>
      <w:pPr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  <w:highlight w:val="none"/>
        </w:rPr>
      </w:pPr>
      <w:r>
        <w:rPr>
          <w:rFonts w:ascii="仿宋_GB2312" w:hAnsi="仿宋" w:eastAsia="仿宋_GB2312" w:cs="Times New Roman"/>
          <w:sz w:val="32"/>
          <w:szCs w:val="32"/>
          <w:highlight w:val="none"/>
        </w:rPr>
        <w:t>4.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绩效自评情况</w:t>
      </w:r>
    </w:p>
    <w:p>
      <w:pPr>
        <w:spacing w:line="520" w:lineRule="exact"/>
        <w:ind w:firstLine="636" w:firstLineChars="200"/>
        <w:rPr>
          <w:rFonts w:hint="eastAsia" w:ascii="仿宋_GB2312" w:hAnsi="Times New Roman" w:eastAsia="仿宋_GB2312" w:cs="Times New Roman"/>
          <w:sz w:val="32"/>
          <w:szCs w:val="32"/>
          <w:highlight w:val="yellow"/>
        </w:rPr>
      </w:pPr>
      <w:r>
        <w:rPr>
          <w:rFonts w:ascii="仿宋_GB2312" w:hAnsi="仿宋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3年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对本部门及所属单位</w:t>
      </w:r>
      <w:r>
        <w:rPr>
          <w:rFonts w:ascii="仿宋_GB2312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2年项目支出实施了绩效自评，评价项目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个，涉及金额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1393.55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万元。</w:t>
      </w:r>
    </w:p>
    <w:p>
      <w:pPr>
        <w:pStyle w:val="2"/>
      </w:pPr>
    </w:p>
    <w:p>
      <w:pPr>
        <w:widowControl/>
        <w:spacing w:line="520" w:lineRule="exact"/>
        <w:ind w:firstLine="636" w:firstLineChars="200"/>
        <w:rPr>
          <w:rFonts w:ascii="黑体" w:hAnsi="黑体" w:eastAsia="黑体" w:cs="Times New Roman"/>
          <w:sz w:val="32"/>
          <w:szCs w:val="32"/>
          <w:highlight w:val="none"/>
        </w:rPr>
      </w:pPr>
      <w:r>
        <w:rPr>
          <w:rFonts w:hint="eastAsia" w:ascii="黑体" w:hAnsi="黑体" w:eastAsia="黑体" w:cs="宋体"/>
          <w:sz w:val="32"/>
          <w:szCs w:val="32"/>
          <w:highlight w:val="none"/>
        </w:rPr>
        <w:t>五、总体评价结论</w:t>
      </w:r>
    </w:p>
    <w:p>
      <w:pPr>
        <w:spacing w:line="520" w:lineRule="exact"/>
        <w:ind w:firstLine="636" w:firstLineChars="200"/>
        <w:rPr>
          <w:rFonts w:ascii="楷体_GB2312" w:hAnsi="仿宋" w:eastAsia="楷体_GB2312" w:cs="Times New Roman"/>
          <w:sz w:val="32"/>
          <w:szCs w:val="32"/>
          <w:highlight w:val="none"/>
        </w:rPr>
      </w:pPr>
      <w:r>
        <w:rPr>
          <w:rFonts w:hint="eastAsia" w:ascii="楷体_GB2312" w:hAnsi="仿宋" w:eastAsia="楷体_GB2312" w:cs="Times New Roman"/>
          <w:sz w:val="32"/>
          <w:szCs w:val="32"/>
          <w:highlight w:val="none"/>
        </w:rPr>
        <w:t>（一）评价得分情况</w:t>
      </w:r>
    </w:p>
    <w:p>
      <w:pPr>
        <w:widowControl/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请结合《部门整体支出绩效自评表》中的得分情况填写以下内容。</w:t>
      </w:r>
    </w:p>
    <w:p>
      <w:pPr>
        <w:widowControl/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绩效自评总分：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  <w:t>99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分</w:t>
      </w:r>
    </w:p>
    <w:p>
      <w:pPr>
        <w:widowControl/>
        <w:spacing w:line="520" w:lineRule="exact"/>
        <w:ind w:firstLine="636" w:firstLineChars="200"/>
        <w:rPr>
          <w:rFonts w:hint="eastAsia" w:ascii="仿宋_GB2312" w:hAnsi="微软雅黑" w:eastAsia="仿宋_GB2312"/>
          <w:color w:val="auto"/>
          <w:sz w:val="32"/>
          <w:highlight w:val="none"/>
          <w:shd w:val="clear" w:color="auto" w:fill="FFFFFF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绩效自评等级：</w:t>
      </w:r>
      <w:r>
        <w:rPr>
          <w:rFonts w:hint="eastAsia" w:ascii="仿宋_GB2312" w:hAnsi="微软雅黑" w:eastAsia="仿宋_GB2312"/>
          <w:color w:val="auto"/>
          <w:sz w:val="32"/>
          <w:highlight w:val="none"/>
          <w:shd w:val="clear" w:color="auto" w:fill="FFFFFF"/>
        </w:rPr>
        <w:t>优秀</w:t>
      </w:r>
    </w:p>
    <w:p>
      <w:pPr>
        <w:widowControl/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四类评价等级：优秀（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90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（含）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-100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分）、良好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80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（含）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-90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分、一般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60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（含）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-80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分、较差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60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分以下</w:t>
      </w:r>
    </w:p>
    <w:p>
      <w:pPr>
        <w:spacing w:line="520" w:lineRule="exact"/>
        <w:ind w:firstLine="636" w:firstLineChars="200"/>
        <w:rPr>
          <w:rFonts w:ascii="楷体_GB2312" w:hAnsi="仿宋" w:eastAsia="楷体_GB2312" w:cs="Times New Roman"/>
          <w:sz w:val="32"/>
          <w:szCs w:val="32"/>
          <w:highlight w:val="none"/>
        </w:rPr>
      </w:pPr>
      <w:r>
        <w:rPr>
          <w:rFonts w:hint="eastAsia" w:ascii="楷体_GB2312" w:hAnsi="仿宋" w:eastAsia="楷体_GB2312" w:cs="Times New Roman"/>
          <w:sz w:val="32"/>
          <w:szCs w:val="32"/>
          <w:highlight w:val="none"/>
        </w:rPr>
        <w:t>（二）存在的问题及原因分析</w:t>
      </w:r>
    </w:p>
    <w:p>
      <w:pPr>
        <w:widowControl/>
        <w:spacing w:line="520" w:lineRule="exact"/>
        <w:ind w:firstLine="636" w:firstLineChars="200"/>
        <w:rPr>
          <w:rFonts w:hint="eastAsia"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1.由于绩效考核工作是由财政部门布置，业务科室按惯性认为此项工作为财务部门的工作，业务科室对绩效考核工作不太重视，在填报绩效考核表时，偶有对付的情况是有发生。</w:t>
      </w:r>
    </w:p>
    <w:p>
      <w:pPr>
        <w:widowControl/>
        <w:spacing w:line="520" w:lineRule="exact"/>
        <w:ind w:firstLine="636" w:firstLineChars="200"/>
        <w:rPr>
          <w:rFonts w:hint="eastAsia"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2.业务科室只重视业务工作，对绩效考核指标关注度不够，指标科学程度和细化程度略显不够。</w:t>
      </w:r>
    </w:p>
    <w:p>
      <w:pPr>
        <w:widowControl/>
        <w:spacing w:line="520" w:lineRule="exact"/>
        <w:ind w:firstLine="636" w:firstLineChars="200"/>
        <w:rPr>
          <w:rFonts w:hint="eastAsia" w:ascii="仿宋_GB2312" w:hAnsi="微软雅黑"/>
          <w:color w:val="auto"/>
          <w:sz w:val="32"/>
          <w:highlight w:val="none"/>
          <w:shd w:val="clear" w:color="auto" w:fill="FFFFFF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3.由于种种原因，绩效考核的大量工作基本是由财务部门完成，相关资料不完全，不充分的情况偶有发生。</w:t>
      </w:r>
    </w:p>
    <w:p>
      <w:pPr>
        <w:spacing w:line="520" w:lineRule="exact"/>
        <w:ind w:firstLine="636" w:firstLineChars="200"/>
        <w:rPr>
          <w:rFonts w:ascii="楷体_GB2312" w:hAnsi="仿宋" w:eastAsia="楷体_GB2312" w:cs="Times New Roman"/>
          <w:sz w:val="32"/>
          <w:szCs w:val="32"/>
          <w:highlight w:val="none"/>
        </w:rPr>
      </w:pPr>
      <w:r>
        <w:rPr>
          <w:rFonts w:hint="eastAsia" w:ascii="楷体_GB2312" w:hAnsi="仿宋" w:eastAsia="楷体_GB2312" w:cs="Times New Roman"/>
          <w:sz w:val="32"/>
          <w:szCs w:val="32"/>
          <w:highlight w:val="none"/>
        </w:rPr>
        <w:t>（三）改进措施</w:t>
      </w:r>
    </w:p>
    <w:p>
      <w:pPr>
        <w:widowControl/>
        <w:spacing w:line="520" w:lineRule="exact"/>
        <w:ind w:firstLine="636" w:firstLineChars="200"/>
        <w:rPr>
          <w:rFonts w:hint="eastAsia"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1.进一步提高项目参与人员的预算绩效管理意识，通过宣传培训等手段提高人员对预算绩效管理的认知程度，促进绩效管理理念在实施工作中的落实。</w:t>
      </w:r>
    </w:p>
    <w:p>
      <w:pPr>
        <w:widowControl/>
        <w:spacing w:line="520" w:lineRule="exact"/>
        <w:ind w:firstLine="636" w:firstLineChars="200"/>
        <w:rPr>
          <w:rFonts w:hint="eastAsia"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2.进一步提高绩效目标编制的科学性和细化程度，完善效益指标的可衡量性，做到细化量化，以保证相关指标的可考核。</w:t>
      </w:r>
    </w:p>
    <w:p>
      <w:pPr>
        <w:widowControl/>
        <w:spacing w:line="520" w:lineRule="exact"/>
        <w:ind w:firstLine="636" w:firstLineChars="200"/>
        <w:rPr>
          <w:rFonts w:hint="eastAsia"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3.进一步注重收集绩效材料，注意留存项目实施前后效果对比的资料，注重开展满意度调查工作，为项目绩效成果的体现提供更加全面的支撑。</w:t>
      </w:r>
    </w:p>
    <w:p>
      <w:pPr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  <w:highlight w:val="none"/>
        </w:rPr>
      </w:pPr>
    </w:p>
    <w:bookmarkEnd w:id="3"/>
    <w:p>
      <w:pPr>
        <w:spacing w:line="520" w:lineRule="exact"/>
        <w:ind w:firstLine="636" w:firstLineChars="200"/>
        <w:jc w:val="left"/>
        <w:rPr>
          <w:rFonts w:ascii="仿宋_GB2312" w:hAnsi="Times New Roman" w:eastAsia="仿宋_GB2312" w:cs="Times New Roman"/>
          <w:sz w:val="32"/>
          <w:szCs w:val="32"/>
          <w:highlight w:val="none"/>
        </w:rPr>
      </w:pPr>
    </w:p>
    <w:p>
      <w:pPr>
        <w:rPr>
          <w:highlight w:val="none"/>
        </w:rPr>
      </w:pPr>
    </w:p>
    <w:sectPr>
      <w:footerReference r:id="rId9" w:type="default"/>
      <w:pgSz w:w="11907" w:h="16840"/>
      <w:pgMar w:top="1797" w:right="1440" w:bottom="1276" w:left="1440" w:header="851" w:footer="992" w:gutter="0"/>
      <w:pgNumType w:start="1"/>
      <w:cols w:space="425" w:num="1"/>
      <w:docGrid w:type="linesAndChars" w:linePitch="606" w:charSpace="-61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ind w:firstLine="360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ind w:firstLine="360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4</w:t>
    </w:r>
    <w:r>
      <w:rPr>
        <w:rStyle w:val="7"/>
      </w:rPr>
      <w:fldChar w:fldCharType="end"/>
    </w:r>
  </w:p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74168A"/>
    <w:multiLevelType w:val="singleLevel"/>
    <w:tmpl w:val="A174168A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A8AD14B"/>
    <w:multiLevelType w:val="singleLevel"/>
    <w:tmpl w:val="7A8AD14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969"/>
    <w:rsid w:val="0004502A"/>
    <w:rsid w:val="0015133D"/>
    <w:rsid w:val="001F1B65"/>
    <w:rsid w:val="00271F9E"/>
    <w:rsid w:val="00385D4E"/>
    <w:rsid w:val="00632E15"/>
    <w:rsid w:val="007C5969"/>
    <w:rsid w:val="00846439"/>
    <w:rsid w:val="008B4180"/>
    <w:rsid w:val="008C4DEF"/>
    <w:rsid w:val="0099769B"/>
    <w:rsid w:val="00A5549B"/>
    <w:rsid w:val="00AC3863"/>
    <w:rsid w:val="00B12733"/>
    <w:rsid w:val="00D92EAA"/>
    <w:rsid w:val="00D937A9"/>
    <w:rsid w:val="00E26073"/>
    <w:rsid w:val="00E430E2"/>
    <w:rsid w:val="00F578CA"/>
    <w:rsid w:val="13D36590"/>
    <w:rsid w:val="1BC80532"/>
    <w:rsid w:val="28613CF0"/>
    <w:rsid w:val="2C4E203C"/>
    <w:rsid w:val="2D5A369A"/>
    <w:rsid w:val="37AC0DE3"/>
    <w:rsid w:val="4BF41154"/>
    <w:rsid w:val="54BE496A"/>
    <w:rsid w:val="56096718"/>
    <w:rsid w:val="57BB139C"/>
    <w:rsid w:val="64424FE6"/>
    <w:rsid w:val="646B5DEF"/>
    <w:rsid w:val="6B8668B6"/>
    <w:rsid w:val="6D285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spacing w:beforeLines="0" w:afterLines="0"/>
      <w:ind w:firstLine="420"/>
    </w:pPr>
    <w:rPr>
      <w:rFonts w:hint="eastAsia" w:eastAsia="宋体"/>
      <w:sz w:val="2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hint="eastAsia" w:ascii="宋体" w:hAnsi="宋体" w:eastAsia="宋体"/>
      <w:color w:val="000000"/>
      <w:sz w:val="24"/>
    </w:rPr>
  </w:style>
  <w:style w:type="character" w:styleId="7">
    <w:name w:val="page number"/>
    <w:semiHidden/>
    <w:uiPriority w:val="99"/>
    <w:rPr>
      <w:rFonts w:cs="Times New Roman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198</Words>
  <Characters>1135</Characters>
  <Lines>9</Lines>
  <Paragraphs>2</Paragraphs>
  <TotalTime>23</TotalTime>
  <ScaleCrop>false</ScaleCrop>
  <LinksUpToDate>false</LinksUpToDate>
  <CharactersWithSpaces>1331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2024-01-17T07:47:00Z</dcterms:created>
  <dc:creator>李菁</dc:creator>
  <cp:lastModifiedBy>admin</cp:lastModifiedBy>
  <dcterms:modified xsi:type="dcterms:W3CDTF">2024-06-19T01:38:17Z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