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60" w:lineRule="exact"/>
        <w:jc w:val="center"/>
        <w:rPr>
          <w:rFonts w:ascii="华文中宋" w:hAnsi="华文中宋" w:eastAsia="华文中宋"/>
          <w:b/>
          <w:sz w:val="36"/>
          <w:szCs w:val="36"/>
        </w:rPr>
      </w:pPr>
      <w:r>
        <w:rPr>
          <w:rFonts w:hint="eastAsia" w:ascii="华文中宋" w:hAnsi="华文中宋" w:eastAsia="华文中宋"/>
          <w:b/>
          <w:sz w:val="36"/>
          <w:szCs w:val="36"/>
        </w:rPr>
        <w:t>目   录</w:t>
      </w:r>
    </w:p>
    <w:p>
      <w:pPr>
        <w:spacing w:line="460" w:lineRule="exact"/>
        <w:jc w:val="center"/>
        <w:rPr>
          <w:rFonts w:ascii="华文中宋" w:hAnsi="华文中宋" w:eastAsia="华文中宋"/>
          <w:b/>
          <w:sz w:val="36"/>
          <w:szCs w:val="36"/>
        </w:rPr>
      </w:pPr>
    </w:p>
    <w:p>
      <w:pPr>
        <w:spacing w:line="460" w:lineRule="exact"/>
        <w:ind w:firstLine="420" w:firstLineChars="150"/>
        <w:jc w:val="left"/>
        <w:rPr>
          <w:rFonts w:ascii="黑体" w:hAnsi="黑体" w:eastAsia="黑体"/>
          <w:sz w:val="28"/>
          <w:szCs w:val="32"/>
        </w:rPr>
      </w:pPr>
      <w:r>
        <w:rPr>
          <w:rFonts w:hint="eastAsia" w:ascii="黑体" w:hAnsi="黑体" w:eastAsia="黑体"/>
          <w:sz w:val="28"/>
          <w:szCs w:val="32"/>
        </w:rPr>
        <w:t>第一部分 20</w:t>
      </w:r>
      <w:r>
        <w:rPr>
          <w:rFonts w:ascii="黑体" w:hAnsi="黑体" w:eastAsia="黑体"/>
          <w:sz w:val="28"/>
          <w:szCs w:val="32"/>
        </w:rPr>
        <w:t>2</w:t>
      </w:r>
      <w:r>
        <w:rPr>
          <w:rFonts w:hint="eastAsia" w:ascii="黑体" w:hAnsi="黑体" w:eastAsia="黑体"/>
          <w:sz w:val="28"/>
          <w:szCs w:val="32"/>
        </w:rPr>
        <w:t>5年度部门预算情况说明</w:t>
      </w:r>
    </w:p>
    <w:p>
      <w:pPr>
        <w:spacing w:line="460" w:lineRule="exact"/>
        <w:ind w:firstLine="420" w:firstLineChars="150"/>
        <w:jc w:val="left"/>
        <w:rPr>
          <w:rFonts w:ascii="仿宋_GB2312" w:eastAsia="仿宋_GB2312"/>
          <w:sz w:val="28"/>
          <w:szCs w:val="32"/>
        </w:rPr>
      </w:pPr>
      <w:r>
        <w:rPr>
          <w:rFonts w:hint="eastAsia" w:ascii="仿宋_GB2312" w:eastAsia="仿宋_GB2312"/>
          <w:sz w:val="28"/>
          <w:szCs w:val="32"/>
        </w:rPr>
        <w:t>一、部门情况</w:t>
      </w:r>
    </w:p>
    <w:p>
      <w:pPr>
        <w:spacing w:line="460" w:lineRule="exact"/>
        <w:ind w:firstLine="420" w:firstLineChars="150"/>
        <w:jc w:val="left"/>
        <w:rPr>
          <w:rFonts w:ascii="仿宋_GB2312" w:eastAsia="仿宋_GB2312"/>
          <w:sz w:val="28"/>
          <w:szCs w:val="32"/>
        </w:rPr>
      </w:pPr>
      <w:r>
        <w:rPr>
          <w:rFonts w:hint="eastAsia" w:ascii="仿宋_GB2312" w:eastAsia="仿宋_GB2312"/>
          <w:sz w:val="28"/>
          <w:szCs w:val="32"/>
        </w:rPr>
        <w:t>二、收入预算说明</w:t>
      </w:r>
    </w:p>
    <w:p>
      <w:pPr>
        <w:spacing w:line="460" w:lineRule="exact"/>
        <w:ind w:firstLine="420" w:firstLineChars="150"/>
        <w:jc w:val="left"/>
        <w:rPr>
          <w:rFonts w:ascii="仿宋_GB2312" w:eastAsia="仿宋_GB2312"/>
          <w:sz w:val="28"/>
          <w:szCs w:val="32"/>
        </w:rPr>
      </w:pPr>
      <w:r>
        <w:rPr>
          <w:rFonts w:hint="eastAsia" w:ascii="仿宋_GB2312" w:eastAsia="仿宋_GB2312"/>
          <w:sz w:val="28"/>
          <w:szCs w:val="32"/>
        </w:rPr>
        <w:t>三、支出预算说明</w:t>
      </w:r>
    </w:p>
    <w:p>
      <w:pPr>
        <w:spacing w:line="460" w:lineRule="exact"/>
        <w:ind w:firstLine="420" w:firstLineChars="150"/>
        <w:jc w:val="left"/>
        <w:rPr>
          <w:rFonts w:ascii="仿宋_GB2312" w:eastAsia="仿宋_GB2312"/>
          <w:sz w:val="28"/>
          <w:szCs w:val="32"/>
        </w:rPr>
      </w:pPr>
      <w:r>
        <w:rPr>
          <w:rFonts w:hint="eastAsia" w:ascii="仿宋_GB2312" w:eastAsia="仿宋_GB2312"/>
          <w:sz w:val="28"/>
          <w:szCs w:val="32"/>
        </w:rPr>
        <w:t>四</w:t>
      </w:r>
      <w:r>
        <w:rPr>
          <w:rFonts w:ascii="仿宋_GB2312" w:eastAsia="仿宋_GB2312"/>
          <w:sz w:val="28"/>
          <w:szCs w:val="32"/>
        </w:rPr>
        <w:t>、</w:t>
      </w:r>
      <w:r>
        <w:rPr>
          <w:rFonts w:hint="eastAsia" w:ascii="仿宋_GB2312" w:eastAsia="仿宋_GB2312"/>
          <w:sz w:val="28"/>
          <w:szCs w:val="32"/>
        </w:rPr>
        <w:t>部门</w:t>
      </w:r>
      <w:r>
        <w:rPr>
          <w:rFonts w:hint="eastAsia" w:ascii="仿宋_GB2312" w:eastAsia="仿宋_GB2312"/>
          <w:sz w:val="28"/>
          <w:szCs w:val="32"/>
          <w:lang w:eastAsia="zh-CN"/>
        </w:rPr>
        <w:t>“</w:t>
      </w:r>
      <w:r>
        <w:rPr>
          <w:rFonts w:hint="eastAsia" w:ascii="仿宋_GB2312" w:eastAsia="仿宋_GB2312"/>
          <w:sz w:val="28"/>
          <w:szCs w:val="32"/>
        </w:rPr>
        <w:t>三公</w:t>
      </w:r>
      <w:r>
        <w:rPr>
          <w:rFonts w:hint="eastAsia" w:ascii="仿宋_GB2312" w:eastAsia="仿宋_GB2312"/>
          <w:sz w:val="28"/>
          <w:szCs w:val="32"/>
          <w:lang w:eastAsia="zh-CN"/>
        </w:rPr>
        <w:t>”</w:t>
      </w:r>
      <w:r>
        <w:rPr>
          <w:rFonts w:hint="eastAsia" w:ascii="仿宋_GB2312" w:eastAsia="仿宋_GB2312"/>
          <w:sz w:val="28"/>
          <w:szCs w:val="32"/>
        </w:rPr>
        <w:t>经费财政拨款预算说明</w:t>
      </w:r>
    </w:p>
    <w:p>
      <w:pPr>
        <w:spacing w:line="460" w:lineRule="exact"/>
        <w:ind w:firstLine="420" w:firstLineChars="150"/>
        <w:jc w:val="left"/>
        <w:rPr>
          <w:rFonts w:ascii="仿宋_GB2312" w:eastAsia="仿宋_GB2312"/>
          <w:sz w:val="28"/>
          <w:szCs w:val="32"/>
        </w:rPr>
      </w:pPr>
      <w:r>
        <w:rPr>
          <w:rFonts w:hint="eastAsia" w:ascii="仿宋_GB2312" w:eastAsia="仿宋_GB2312"/>
          <w:sz w:val="28"/>
          <w:szCs w:val="32"/>
        </w:rPr>
        <w:t>五</w:t>
      </w:r>
      <w:r>
        <w:rPr>
          <w:rFonts w:ascii="仿宋_GB2312" w:eastAsia="仿宋_GB2312"/>
          <w:sz w:val="28"/>
          <w:szCs w:val="32"/>
        </w:rPr>
        <w:t>、</w:t>
      </w:r>
      <w:r>
        <w:rPr>
          <w:rFonts w:hint="eastAsia" w:ascii="仿宋_GB2312" w:eastAsia="仿宋_GB2312"/>
          <w:sz w:val="28"/>
          <w:szCs w:val="32"/>
        </w:rPr>
        <w:t>其他情况说明</w:t>
      </w:r>
    </w:p>
    <w:p>
      <w:pPr>
        <w:spacing w:line="460" w:lineRule="exact"/>
        <w:ind w:firstLine="420" w:firstLineChars="150"/>
        <w:jc w:val="left"/>
        <w:rPr>
          <w:rFonts w:ascii="黑体" w:hAnsi="黑体" w:eastAsia="黑体"/>
          <w:sz w:val="28"/>
          <w:szCs w:val="32"/>
        </w:rPr>
      </w:pPr>
    </w:p>
    <w:p>
      <w:pPr>
        <w:spacing w:line="460" w:lineRule="exact"/>
        <w:ind w:firstLine="420" w:firstLineChars="150"/>
        <w:jc w:val="left"/>
        <w:rPr>
          <w:rFonts w:ascii="黑体" w:hAnsi="黑体" w:eastAsia="黑体"/>
          <w:sz w:val="28"/>
          <w:szCs w:val="32"/>
        </w:rPr>
      </w:pPr>
      <w:r>
        <w:rPr>
          <w:rFonts w:hint="eastAsia" w:ascii="黑体" w:hAnsi="黑体" w:eastAsia="黑体"/>
          <w:sz w:val="28"/>
          <w:szCs w:val="32"/>
        </w:rPr>
        <w:t>第二部分 20</w:t>
      </w:r>
      <w:r>
        <w:rPr>
          <w:rFonts w:ascii="黑体" w:hAnsi="黑体" w:eastAsia="黑体"/>
          <w:sz w:val="28"/>
          <w:szCs w:val="32"/>
        </w:rPr>
        <w:t>2</w:t>
      </w:r>
      <w:r>
        <w:rPr>
          <w:rFonts w:hint="eastAsia" w:ascii="黑体" w:hAnsi="黑体" w:eastAsia="黑体"/>
          <w:sz w:val="28"/>
          <w:szCs w:val="32"/>
        </w:rPr>
        <w:t>5年度部门预算报表</w:t>
      </w:r>
    </w:p>
    <w:p>
      <w:pPr>
        <w:spacing w:line="460" w:lineRule="exact"/>
        <w:ind w:firstLine="420" w:firstLineChars="150"/>
        <w:jc w:val="left"/>
        <w:rPr>
          <w:rFonts w:ascii="仿宋_GB2312" w:eastAsia="仿宋_GB2312"/>
          <w:sz w:val="28"/>
          <w:szCs w:val="32"/>
        </w:rPr>
      </w:pPr>
      <w:r>
        <w:rPr>
          <w:rFonts w:hint="eastAsia" w:ascii="仿宋_GB2312" w:eastAsia="仿宋_GB2312"/>
          <w:sz w:val="28"/>
          <w:szCs w:val="32"/>
        </w:rPr>
        <w:t>1.收支总表</w:t>
      </w:r>
    </w:p>
    <w:p>
      <w:pPr>
        <w:spacing w:line="460" w:lineRule="exact"/>
        <w:ind w:firstLine="420" w:firstLineChars="150"/>
        <w:jc w:val="left"/>
        <w:rPr>
          <w:rFonts w:ascii="仿宋_GB2312" w:eastAsia="仿宋_GB2312"/>
          <w:sz w:val="28"/>
          <w:szCs w:val="32"/>
        </w:rPr>
      </w:pPr>
      <w:r>
        <w:rPr>
          <w:rFonts w:hint="eastAsia" w:ascii="仿宋_GB2312" w:eastAsia="仿宋_GB2312"/>
          <w:sz w:val="28"/>
          <w:szCs w:val="32"/>
        </w:rPr>
        <w:t>2.收入总表</w:t>
      </w:r>
    </w:p>
    <w:p>
      <w:pPr>
        <w:spacing w:line="460" w:lineRule="exact"/>
        <w:ind w:firstLine="420" w:firstLineChars="150"/>
        <w:jc w:val="left"/>
        <w:rPr>
          <w:rFonts w:ascii="仿宋_GB2312" w:eastAsia="仿宋_GB2312"/>
          <w:sz w:val="28"/>
          <w:szCs w:val="32"/>
        </w:rPr>
      </w:pPr>
      <w:r>
        <w:rPr>
          <w:rFonts w:hint="eastAsia" w:ascii="仿宋_GB2312" w:eastAsia="仿宋_GB2312"/>
          <w:sz w:val="28"/>
          <w:szCs w:val="32"/>
        </w:rPr>
        <w:t>3.支出总表</w:t>
      </w:r>
    </w:p>
    <w:p>
      <w:pPr>
        <w:spacing w:line="460" w:lineRule="exact"/>
        <w:ind w:firstLine="420" w:firstLineChars="150"/>
        <w:jc w:val="left"/>
        <w:rPr>
          <w:rFonts w:ascii="仿宋_GB2312" w:eastAsia="仿宋_GB2312"/>
          <w:sz w:val="28"/>
          <w:szCs w:val="32"/>
        </w:rPr>
      </w:pPr>
      <w:r>
        <w:rPr>
          <w:rFonts w:hint="eastAsia" w:ascii="仿宋_GB2312" w:eastAsia="仿宋_GB2312"/>
          <w:sz w:val="28"/>
          <w:szCs w:val="32"/>
        </w:rPr>
        <w:t>4.项目支出表</w:t>
      </w:r>
    </w:p>
    <w:p>
      <w:pPr>
        <w:spacing w:line="460" w:lineRule="exact"/>
        <w:ind w:firstLine="420" w:firstLineChars="150"/>
        <w:jc w:val="left"/>
        <w:rPr>
          <w:rFonts w:ascii="仿宋_GB2312" w:eastAsia="仿宋_GB2312"/>
          <w:sz w:val="28"/>
          <w:szCs w:val="32"/>
        </w:rPr>
      </w:pPr>
      <w:r>
        <w:rPr>
          <w:rFonts w:hint="eastAsia" w:ascii="仿宋_GB2312" w:eastAsia="仿宋_GB2312"/>
          <w:sz w:val="28"/>
          <w:szCs w:val="32"/>
        </w:rPr>
        <w:t>5.政府采购预算明细表</w:t>
      </w:r>
    </w:p>
    <w:p>
      <w:pPr>
        <w:spacing w:line="460" w:lineRule="exact"/>
        <w:ind w:firstLine="420" w:firstLineChars="150"/>
        <w:jc w:val="left"/>
        <w:rPr>
          <w:rFonts w:ascii="仿宋_GB2312" w:eastAsia="仿宋_GB2312"/>
          <w:sz w:val="28"/>
          <w:szCs w:val="32"/>
        </w:rPr>
      </w:pPr>
      <w:r>
        <w:rPr>
          <w:rFonts w:hint="eastAsia" w:ascii="仿宋_GB2312" w:eastAsia="仿宋_GB2312"/>
          <w:sz w:val="28"/>
          <w:szCs w:val="32"/>
        </w:rPr>
        <w:t>6.财拨总表</w:t>
      </w:r>
    </w:p>
    <w:p>
      <w:pPr>
        <w:spacing w:line="460" w:lineRule="exact"/>
        <w:ind w:firstLine="420" w:firstLineChars="150"/>
        <w:jc w:val="left"/>
        <w:rPr>
          <w:rFonts w:ascii="仿宋_GB2312" w:eastAsia="仿宋_GB2312"/>
          <w:sz w:val="28"/>
          <w:szCs w:val="32"/>
        </w:rPr>
      </w:pPr>
      <w:r>
        <w:rPr>
          <w:rFonts w:hint="eastAsia" w:ascii="仿宋_GB2312" w:eastAsia="仿宋_GB2312"/>
          <w:sz w:val="28"/>
          <w:szCs w:val="32"/>
        </w:rPr>
        <w:t>7.一般公共预算财政拨款支出表</w:t>
      </w:r>
    </w:p>
    <w:p>
      <w:pPr>
        <w:spacing w:line="460" w:lineRule="exact"/>
        <w:ind w:firstLine="420" w:firstLineChars="150"/>
        <w:jc w:val="left"/>
        <w:rPr>
          <w:rFonts w:ascii="仿宋_GB2312" w:eastAsia="仿宋_GB2312"/>
          <w:sz w:val="28"/>
          <w:szCs w:val="32"/>
        </w:rPr>
      </w:pPr>
      <w:r>
        <w:rPr>
          <w:rFonts w:hint="eastAsia" w:ascii="仿宋_GB2312" w:eastAsia="仿宋_GB2312"/>
          <w:sz w:val="28"/>
          <w:szCs w:val="32"/>
        </w:rPr>
        <w:t>8.一般公共预算财政拨款基本支出表</w:t>
      </w:r>
    </w:p>
    <w:p>
      <w:pPr>
        <w:spacing w:line="460" w:lineRule="exact"/>
        <w:ind w:firstLine="420" w:firstLineChars="150"/>
        <w:jc w:val="left"/>
        <w:rPr>
          <w:rFonts w:ascii="仿宋_GB2312" w:eastAsia="仿宋_GB2312"/>
          <w:sz w:val="28"/>
          <w:szCs w:val="32"/>
        </w:rPr>
      </w:pPr>
      <w:r>
        <w:rPr>
          <w:rFonts w:hint="eastAsia" w:ascii="仿宋_GB2312" w:eastAsia="仿宋_GB2312"/>
          <w:sz w:val="28"/>
          <w:szCs w:val="32"/>
        </w:rPr>
        <w:t>9.政府性基金预算财政拨款支出表</w:t>
      </w:r>
    </w:p>
    <w:p>
      <w:pPr>
        <w:spacing w:line="460" w:lineRule="exact"/>
        <w:ind w:firstLine="420" w:firstLineChars="150"/>
        <w:jc w:val="left"/>
        <w:rPr>
          <w:rFonts w:ascii="仿宋_GB2312" w:eastAsia="仿宋_GB2312"/>
          <w:sz w:val="28"/>
          <w:szCs w:val="32"/>
        </w:rPr>
      </w:pPr>
      <w:r>
        <w:rPr>
          <w:rFonts w:hint="eastAsia" w:ascii="仿宋_GB2312" w:eastAsia="仿宋_GB2312"/>
          <w:sz w:val="28"/>
          <w:szCs w:val="32"/>
        </w:rPr>
        <w:t>10.国有资本经营预算财政拨款支出表</w:t>
      </w:r>
    </w:p>
    <w:p>
      <w:pPr>
        <w:spacing w:line="460" w:lineRule="exact"/>
        <w:ind w:firstLine="420" w:firstLineChars="150"/>
        <w:jc w:val="left"/>
        <w:rPr>
          <w:rFonts w:ascii="仿宋_GB2312" w:eastAsia="仿宋_GB2312"/>
          <w:sz w:val="28"/>
          <w:szCs w:val="32"/>
        </w:rPr>
      </w:pPr>
      <w:r>
        <w:rPr>
          <w:rFonts w:hint="eastAsia" w:ascii="仿宋_GB2312" w:eastAsia="仿宋_GB2312"/>
          <w:sz w:val="28"/>
          <w:szCs w:val="32"/>
        </w:rPr>
        <w:t>11.</w:t>
      </w:r>
      <w:r>
        <w:rPr>
          <w:rFonts w:hint="eastAsia" w:ascii="仿宋_GB2312" w:eastAsia="仿宋_GB2312"/>
          <w:sz w:val="28"/>
          <w:szCs w:val="32"/>
          <w:lang w:eastAsia="zh-CN"/>
        </w:rPr>
        <w:t>“</w:t>
      </w:r>
      <w:r>
        <w:rPr>
          <w:rFonts w:hint="eastAsia" w:ascii="仿宋_GB2312" w:eastAsia="仿宋_GB2312"/>
          <w:sz w:val="28"/>
          <w:szCs w:val="32"/>
        </w:rPr>
        <w:t>三公</w:t>
      </w:r>
      <w:r>
        <w:rPr>
          <w:rFonts w:hint="eastAsia" w:ascii="仿宋_GB2312" w:eastAsia="仿宋_GB2312"/>
          <w:sz w:val="28"/>
          <w:szCs w:val="32"/>
          <w:lang w:eastAsia="zh-CN"/>
        </w:rPr>
        <w:t>”</w:t>
      </w:r>
      <w:r>
        <w:rPr>
          <w:rFonts w:hint="eastAsia" w:ascii="仿宋_GB2312" w:eastAsia="仿宋_GB2312"/>
          <w:sz w:val="28"/>
          <w:szCs w:val="32"/>
        </w:rPr>
        <w:t>经费支出表</w:t>
      </w:r>
    </w:p>
    <w:p>
      <w:pPr>
        <w:spacing w:line="460" w:lineRule="exact"/>
        <w:ind w:firstLine="420" w:firstLineChars="150"/>
        <w:jc w:val="left"/>
        <w:rPr>
          <w:rFonts w:ascii="仿宋_GB2312" w:eastAsia="仿宋_GB2312"/>
          <w:sz w:val="28"/>
          <w:szCs w:val="32"/>
        </w:rPr>
      </w:pPr>
      <w:r>
        <w:rPr>
          <w:rFonts w:hint="eastAsia" w:ascii="仿宋_GB2312" w:eastAsia="仿宋_GB2312"/>
          <w:sz w:val="28"/>
          <w:szCs w:val="32"/>
        </w:rPr>
        <w:t>12.政府购买服务预算财政拨款明细表</w:t>
      </w:r>
    </w:p>
    <w:p>
      <w:pPr>
        <w:spacing w:line="460" w:lineRule="exact"/>
        <w:ind w:firstLine="420" w:firstLineChars="150"/>
        <w:jc w:val="left"/>
        <w:rPr>
          <w:rFonts w:ascii="仿宋_GB2312" w:eastAsia="仿宋_GB2312"/>
          <w:sz w:val="28"/>
          <w:szCs w:val="32"/>
        </w:rPr>
      </w:pPr>
      <w:r>
        <w:rPr>
          <w:rFonts w:hint="eastAsia" w:ascii="仿宋_GB2312" w:eastAsia="仿宋_GB2312"/>
          <w:sz w:val="28"/>
          <w:szCs w:val="32"/>
        </w:rPr>
        <w:t>13.整体支出绩效目标申报表</w:t>
      </w:r>
    </w:p>
    <w:p>
      <w:pPr>
        <w:spacing w:line="460" w:lineRule="exact"/>
        <w:ind w:firstLine="420" w:firstLineChars="150"/>
        <w:jc w:val="left"/>
        <w:rPr>
          <w:rFonts w:ascii="仿宋_GB2312" w:eastAsia="仿宋_GB2312"/>
          <w:sz w:val="28"/>
          <w:szCs w:val="32"/>
        </w:rPr>
      </w:pPr>
      <w:r>
        <w:rPr>
          <w:rFonts w:hint="eastAsia" w:ascii="仿宋_GB2312" w:eastAsia="仿宋_GB2312"/>
          <w:sz w:val="28"/>
          <w:szCs w:val="32"/>
        </w:rPr>
        <w:t>14.项目支出绩效目标表</w:t>
      </w:r>
    </w:p>
    <w:tbl>
      <w:tblPr>
        <w:tblStyle w:val="6"/>
        <w:tblW w:w="11320" w:type="dxa"/>
        <w:tblInd w:w="108" w:type="dxa"/>
        <w:tblLayout w:type="fixed"/>
        <w:tblCellMar>
          <w:top w:w="0" w:type="dxa"/>
          <w:left w:w="108" w:type="dxa"/>
          <w:bottom w:w="0" w:type="dxa"/>
          <w:right w:w="108" w:type="dxa"/>
        </w:tblCellMar>
      </w:tblPr>
      <w:tblGrid>
        <w:gridCol w:w="11320"/>
      </w:tblGrid>
      <w:tr>
        <w:tblPrEx>
          <w:tblCellMar>
            <w:top w:w="0" w:type="dxa"/>
            <w:left w:w="108" w:type="dxa"/>
            <w:bottom w:w="0" w:type="dxa"/>
            <w:right w:w="108" w:type="dxa"/>
          </w:tblCellMar>
        </w:tblPrEx>
        <w:trPr>
          <w:trHeight w:val="327" w:hRule="atLeast"/>
        </w:trPr>
        <w:tc>
          <w:tcPr>
            <w:tcW w:w="11320" w:type="dxa"/>
            <w:tcBorders>
              <w:top w:val="nil"/>
              <w:left w:val="nil"/>
              <w:bottom w:val="nil"/>
              <w:right w:val="nil"/>
            </w:tcBorders>
            <w:shd w:val="clear" w:color="auto" w:fill="auto"/>
            <w:vAlign w:val="center"/>
          </w:tcPr>
          <w:p>
            <w:pPr>
              <w:widowControl/>
              <w:jc w:val="left"/>
              <w:rPr>
                <w:rFonts w:ascii="仿宋_GB2312" w:eastAsia="仿宋_GB2312"/>
                <w:sz w:val="28"/>
                <w:szCs w:val="32"/>
              </w:rPr>
            </w:pPr>
          </w:p>
        </w:tc>
      </w:tr>
      <w:tr>
        <w:tblPrEx>
          <w:tblCellMar>
            <w:top w:w="0" w:type="dxa"/>
            <w:left w:w="108" w:type="dxa"/>
            <w:bottom w:w="0" w:type="dxa"/>
            <w:right w:w="108" w:type="dxa"/>
          </w:tblCellMar>
        </w:tblPrEx>
        <w:trPr>
          <w:trHeight w:val="327" w:hRule="atLeast"/>
        </w:trPr>
        <w:tc>
          <w:tcPr>
            <w:tcW w:w="11320" w:type="dxa"/>
            <w:tcBorders>
              <w:top w:val="nil"/>
              <w:left w:val="nil"/>
              <w:bottom w:val="nil"/>
              <w:right w:val="nil"/>
            </w:tcBorders>
            <w:shd w:val="clear" w:color="auto" w:fill="auto"/>
            <w:vAlign w:val="center"/>
          </w:tcPr>
          <w:p>
            <w:pPr>
              <w:spacing w:line="460" w:lineRule="exact"/>
              <w:ind w:firstLine="420" w:firstLineChars="150"/>
              <w:jc w:val="left"/>
              <w:rPr>
                <w:rFonts w:ascii="仿宋_GB2312" w:eastAsia="仿宋_GB2312"/>
                <w:sz w:val="28"/>
                <w:szCs w:val="32"/>
              </w:rPr>
            </w:pPr>
          </w:p>
        </w:tc>
      </w:tr>
    </w:tbl>
    <w:p>
      <w:pPr>
        <w:jc w:val="center"/>
        <w:rPr>
          <w:rFonts w:ascii="仿宋_GB2312" w:eastAsia="仿宋_GB2312"/>
          <w:b/>
          <w:sz w:val="28"/>
          <w:szCs w:val="32"/>
        </w:rPr>
      </w:pPr>
    </w:p>
    <w:p>
      <w:pPr>
        <w:jc w:val="center"/>
        <w:rPr>
          <w:rFonts w:ascii="仿宋_GB2312" w:eastAsia="仿宋_GB2312"/>
          <w:b/>
          <w:sz w:val="28"/>
          <w:szCs w:val="32"/>
        </w:rPr>
      </w:pPr>
    </w:p>
    <w:p>
      <w:pPr>
        <w:jc w:val="center"/>
        <w:rPr>
          <w:rFonts w:ascii="仿宋_GB2312" w:eastAsia="仿宋_GB2312"/>
          <w:b/>
          <w:sz w:val="28"/>
          <w:szCs w:val="32"/>
        </w:rPr>
      </w:pPr>
    </w:p>
    <w:p>
      <w:pPr>
        <w:spacing w:line="500" w:lineRule="exact"/>
        <w:jc w:val="center"/>
        <w:rPr>
          <w:rFonts w:ascii="华文中宋" w:hAnsi="华文中宋" w:eastAsia="华文中宋"/>
          <w:b/>
          <w:sz w:val="36"/>
          <w:szCs w:val="36"/>
        </w:rPr>
      </w:pPr>
      <w:r>
        <w:rPr>
          <w:rFonts w:hint="eastAsia" w:ascii="华文中宋" w:hAnsi="华文中宋" w:eastAsia="华文中宋"/>
          <w:b/>
          <w:sz w:val="36"/>
          <w:szCs w:val="36"/>
        </w:rPr>
        <w:t>第一</w:t>
      </w:r>
      <w:r>
        <w:rPr>
          <w:rFonts w:ascii="华文中宋" w:hAnsi="华文中宋" w:eastAsia="华文中宋"/>
          <w:b/>
          <w:sz w:val="36"/>
          <w:szCs w:val="36"/>
        </w:rPr>
        <w:t>部分</w:t>
      </w:r>
      <w:r>
        <w:rPr>
          <w:rFonts w:hint="eastAsia" w:ascii="华文中宋" w:hAnsi="华文中宋" w:eastAsia="华文中宋"/>
          <w:b/>
          <w:sz w:val="36"/>
          <w:szCs w:val="36"/>
        </w:rPr>
        <w:t xml:space="preserve"> 2025年度门头沟区可持续发展中心</w:t>
      </w:r>
    </w:p>
    <w:p>
      <w:pPr>
        <w:spacing w:line="500" w:lineRule="exact"/>
        <w:jc w:val="center"/>
        <w:rPr>
          <w:rFonts w:ascii="华文中宋" w:hAnsi="华文中宋" w:eastAsia="华文中宋"/>
          <w:b/>
          <w:sz w:val="36"/>
          <w:szCs w:val="36"/>
        </w:rPr>
      </w:pPr>
      <w:r>
        <w:rPr>
          <w:rFonts w:hint="eastAsia" w:ascii="华文中宋" w:hAnsi="华文中宋" w:eastAsia="华文中宋"/>
          <w:b/>
          <w:sz w:val="36"/>
          <w:szCs w:val="36"/>
        </w:rPr>
        <w:t>预算情况说明</w:t>
      </w:r>
    </w:p>
    <w:p>
      <w:pPr>
        <w:widowControl/>
        <w:spacing w:line="560" w:lineRule="exact"/>
        <w:ind w:firstLine="560" w:firstLineChars="200"/>
        <w:rPr>
          <w:rFonts w:ascii="宋体" w:hAnsi="宋体"/>
          <w:sz w:val="28"/>
          <w:szCs w:val="32"/>
        </w:rPr>
      </w:pPr>
    </w:p>
    <w:p>
      <w:pPr>
        <w:widowControl/>
        <w:spacing w:line="560" w:lineRule="exact"/>
        <w:ind w:firstLine="640" w:firstLineChars="200"/>
        <w:rPr>
          <w:rFonts w:ascii="黑体" w:hAnsi="黑体" w:eastAsia="黑体" w:cs="宋体"/>
          <w:kern w:val="0"/>
          <w:sz w:val="32"/>
          <w:szCs w:val="32"/>
        </w:rPr>
      </w:pPr>
      <w:r>
        <w:rPr>
          <w:rFonts w:hint="eastAsia" w:ascii="黑体" w:hAnsi="黑体" w:eastAsia="黑体" w:cs="宋体"/>
          <w:kern w:val="0"/>
          <w:sz w:val="32"/>
          <w:szCs w:val="32"/>
        </w:rPr>
        <w:t>一、部门情况</w:t>
      </w:r>
    </w:p>
    <w:p>
      <w:pPr>
        <w:widowControl/>
        <w:spacing w:line="560" w:lineRule="exact"/>
        <w:ind w:firstLine="640" w:firstLineChars="200"/>
        <w:rPr>
          <w:rFonts w:ascii="楷体_GB2312" w:hAnsi="宋体" w:eastAsia="楷体_GB2312" w:cs="宋体"/>
          <w:kern w:val="0"/>
          <w:sz w:val="32"/>
          <w:szCs w:val="32"/>
        </w:rPr>
      </w:pPr>
      <w:r>
        <w:rPr>
          <w:rFonts w:hint="eastAsia" w:ascii="楷体_GB2312" w:hAnsi="宋体" w:eastAsia="楷体_GB2312" w:cs="宋体"/>
          <w:kern w:val="0"/>
          <w:sz w:val="32"/>
          <w:szCs w:val="32"/>
        </w:rPr>
        <w:t>（一）部门机构设置、职责</w:t>
      </w:r>
    </w:p>
    <w:p>
      <w:pPr>
        <w:snapToGrid w:val="0"/>
        <w:spacing w:line="520" w:lineRule="exact"/>
        <w:ind w:firstLine="640" w:firstLineChars="200"/>
        <w:rPr>
          <w:rFonts w:ascii="仿宋_GB2312" w:hAnsi="宋体" w:eastAsia="仿宋_GB2312" w:cs="宋体"/>
          <w:kern w:val="0"/>
          <w:sz w:val="32"/>
          <w:szCs w:val="32"/>
        </w:rPr>
      </w:pPr>
      <w:r>
        <w:rPr>
          <w:rFonts w:hint="eastAsia" w:ascii="仿宋_GB2312" w:hAnsi="宋体" w:eastAsia="仿宋_GB2312" w:cs="宋体"/>
          <w:kern w:val="0"/>
          <w:sz w:val="32"/>
          <w:szCs w:val="32"/>
        </w:rPr>
        <w:t>主要职能。</w:t>
      </w:r>
    </w:p>
    <w:p>
      <w:pPr>
        <w:snapToGrid w:val="0"/>
        <w:spacing w:line="520" w:lineRule="exact"/>
        <w:ind w:firstLine="640" w:firstLineChars="200"/>
        <w:rPr>
          <w:rFonts w:ascii="仿宋_GB2312" w:hAnsi="宋体" w:eastAsia="仿宋_GB2312" w:cs="宋体"/>
          <w:kern w:val="0"/>
          <w:sz w:val="32"/>
          <w:szCs w:val="32"/>
        </w:rPr>
      </w:pPr>
      <w:r>
        <w:rPr>
          <w:rFonts w:hint="eastAsia" w:ascii="仿宋_GB2312" w:hAnsi="宋体" w:eastAsia="仿宋_GB2312" w:cs="宋体"/>
          <w:kern w:val="0"/>
          <w:sz w:val="32"/>
          <w:szCs w:val="32"/>
        </w:rPr>
        <w:t>负责“国家可持续发展实验区”的建设，复审和日常管理工作；负责对本区可持续发展的重大问题进行调研和专项课题研究，负责地区可持续发展实验区项目预选、包装、推荐、申报、示范、辐射及相关推广工作；负责可持续发展相关政策的宣传和培训工作；开展议程创新示范区创建工作及创建成功后的日常管理工作。</w:t>
      </w:r>
    </w:p>
    <w:p>
      <w:pPr>
        <w:tabs>
          <w:tab w:val="center" w:pos="6979"/>
        </w:tabs>
        <w:spacing w:line="520" w:lineRule="exact"/>
        <w:ind w:firstLine="640" w:firstLineChars="200"/>
        <w:rPr>
          <w:rFonts w:ascii="仿宋_GB2312" w:hAnsi="宋体" w:eastAsia="仿宋_GB2312" w:cs="宋体"/>
          <w:kern w:val="0"/>
          <w:sz w:val="32"/>
          <w:szCs w:val="32"/>
        </w:rPr>
      </w:pPr>
      <w:r>
        <w:rPr>
          <w:rFonts w:hint="eastAsia" w:ascii="仿宋_GB2312" w:hAnsi="宋体" w:eastAsia="仿宋_GB2312" w:cs="宋体"/>
          <w:kern w:val="0"/>
          <w:sz w:val="32"/>
          <w:szCs w:val="32"/>
        </w:rPr>
        <w:t>（二）人员构成情况</w:t>
      </w:r>
    </w:p>
    <w:p>
      <w:pPr>
        <w:spacing w:line="500" w:lineRule="exact"/>
        <w:ind w:firstLine="640" w:firstLineChars="200"/>
        <w:rPr>
          <w:rFonts w:ascii="仿宋_GB2312" w:hAnsi="宋体" w:eastAsia="仿宋_GB2312" w:cs="宋体"/>
          <w:kern w:val="0"/>
          <w:sz w:val="32"/>
          <w:szCs w:val="32"/>
        </w:rPr>
      </w:pPr>
      <w:r>
        <w:rPr>
          <w:rFonts w:hint="eastAsia" w:ascii="仿宋_GB2312" w:hAnsi="宋体" w:eastAsia="仿宋_GB2312" w:cs="宋体"/>
          <w:kern w:val="0"/>
          <w:sz w:val="32"/>
          <w:szCs w:val="32"/>
        </w:rPr>
        <w:t>事业编制6名，实际5人；离退休人员0人，其中：事业离休0人，行政退休0人，事业退休0人；其他人员0人，其中：社会化用工0人。</w:t>
      </w:r>
    </w:p>
    <w:p>
      <w:pPr>
        <w:widowControl/>
        <w:spacing w:line="560" w:lineRule="exact"/>
        <w:ind w:firstLine="640" w:firstLineChars="200"/>
        <w:rPr>
          <w:rFonts w:ascii="仿宋_GB2312" w:hAnsi="宋体" w:eastAsia="仿宋_GB2312" w:cs="宋体"/>
          <w:kern w:val="0"/>
          <w:sz w:val="32"/>
          <w:szCs w:val="32"/>
        </w:rPr>
      </w:pPr>
      <w:r>
        <w:rPr>
          <w:rFonts w:hint="eastAsia" w:ascii="仿宋_GB2312" w:hAnsi="宋体" w:eastAsia="仿宋_GB2312" w:cs="宋体"/>
          <w:kern w:val="0"/>
          <w:sz w:val="32"/>
          <w:szCs w:val="32"/>
        </w:rPr>
        <w:t>（三）本预算年度的主要工作任务</w:t>
      </w:r>
    </w:p>
    <w:p>
      <w:pPr>
        <w:spacing w:line="560" w:lineRule="exact"/>
        <w:ind w:firstLine="640" w:firstLineChars="200"/>
        <w:rPr>
          <w:rFonts w:ascii="仿宋_GB2312" w:hAnsi="宋体" w:eastAsia="仿宋_GB2312" w:cs="宋体"/>
          <w:kern w:val="0"/>
          <w:sz w:val="32"/>
          <w:szCs w:val="32"/>
        </w:rPr>
      </w:pPr>
      <w:r>
        <w:rPr>
          <w:rFonts w:hint="eastAsia" w:ascii="仿宋_GB2312" w:hAnsi="宋体" w:eastAsia="仿宋_GB2312" w:cs="宋体"/>
          <w:kern w:val="0"/>
          <w:sz w:val="32"/>
          <w:szCs w:val="32"/>
        </w:rPr>
        <w:t>（一）加强技术合同管理和服务</w:t>
      </w:r>
    </w:p>
    <w:p>
      <w:pPr>
        <w:spacing w:line="560" w:lineRule="exact"/>
        <w:ind w:firstLine="640" w:firstLineChars="200"/>
        <w:rPr>
          <w:rFonts w:ascii="仿宋_GB2312" w:hAnsi="宋体" w:eastAsia="仿宋_GB2312" w:cs="宋体"/>
          <w:kern w:val="0"/>
          <w:sz w:val="32"/>
          <w:szCs w:val="32"/>
        </w:rPr>
      </w:pPr>
      <w:r>
        <w:rPr>
          <w:rFonts w:hint="eastAsia" w:ascii="仿宋_GB2312" w:hAnsi="宋体" w:eastAsia="仿宋_GB2312" w:cs="宋体"/>
          <w:kern w:val="0"/>
          <w:sz w:val="32"/>
          <w:szCs w:val="32"/>
        </w:rPr>
        <w:tab/>
      </w:r>
      <w:r>
        <w:rPr>
          <w:rFonts w:hint="eastAsia" w:ascii="仿宋_GB2312" w:hAnsi="宋体" w:eastAsia="仿宋_GB2312" w:cs="宋体"/>
          <w:kern w:val="0"/>
          <w:sz w:val="32"/>
          <w:szCs w:val="32"/>
        </w:rPr>
        <w:t>1、以拓展服务覆盖范围为目标，全力提升科技服务水平。</w:t>
      </w:r>
    </w:p>
    <w:p>
      <w:pPr>
        <w:spacing w:line="560" w:lineRule="exact"/>
        <w:ind w:firstLine="640" w:firstLineChars="200"/>
        <w:rPr>
          <w:rFonts w:ascii="仿宋_GB2312" w:hAnsi="宋体" w:eastAsia="仿宋_GB2312" w:cs="宋体"/>
          <w:kern w:val="0"/>
          <w:sz w:val="32"/>
          <w:szCs w:val="32"/>
        </w:rPr>
      </w:pPr>
      <w:r>
        <w:rPr>
          <w:rFonts w:hint="eastAsia" w:ascii="仿宋_GB2312" w:hAnsi="宋体" w:eastAsia="仿宋_GB2312" w:cs="宋体"/>
          <w:kern w:val="0"/>
          <w:sz w:val="32"/>
          <w:szCs w:val="32"/>
        </w:rPr>
        <w:tab/>
      </w:r>
      <w:r>
        <w:rPr>
          <w:rFonts w:hint="eastAsia" w:ascii="仿宋_GB2312" w:hAnsi="宋体" w:eastAsia="仿宋_GB2312" w:cs="宋体"/>
          <w:kern w:val="0"/>
          <w:sz w:val="32"/>
          <w:szCs w:val="32"/>
        </w:rPr>
        <w:t>2、大力宣传优惠政策。</w:t>
      </w:r>
    </w:p>
    <w:p>
      <w:pPr>
        <w:spacing w:line="560" w:lineRule="exact"/>
        <w:ind w:firstLine="640" w:firstLineChars="200"/>
        <w:rPr>
          <w:rFonts w:ascii="仿宋_GB2312" w:hAnsi="宋体" w:eastAsia="仿宋_GB2312" w:cs="宋体"/>
          <w:kern w:val="0"/>
          <w:sz w:val="32"/>
          <w:szCs w:val="32"/>
        </w:rPr>
      </w:pPr>
      <w:r>
        <w:rPr>
          <w:rFonts w:hint="eastAsia" w:ascii="仿宋_GB2312" w:hAnsi="宋体" w:eastAsia="仿宋_GB2312" w:cs="宋体"/>
          <w:kern w:val="0"/>
          <w:sz w:val="32"/>
          <w:szCs w:val="32"/>
        </w:rPr>
        <w:tab/>
      </w:r>
      <w:r>
        <w:rPr>
          <w:rFonts w:hint="eastAsia" w:ascii="仿宋_GB2312" w:hAnsi="宋体" w:eastAsia="仿宋_GB2312" w:cs="宋体"/>
          <w:kern w:val="0"/>
          <w:sz w:val="32"/>
          <w:szCs w:val="32"/>
        </w:rPr>
        <w:t>3、扎实做好专项指导服务。</w:t>
      </w:r>
    </w:p>
    <w:p>
      <w:pPr>
        <w:spacing w:line="560" w:lineRule="exact"/>
        <w:ind w:firstLine="640" w:firstLineChars="200"/>
        <w:rPr>
          <w:rFonts w:ascii="仿宋_GB2312" w:hAnsi="宋体" w:eastAsia="仿宋_GB2312" w:cs="宋体"/>
          <w:kern w:val="0"/>
          <w:sz w:val="32"/>
          <w:szCs w:val="32"/>
        </w:rPr>
      </w:pPr>
      <w:r>
        <w:rPr>
          <w:rFonts w:hint="eastAsia" w:ascii="仿宋_GB2312" w:hAnsi="宋体" w:eastAsia="仿宋_GB2312" w:cs="宋体"/>
          <w:kern w:val="0"/>
          <w:sz w:val="32"/>
          <w:szCs w:val="32"/>
        </w:rPr>
        <w:t xml:space="preserve"> 4、创新技术合同登记模式。</w:t>
      </w:r>
    </w:p>
    <w:p>
      <w:pPr>
        <w:spacing w:line="560" w:lineRule="exact"/>
        <w:ind w:firstLine="640" w:firstLineChars="200"/>
        <w:rPr>
          <w:rFonts w:ascii="仿宋_GB2312" w:hAnsi="宋体" w:eastAsia="仿宋_GB2312" w:cs="宋体"/>
          <w:kern w:val="0"/>
          <w:sz w:val="32"/>
          <w:szCs w:val="32"/>
        </w:rPr>
      </w:pPr>
      <w:r>
        <w:rPr>
          <w:rFonts w:hint="eastAsia" w:ascii="仿宋_GB2312" w:hAnsi="宋体" w:eastAsia="仿宋_GB2312" w:cs="宋体"/>
          <w:kern w:val="0"/>
          <w:sz w:val="32"/>
          <w:szCs w:val="32"/>
        </w:rPr>
        <w:t>（二）继续加强区域科普能力建设，促进科普高质量发展</w:t>
      </w:r>
    </w:p>
    <w:p>
      <w:pPr>
        <w:spacing w:line="560" w:lineRule="exact"/>
        <w:ind w:firstLine="640" w:firstLineChars="200"/>
        <w:rPr>
          <w:rFonts w:ascii="仿宋_GB2312" w:hAnsi="宋体" w:eastAsia="仿宋_GB2312" w:cs="宋体"/>
          <w:kern w:val="0"/>
          <w:sz w:val="32"/>
          <w:szCs w:val="32"/>
        </w:rPr>
      </w:pPr>
      <w:r>
        <w:rPr>
          <w:rFonts w:hint="eastAsia" w:ascii="仿宋_GB2312" w:hAnsi="宋体" w:eastAsia="仿宋_GB2312" w:cs="宋体"/>
          <w:kern w:val="0"/>
          <w:sz w:val="32"/>
          <w:szCs w:val="32"/>
        </w:rPr>
        <w:tab/>
      </w:r>
      <w:r>
        <w:rPr>
          <w:rFonts w:hint="eastAsia" w:ascii="仿宋_GB2312" w:hAnsi="宋体" w:eastAsia="仿宋_GB2312" w:cs="宋体"/>
          <w:kern w:val="0"/>
          <w:sz w:val="32"/>
          <w:szCs w:val="32"/>
        </w:rPr>
        <w:t>1、充分发挥科普基地服务能力。</w:t>
      </w:r>
    </w:p>
    <w:p>
      <w:pPr>
        <w:spacing w:line="560" w:lineRule="exact"/>
        <w:ind w:firstLine="640" w:firstLineChars="200"/>
        <w:rPr>
          <w:rFonts w:ascii="仿宋_GB2312" w:hAnsi="宋体" w:eastAsia="仿宋_GB2312" w:cs="宋体"/>
          <w:kern w:val="0"/>
          <w:sz w:val="32"/>
          <w:szCs w:val="32"/>
        </w:rPr>
      </w:pPr>
      <w:r>
        <w:rPr>
          <w:rFonts w:hint="eastAsia" w:ascii="仿宋_GB2312" w:hAnsi="宋体" w:eastAsia="仿宋_GB2312" w:cs="宋体"/>
          <w:kern w:val="0"/>
          <w:sz w:val="32"/>
          <w:szCs w:val="32"/>
        </w:rPr>
        <w:tab/>
      </w:r>
      <w:r>
        <w:rPr>
          <w:rFonts w:hint="eastAsia" w:ascii="仿宋_GB2312" w:hAnsi="宋体" w:eastAsia="仿宋_GB2312" w:cs="宋体"/>
          <w:kern w:val="0"/>
          <w:sz w:val="32"/>
          <w:szCs w:val="32"/>
        </w:rPr>
        <w:t>2、发挥大型品牌科普活动的示范带动作用。</w:t>
      </w:r>
    </w:p>
    <w:p>
      <w:pPr>
        <w:spacing w:line="560" w:lineRule="exact"/>
        <w:ind w:firstLine="640" w:firstLineChars="200"/>
        <w:rPr>
          <w:rFonts w:ascii="仿宋_GB2312" w:hAnsi="宋体" w:eastAsia="仿宋_GB2312" w:cs="宋体"/>
          <w:kern w:val="0"/>
          <w:sz w:val="32"/>
          <w:szCs w:val="32"/>
        </w:rPr>
      </w:pPr>
      <w:r>
        <w:rPr>
          <w:rFonts w:hint="eastAsia" w:ascii="仿宋_GB2312" w:hAnsi="宋体" w:eastAsia="仿宋_GB2312" w:cs="宋体"/>
          <w:kern w:val="0"/>
          <w:sz w:val="32"/>
          <w:szCs w:val="32"/>
        </w:rPr>
        <w:tab/>
      </w:r>
      <w:r>
        <w:rPr>
          <w:rFonts w:hint="eastAsia" w:ascii="仿宋_GB2312" w:hAnsi="宋体" w:eastAsia="仿宋_GB2312" w:cs="宋体"/>
          <w:kern w:val="0"/>
          <w:sz w:val="32"/>
          <w:szCs w:val="32"/>
        </w:rPr>
        <w:t>3.</w:t>
      </w:r>
      <w:r>
        <w:rPr>
          <w:rFonts w:hint="eastAsia" w:ascii="仿宋_GB2312" w:hAnsi="宋体" w:eastAsia="仿宋_GB2312" w:cs="宋体"/>
          <w:kern w:val="0"/>
          <w:sz w:val="32"/>
          <w:szCs w:val="32"/>
        </w:rPr>
        <w:tab/>
      </w:r>
      <w:r>
        <w:rPr>
          <w:rFonts w:hint="eastAsia" w:ascii="仿宋_GB2312" w:hAnsi="宋体" w:eastAsia="仿宋_GB2312" w:cs="宋体"/>
          <w:kern w:val="0"/>
          <w:sz w:val="32"/>
          <w:szCs w:val="32"/>
        </w:rPr>
        <w:t>组织两期科技拥军活动。</w:t>
      </w:r>
    </w:p>
    <w:p>
      <w:pPr>
        <w:spacing w:line="560" w:lineRule="exact"/>
        <w:ind w:firstLine="640" w:firstLineChars="200"/>
        <w:rPr>
          <w:rFonts w:ascii="仿宋_GB2312" w:hAnsi="宋体" w:eastAsia="仿宋_GB2312" w:cs="宋体"/>
          <w:kern w:val="0"/>
          <w:sz w:val="32"/>
          <w:szCs w:val="32"/>
        </w:rPr>
      </w:pPr>
      <w:r>
        <w:rPr>
          <w:rFonts w:hint="eastAsia" w:ascii="仿宋_GB2312" w:hAnsi="宋体" w:eastAsia="仿宋_GB2312" w:cs="宋体"/>
          <w:kern w:val="0"/>
          <w:sz w:val="32"/>
          <w:szCs w:val="32"/>
        </w:rPr>
        <w:tab/>
      </w:r>
      <w:r>
        <w:rPr>
          <w:rFonts w:hint="eastAsia" w:ascii="仿宋_GB2312" w:hAnsi="宋体" w:eastAsia="仿宋_GB2312" w:cs="宋体"/>
          <w:kern w:val="0"/>
          <w:sz w:val="32"/>
          <w:szCs w:val="32"/>
        </w:rPr>
        <w:t>4、全面提升公众科学素质。</w:t>
      </w:r>
    </w:p>
    <w:p>
      <w:pPr>
        <w:spacing w:line="560" w:lineRule="exact"/>
        <w:ind w:firstLine="640" w:firstLineChars="200"/>
        <w:rPr>
          <w:rFonts w:ascii="仿宋_GB2312" w:hAnsi="宋体" w:eastAsia="仿宋_GB2312" w:cs="宋体"/>
          <w:kern w:val="0"/>
          <w:sz w:val="32"/>
          <w:szCs w:val="32"/>
        </w:rPr>
      </w:pPr>
      <w:r>
        <w:rPr>
          <w:rFonts w:hint="eastAsia" w:ascii="仿宋_GB2312" w:hAnsi="宋体" w:eastAsia="仿宋_GB2312" w:cs="宋体"/>
          <w:kern w:val="0"/>
          <w:sz w:val="32"/>
          <w:szCs w:val="32"/>
        </w:rPr>
        <w:t>（三）加强监督管理科技类培训机构</w:t>
      </w:r>
    </w:p>
    <w:p>
      <w:pPr>
        <w:spacing w:line="560" w:lineRule="exact"/>
        <w:ind w:firstLine="640" w:firstLineChars="200"/>
        <w:rPr>
          <w:rFonts w:ascii="仿宋_GB2312" w:hAnsi="宋体" w:eastAsia="仿宋_GB2312" w:cs="宋体"/>
          <w:kern w:val="0"/>
          <w:sz w:val="32"/>
          <w:szCs w:val="32"/>
        </w:rPr>
      </w:pPr>
      <w:r>
        <w:rPr>
          <w:rFonts w:hint="eastAsia" w:ascii="仿宋_GB2312" w:hAnsi="宋体" w:eastAsia="仿宋_GB2312" w:cs="宋体"/>
          <w:kern w:val="0"/>
          <w:sz w:val="32"/>
          <w:szCs w:val="32"/>
        </w:rPr>
        <w:tab/>
      </w:r>
      <w:r>
        <w:rPr>
          <w:rFonts w:hint="eastAsia" w:ascii="仿宋_GB2312" w:hAnsi="宋体" w:eastAsia="仿宋_GB2312" w:cs="宋体"/>
          <w:kern w:val="0"/>
          <w:sz w:val="32"/>
          <w:szCs w:val="32"/>
        </w:rPr>
        <w:t>1、引导机构合法合规经营。</w:t>
      </w:r>
    </w:p>
    <w:p>
      <w:pPr>
        <w:spacing w:line="560" w:lineRule="exact"/>
        <w:ind w:firstLine="640" w:firstLineChars="200"/>
        <w:rPr>
          <w:rFonts w:ascii="仿宋_GB2312" w:hAnsi="宋体" w:eastAsia="仿宋_GB2312" w:cs="宋体"/>
          <w:kern w:val="0"/>
          <w:sz w:val="32"/>
          <w:szCs w:val="32"/>
        </w:rPr>
      </w:pPr>
      <w:r>
        <w:rPr>
          <w:rFonts w:hint="eastAsia" w:ascii="仿宋_GB2312" w:hAnsi="宋体" w:eastAsia="仿宋_GB2312" w:cs="宋体"/>
          <w:kern w:val="0"/>
          <w:sz w:val="32"/>
          <w:szCs w:val="32"/>
        </w:rPr>
        <w:tab/>
      </w:r>
      <w:r>
        <w:rPr>
          <w:rFonts w:hint="eastAsia" w:ascii="仿宋_GB2312" w:hAnsi="宋体" w:eastAsia="仿宋_GB2312" w:cs="宋体"/>
          <w:kern w:val="0"/>
          <w:sz w:val="32"/>
          <w:szCs w:val="32"/>
        </w:rPr>
        <w:t>2、完善“互联网”全流程监管机制。</w:t>
      </w:r>
    </w:p>
    <w:p>
      <w:pPr>
        <w:spacing w:line="560" w:lineRule="exact"/>
        <w:ind w:firstLine="640" w:firstLineChars="200"/>
        <w:rPr>
          <w:rFonts w:ascii="仿宋_GB2312" w:hAnsi="宋体" w:eastAsia="仿宋_GB2312" w:cs="宋体"/>
          <w:kern w:val="0"/>
          <w:sz w:val="32"/>
          <w:szCs w:val="32"/>
        </w:rPr>
      </w:pPr>
      <w:r>
        <w:rPr>
          <w:rFonts w:hint="eastAsia" w:ascii="仿宋_GB2312" w:hAnsi="宋体" w:eastAsia="仿宋_GB2312" w:cs="宋体"/>
          <w:kern w:val="0"/>
          <w:sz w:val="32"/>
          <w:szCs w:val="32"/>
        </w:rPr>
        <w:tab/>
      </w:r>
      <w:r>
        <w:rPr>
          <w:rFonts w:hint="eastAsia" w:ascii="仿宋_GB2312" w:hAnsi="宋体" w:eastAsia="仿宋_GB2312" w:cs="宋体"/>
          <w:kern w:val="0"/>
          <w:sz w:val="32"/>
          <w:szCs w:val="32"/>
        </w:rPr>
        <w:t>3、加强宣传引导，强化消防安全管理。</w:t>
      </w:r>
    </w:p>
    <w:p>
      <w:pPr>
        <w:spacing w:line="560" w:lineRule="exact"/>
        <w:ind w:firstLine="640" w:firstLineChars="200"/>
        <w:rPr>
          <w:rFonts w:ascii="仿宋_GB2312" w:hAnsi="宋体" w:eastAsia="仿宋_GB2312" w:cs="宋体"/>
          <w:kern w:val="0"/>
          <w:sz w:val="32"/>
          <w:szCs w:val="32"/>
        </w:rPr>
      </w:pPr>
      <w:r>
        <w:rPr>
          <w:rFonts w:hint="eastAsia" w:ascii="仿宋_GB2312" w:hAnsi="宋体" w:eastAsia="仿宋_GB2312" w:cs="宋体"/>
          <w:kern w:val="0"/>
          <w:sz w:val="32"/>
          <w:szCs w:val="32"/>
        </w:rPr>
        <w:tab/>
      </w:r>
      <w:r>
        <w:rPr>
          <w:rFonts w:hint="eastAsia" w:ascii="仿宋_GB2312" w:hAnsi="宋体" w:eastAsia="仿宋_GB2312" w:cs="宋体"/>
          <w:kern w:val="0"/>
          <w:sz w:val="32"/>
          <w:szCs w:val="32"/>
        </w:rPr>
        <w:t>4、不断完善监管举措，规范机构办学行为。</w:t>
      </w:r>
    </w:p>
    <w:p>
      <w:pPr>
        <w:spacing w:line="560" w:lineRule="exact"/>
        <w:ind w:firstLine="640" w:firstLineChars="200"/>
        <w:rPr>
          <w:rFonts w:ascii="仿宋_GB2312" w:hAnsi="宋体" w:eastAsia="仿宋_GB2312" w:cs="宋体"/>
          <w:kern w:val="0"/>
          <w:sz w:val="32"/>
          <w:szCs w:val="32"/>
        </w:rPr>
      </w:pPr>
      <w:r>
        <w:rPr>
          <w:rFonts w:hint="eastAsia" w:ascii="仿宋_GB2312" w:hAnsi="宋体" w:eastAsia="仿宋_GB2312" w:cs="宋体"/>
          <w:kern w:val="0"/>
          <w:sz w:val="32"/>
          <w:szCs w:val="32"/>
        </w:rPr>
        <w:t>（四）国家可持续发展议程创新示范区创建</w:t>
      </w:r>
    </w:p>
    <w:p>
      <w:pPr>
        <w:widowControl/>
        <w:spacing w:line="560" w:lineRule="exact"/>
        <w:ind w:firstLine="640" w:firstLineChars="200"/>
        <w:rPr>
          <w:rFonts w:ascii="黑体" w:hAnsi="黑体" w:eastAsia="黑体" w:cs="宋体"/>
          <w:kern w:val="0"/>
          <w:sz w:val="32"/>
          <w:szCs w:val="32"/>
        </w:rPr>
      </w:pPr>
      <w:r>
        <w:rPr>
          <w:rFonts w:hint="eastAsia" w:ascii="黑体" w:hAnsi="黑体" w:eastAsia="黑体" w:cs="宋体"/>
          <w:kern w:val="0"/>
          <w:sz w:val="32"/>
          <w:szCs w:val="32"/>
        </w:rPr>
        <w:t>二、收入预算说明</w:t>
      </w:r>
    </w:p>
    <w:p>
      <w:pPr>
        <w:widowControl/>
        <w:spacing w:line="560" w:lineRule="exact"/>
        <w:ind w:firstLine="640" w:firstLineChars="200"/>
        <w:rPr>
          <w:rFonts w:ascii="仿宋_GB2312" w:hAnsi="宋体" w:eastAsia="仿宋_GB2312" w:cs="宋体"/>
          <w:kern w:val="0"/>
          <w:sz w:val="32"/>
          <w:szCs w:val="32"/>
        </w:rPr>
      </w:pPr>
      <w:r>
        <w:rPr>
          <w:rFonts w:hint="eastAsia" w:ascii="仿宋_GB2312" w:hAnsi="宋体" w:eastAsia="仿宋_GB2312" w:cs="宋体"/>
          <w:kern w:val="0"/>
          <w:sz w:val="32"/>
          <w:szCs w:val="32"/>
        </w:rPr>
        <w:t>2025年收入预算164.04万元，比2024年161.66万元增长2.38万元，增长原因为本年度增加两个项目。其中：本年财政拨款收入164.04万元,比2024年161.66万元增长2.38万元。</w:t>
      </w:r>
    </w:p>
    <w:p>
      <w:pPr>
        <w:widowControl/>
        <w:spacing w:line="560" w:lineRule="exact"/>
        <w:ind w:firstLine="640" w:firstLineChars="200"/>
        <w:rPr>
          <w:rFonts w:ascii="黑体" w:hAnsi="黑体" w:eastAsia="黑体" w:cs="宋体"/>
          <w:kern w:val="0"/>
          <w:sz w:val="32"/>
          <w:szCs w:val="32"/>
        </w:rPr>
      </w:pPr>
      <w:r>
        <w:rPr>
          <w:rFonts w:hint="eastAsia" w:ascii="黑体" w:hAnsi="黑体" w:eastAsia="黑体" w:cs="宋体"/>
          <w:kern w:val="0"/>
          <w:sz w:val="32"/>
          <w:szCs w:val="32"/>
        </w:rPr>
        <w:t>三、支出预算说明</w:t>
      </w:r>
    </w:p>
    <w:p>
      <w:pPr>
        <w:widowControl/>
        <w:spacing w:line="560" w:lineRule="exact"/>
        <w:ind w:firstLine="640" w:firstLineChars="200"/>
        <w:rPr>
          <w:rFonts w:ascii="仿宋_GB2312" w:hAnsi="宋体" w:eastAsia="仿宋_GB2312" w:cs="宋体"/>
          <w:kern w:val="0"/>
          <w:sz w:val="32"/>
          <w:szCs w:val="32"/>
        </w:rPr>
      </w:pPr>
      <w:r>
        <w:rPr>
          <w:rFonts w:hint="eastAsia" w:ascii="仿宋_GB2312" w:hAnsi="宋体" w:eastAsia="仿宋_GB2312" w:cs="宋体"/>
          <w:kern w:val="0"/>
          <w:sz w:val="32"/>
          <w:szCs w:val="32"/>
        </w:rPr>
        <w:t>（一）基本支出预算150.04万元，占总支出预算91.47%，比2024年140.66万元增长9.38万元，原因为人员变动。</w:t>
      </w:r>
      <w:r>
        <w:rPr>
          <w:rFonts w:ascii="仿宋_GB2312" w:hAnsi="宋体" w:eastAsia="仿宋_GB2312" w:cs="宋体"/>
          <w:kern w:val="0"/>
          <w:sz w:val="32"/>
          <w:szCs w:val="32"/>
        </w:rPr>
        <w:t xml:space="preserve"> </w:t>
      </w:r>
    </w:p>
    <w:p>
      <w:pPr>
        <w:widowControl/>
        <w:spacing w:line="560" w:lineRule="exact"/>
        <w:ind w:firstLine="640" w:firstLineChars="200"/>
        <w:rPr>
          <w:rFonts w:ascii="仿宋_GB2312" w:hAnsi="宋体" w:eastAsia="仿宋_GB2312" w:cs="宋体"/>
          <w:kern w:val="0"/>
          <w:sz w:val="32"/>
          <w:szCs w:val="32"/>
        </w:rPr>
      </w:pPr>
      <w:r>
        <w:rPr>
          <w:rFonts w:hint="eastAsia" w:ascii="仿宋_GB2312" w:hAnsi="宋体" w:eastAsia="仿宋_GB2312" w:cs="宋体"/>
          <w:kern w:val="0"/>
          <w:sz w:val="32"/>
          <w:szCs w:val="32"/>
        </w:rPr>
        <w:t>（二）项目支出预算14万元，比2024年21万元减少7万元，部门预算项目主要为科普经费等。</w:t>
      </w:r>
    </w:p>
    <w:p>
      <w:pPr>
        <w:widowControl/>
        <w:spacing w:line="560" w:lineRule="exact"/>
        <w:ind w:firstLine="640" w:firstLineChars="200"/>
        <w:rPr>
          <w:rFonts w:ascii="仿宋_GB2312" w:hAnsi="宋体" w:eastAsia="仿宋_GB2312" w:cs="宋体"/>
          <w:kern w:val="0"/>
          <w:sz w:val="32"/>
          <w:szCs w:val="32"/>
        </w:rPr>
      </w:pPr>
      <w:r>
        <w:rPr>
          <w:rFonts w:hint="eastAsia" w:ascii="仿宋_GB2312" w:hAnsi="宋体" w:eastAsia="仿宋_GB2312" w:cs="宋体"/>
          <w:kern w:val="0"/>
          <w:sz w:val="32"/>
          <w:szCs w:val="32"/>
        </w:rPr>
        <w:t>（三）事业单位经营支出0万元（变动较大的部门请说明原因）。</w:t>
      </w:r>
    </w:p>
    <w:p>
      <w:pPr>
        <w:widowControl/>
        <w:spacing w:line="560" w:lineRule="exact"/>
        <w:ind w:firstLine="640" w:firstLineChars="200"/>
        <w:rPr>
          <w:rFonts w:ascii="仿宋_GB2312" w:hAnsi="宋体" w:eastAsia="仿宋_GB2312" w:cs="宋体"/>
          <w:kern w:val="0"/>
          <w:sz w:val="32"/>
          <w:szCs w:val="32"/>
        </w:rPr>
      </w:pPr>
      <w:r>
        <w:rPr>
          <w:rFonts w:hint="eastAsia" w:ascii="仿宋_GB2312" w:hAnsi="宋体" w:eastAsia="仿宋_GB2312" w:cs="宋体"/>
          <w:kern w:val="0"/>
          <w:sz w:val="32"/>
          <w:szCs w:val="32"/>
        </w:rPr>
        <w:t>（四）上缴上级支出0万元（变动较大的部门请说明原因）。</w:t>
      </w:r>
    </w:p>
    <w:p>
      <w:pPr>
        <w:widowControl/>
        <w:spacing w:line="560" w:lineRule="exact"/>
        <w:ind w:firstLine="640" w:firstLineChars="200"/>
        <w:rPr>
          <w:rFonts w:ascii="仿宋_GB2312" w:hAnsi="宋体" w:eastAsia="仿宋_GB2312" w:cs="宋体"/>
          <w:kern w:val="0"/>
          <w:sz w:val="32"/>
          <w:szCs w:val="32"/>
        </w:rPr>
      </w:pPr>
      <w:r>
        <w:rPr>
          <w:rFonts w:hint="eastAsia" w:ascii="仿宋_GB2312" w:hAnsi="宋体" w:eastAsia="仿宋_GB2312" w:cs="宋体"/>
          <w:kern w:val="0"/>
          <w:sz w:val="32"/>
          <w:szCs w:val="32"/>
        </w:rPr>
        <w:t>（五）对附属单位补助支出0万元（变动较大的部门请说明原因）。</w:t>
      </w:r>
    </w:p>
    <w:p>
      <w:pPr>
        <w:widowControl/>
        <w:spacing w:line="560" w:lineRule="exact"/>
        <w:ind w:firstLine="640" w:firstLineChars="200"/>
        <w:rPr>
          <w:rFonts w:ascii="黑体" w:hAnsi="黑体" w:eastAsia="黑体" w:cs="宋体"/>
          <w:kern w:val="0"/>
          <w:sz w:val="32"/>
          <w:szCs w:val="32"/>
        </w:rPr>
      </w:pPr>
      <w:r>
        <w:rPr>
          <w:rFonts w:hint="eastAsia" w:ascii="黑体" w:hAnsi="黑体" w:eastAsia="黑体" w:cs="宋体"/>
          <w:kern w:val="0"/>
          <w:sz w:val="32"/>
          <w:szCs w:val="32"/>
        </w:rPr>
        <w:t>四、部门</w:t>
      </w:r>
      <w:r>
        <w:rPr>
          <w:rFonts w:hint="eastAsia" w:ascii="黑体" w:hAnsi="黑体" w:eastAsia="黑体" w:cs="宋体"/>
          <w:kern w:val="0"/>
          <w:sz w:val="32"/>
          <w:szCs w:val="32"/>
          <w:lang w:eastAsia="zh-CN"/>
        </w:rPr>
        <w:t>“</w:t>
      </w:r>
      <w:r>
        <w:rPr>
          <w:rFonts w:hint="eastAsia" w:ascii="黑体" w:hAnsi="黑体" w:eastAsia="黑体" w:cs="宋体"/>
          <w:kern w:val="0"/>
          <w:sz w:val="32"/>
          <w:szCs w:val="32"/>
        </w:rPr>
        <w:t>三公</w:t>
      </w:r>
      <w:bookmarkStart w:id="0" w:name="_GoBack"/>
      <w:bookmarkEnd w:id="0"/>
      <w:r>
        <w:rPr>
          <w:rFonts w:hint="eastAsia" w:ascii="黑体" w:hAnsi="黑体" w:eastAsia="黑体" w:cs="宋体"/>
          <w:kern w:val="0"/>
          <w:sz w:val="32"/>
          <w:szCs w:val="32"/>
          <w:lang w:eastAsia="zh-CN"/>
        </w:rPr>
        <w:t>”</w:t>
      </w:r>
      <w:r>
        <w:rPr>
          <w:rFonts w:hint="eastAsia" w:ascii="黑体" w:hAnsi="黑体" w:eastAsia="黑体" w:cs="宋体"/>
          <w:kern w:val="0"/>
          <w:sz w:val="32"/>
          <w:szCs w:val="32"/>
        </w:rPr>
        <w:t>经费财政拨款预算说明</w:t>
      </w:r>
    </w:p>
    <w:p>
      <w:pPr>
        <w:widowControl/>
        <w:spacing w:line="560" w:lineRule="exact"/>
        <w:ind w:firstLine="640" w:firstLineChars="200"/>
        <w:rPr>
          <w:rFonts w:ascii="楷体_GB2312" w:hAnsi="宋体" w:eastAsia="楷体_GB2312" w:cs="宋体"/>
          <w:kern w:val="0"/>
          <w:sz w:val="32"/>
          <w:szCs w:val="32"/>
        </w:rPr>
      </w:pPr>
      <w:r>
        <w:rPr>
          <w:rFonts w:hint="eastAsia" w:ascii="楷体_GB2312" w:hAnsi="宋体" w:eastAsia="楷体_GB2312" w:cs="宋体"/>
          <w:kern w:val="0"/>
          <w:sz w:val="32"/>
          <w:szCs w:val="32"/>
        </w:rPr>
        <w:t>（一）</w:t>
      </w:r>
      <w:r>
        <w:rPr>
          <w:rFonts w:hint="eastAsia" w:ascii="楷体_GB2312" w:hAnsi="宋体" w:eastAsia="楷体_GB2312" w:cs="宋体"/>
          <w:kern w:val="0"/>
          <w:sz w:val="32"/>
          <w:szCs w:val="32"/>
          <w:lang w:eastAsia="zh-CN"/>
        </w:rPr>
        <w:t>“三公”经费</w:t>
      </w:r>
      <w:r>
        <w:rPr>
          <w:rFonts w:hint="eastAsia" w:ascii="楷体_GB2312" w:hAnsi="宋体" w:eastAsia="楷体_GB2312" w:cs="宋体"/>
          <w:kern w:val="0"/>
          <w:sz w:val="32"/>
          <w:szCs w:val="32"/>
        </w:rPr>
        <w:t>的单位范围</w:t>
      </w:r>
    </w:p>
    <w:p>
      <w:pPr>
        <w:widowControl/>
        <w:spacing w:line="560" w:lineRule="exact"/>
        <w:ind w:firstLine="640" w:firstLineChars="200"/>
        <w:rPr>
          <w:rFonts w:ascii="仿宋_GB2312" w:hAnsi="宋体" w:eastAsia="仿宋_GB2312" w:cs="宋体"/>
          <w:kern w:val="0"/>
          <w:sz w:val="32"/>
          <w:szCs w:val="32"/>
        </w:rPr>
      </w:pPr>
      <w:r>
        <w:rPr>
          <w:rFonts w:hint="eastAsia" w:ascii="仿宋_GB2312" w:hAnsi="宋体" w:eastAsia="仿宋_GB2312" w:cs="宋体"/>
          <w:kern w:val="0"/>
          <w:sz w:val="32"/>
          <w:szCs w:val="32"/>
        </w:rPr>
        <w:t>门头沟区可持续发展中心因公出国（境）费用、公务接待费、公务用车购置和运行维护费开支单位包括0个所属单位。</w:t>
      </w:r>
    </w:p>
    <w:p>
      <w:pPr>
        <w:widowControl/>
        <w:spacing w:line="560" w:lineRule="exact"/>
        <w:ind w:firstLine="640" w:firstLineChars="200"/>
        <w:rPr>
          <w:rFonts w:ascii="楷体_GB2312" w:hAnsi="宋体" w:eastAsia="楷体_GB2312" w:cs="宋体"/>
          <w:kern w:val="0"/>
          <w:sz w:val="32"/>
          <w:szCs w:val="32"/>
        </w:rPr>
      </w:pPr>
      <w:r>
        <w:rPr>
          <w:rFonts w:hint="eastAsia" w:ascii="楷体_GB2312" w:hAnsi="宋体" w:eastAsia="楷体_GB2312" w:cs="宋体"/>
          <w:kern w:val="0"/>
          <w:sz w:val="32"/>
          <w:szCs w:val="32"/>
        </w:rPr>
        <w:t>（二）</w:t>
      </w:r>
      <w:r>
        <w:rPr>
          <w:rFonts w:hint="eastAsia" w:ascii="楷体_GB2312" w:hAnsi="宋体" w:eastAsia="楷体_GB2312" w:cs="宋体"/>
          <w:kern w:val="0"/>
          <w:sz w:val="32"/>
          <w:szCs w:val="32"/>
          <w:lang w:eastAsia="zh-CN"/>
        </w:rPr>
        <w:t>“三公”经费</w:t>
      </w:r>
      <w:r>
        <w:rPr>
          <w:rFonts w:hint="eastAsia" w:ascii="楷体_GB2312" w:hAnsi="宋体" w:eastAsia="楷体_GB2312" w:cs="宋体"/>
          <w:kern w:val="0"/>
          <w:sz w:val="32"/>
          <w:szCs w:val="32"/>
        </w:rPr>
        <w:t>财政拨款情况说明</w:t>
      </w:r>
    </w:p>
    <w:p>
      <w:pPr>
        <w:widowControl/>
        <w:spacing w:line="560" w:lineRule="exact"/>
        <w:ind w:firstLine="640" w:firstLineChars="200"/>
        <w:rPr>
          <w:rFonts w:ascii="仿宋_GB2312" w:hAnsi="宋体" w:eastAsia="仿宋_GB2312" w:cs="宋体"/>
          <w:kern w:val="0"/>
          <w:sz w:val="32"/>
          <w:szCs w:val="32"/>
        </w:rPr>
      </w:pPr>
      <w:r>
        <w:rPr>
          <w:rFonts w:hint="eastAsia" w:ascii="仿宋_GB2312" w:hAnsi="宋体" w:eastAsia="仿宋_GB2312" w:cs="宋体"/>
          <w:kern w:val="0"/>
          <w:sz w:val="32"/>
          <w:szCs w:val="32"/>
        </w:rPr>
        <w:t>2025年</w:t>
      </w:r>
      <w:r>
        <w:rPr>
          <w:rFonts w:hint="eastAsia" w:ascii="仿宋_GB2312" w:hAnsi="宋体" w:eastAsia="仿宋_GB2312" w:cs="宋体"/>
          <w:kern w:val="0"/>
          <w:sz w:val="32"/>
          <w:szCs w:val="32"/>
          <w:lang w:eastAsia="zh-CN"/>
        </w:rPr>
        <w:t>“三公”经费</w:t>
      </w:r>
      <w:r>
        <w:rPr>
          <w:rFonts w:hint="eastAsia" w:ascii="仿宋_GB2312" w:hAnsi="宋体" w:eastAsia="仿宋_GB2312" w:cs="宋体"/>
          <w:kern w:val="0"/>
          <w:sz w:val="32"/>
          <w:szCs w:val="32"/>
        </w:rPr>
        <w:t>财政拨款预算1.81万元，与2024年</w:t>
      </w:r>
      <w:r>
        <w:rPr>
          <w:rFonts w:hint="eastAsia" w:ascii="仿宋_GB2312" w:hAnsi="宋体" w:eastAsia="仿宋_GB2312" w:cs="宋体"/>
          <w:kern w:val="0"/>
          <w:sz w:val="32"/>
          <w:szCs w:val="32"/>
          <w:lang w:eastAsia="zh-CN"/>
        </w:rPr>
        <w:t>“三公”经费</w:t>
      </w:r>
      <w:r>
        <w:rPr>
          <w:rFonts w:hint="eastAsia" w:ascii="仿宋_GB2312" w:hAnsi="宋体" w:eastAsia="仿宋_GB2312" w:cs="宋体"/>
          <w:kern w:val="0"/>
          <w:sz w:val="32"/>
          <w:szCs w:val="32"/>
        </w:rPr>
        <w:t>财政拨款预算一致。其中：</w:t>
      </w:r>
    </w:p>
    <w:p>
      <w:pPr>
        <w:widowControl/>
        <w:spacing w:line="560" w:lineRule="exact"/>
        <w:ind w:firstLine="640" w:firstLineChars="200"/>
        <w:rPr>
          <w:rFonts w:ascii="仿宋_GB2312" w:hAnsi="宋体" w:eastAsia="仿宋_GB2312" w:cs="宋体"/>
          <w:kern w:val="0"/>
          <w:sz w:val="32"/>
          <w:szCs w:val="32"/>
        </w:rPr>
      </w:pPr>
      <w:r>
        <w:rPr>
          <w:rFonts w:hint="eastAsia" w:ascii="仿宋_GB2312" w:hAnsi="宋体" w:eastAsia="仿宋_GB2312" w:cs="宋体"/>
          <w:kern w:val="0"/>
          <w:sz w:val="32"/>
          <w:szCs w:val="32"/>
        </w:rPr>
        <w:t>1.因公出国（境）费用。2025年预算数0万元，比2024年预算数0万元减少0万元，主要原因：无；2025年因公出国（境）费用主要未发生公务接待。</w:t>
      </w:r>
    </w:p>
    <w:p>
      <w:pPr>
        <w:widowControl/>
        <w:spacing w:line="560" w:lineRule="exact"/>
        <w:ind w:firstLine="480" w:firstLineChars="150"/>
        <w:rPr>
          <w:rFonts w:ascii="仿宋_GB2312" w:hAnsi="宋体" w:eastAsia="仿宋_GB2312" w:cs="宋体"/>
          <w:kern w:val="0"/>
          <w:sz w:val="32"/>
          <w:szCs w:val="32"/>
        </w:rPr>
      </w:pPr>
      <w:r>
        <w:rPr>
          <w:rFonts w:hint="eastAsia" w:ascii="仿宋_GB2312" w:hAnsi="宋体" w:eastAsia="仿宋_GB2312" w:cs="宋体"/>
          <w:kern w:val="0"/>
          <w:sz w:val="32"/>
          <w:szCs w:val="32"/>
        </w:rPr>
        <w:t>2.公务接待费。2025年预算数0.01万元。与2024年一致。</w:t>
      </w:r>
    </w:p>
    <w:p>
      <w:pPr>
        <w:widowControl/>
        <w:spacing w:line="560" w:lineRule="exact"/>
        <w:ind w:firstLine="480" w:firstLineChars="150"/>
        <w:rPr>
          <w:rFonts w:ascii="仿宋_GB2312" w:hAnsi="宋体" w:eastAsia="仿宋_GB2312" w:cs="宋体"/>
          <w:kern w:val="0"/>
          <w:sz w:val="32"/>
          <w:szCs w:val="32"/>
        </w:rPr>
      </w:pPr>
      <w:r>
        <w:rPr>
          <w:rFonts w:hint="eastAsia" w:ascii="仿宋_GB2312" w:hAnsi="宋体" w:eastAsia="仿宋_GB2312" w:cs="宋体"/>
          <w:kern w:val="0"/>
          <w:sz w:val="32"/>
          <w:szCs w:val="32"/>
        </w:rPr>
        <w:t>3.公务用车购置和运行维护费。2025年预算数0万元，其中，公务用车购置费2025年预算数1.8万元，与2024年一致。</w:t>
      </w:r>
    </w:p>
    <w:p>
      <w:pPr>
        <w:widowControl/>
        <w:spacing w:line="560" w:lineRule="exact"/>
        <w:ind w:firstLine="640" w:firstLineChars="200"/>
        <w:rPr>
          <w:rFonts w:ascii="黑体" w:hAnsi="黑体" w:eastAsia="黑体" w:cs="宋体"/>
          <w:kern w:val="0"/>
          <w:sz w:val="32"/>
          <w:szCs w:val="32"/>
        </w:rPr>
      </w:pPr>
      <w:r>
        <w:rPr>
          <w:rFonts w:hint="eastAsia" w:ascii="黑体" w:hAnsi="黑体" w:eastAsia="黑体" w:cs="宋体"/>
          <w:kern w:val="0"/>
          <w:sz w:val="32"/>
          <w:szCs w:val="32"/>
        </w:rPr>
        <w:t>五、其他情况说明</w:t>
      </w:r>
    </w:p>
    <w:p>
      <w:pPr>
        <w:widowControl/>
        <w:spacing w:line="560" w:lineRule="exact"/>
        <w:ind w:firstLine="640" w:firstLineChars="200"/>
        <w:rPr>
          <w:rFonts w:ascii="楷体_GB2312" w:hAnsi="宋体" w:eastAsia="楷体_GB2312" w:cs="宋体"/>
          <w:kern w:val="0"/>
          <w:sz w:val="32"/>
          <w:szCs w:val="32"/>
        </w:rPr>
      </w:pPr>
      <w:r>
        <w:rPr>
          <w:rFonts w:hint="eastAsia" w:ascii="楷体_GB2312" w:hAnsi="宋体" w:eastAsia="楷体_GB2312" w:cs="宋体"/>
          <w:kern w:val="0"/>
          <w:sz w:val="32"/>
          <w:szCs w:val="32"/>
        </w:rPr>
        <w:t>（一）部门政府采购预算说明</w:t>
      </w:r>
    </w:p>
    <w:p>
      <w:pPr>
        <w:widowControl/>
        <w:spacing w:line="560" w:lineRule="exact"/>
        <w:ind w:firstLine="640" w:firstLineChars="200"/>
        <w:rPr>
          <w:rFonts w:ascii="楷体_GB2312" w:hAnsi="宋体" w:eastAsia="楷体_GB2312" w:cs="宋体"/>
          <w:kern w:val="0"/>
          <w:sz w:val="32"/>
          <w:szCs w:val="32"/>
        </w:rPr>
      </w:pPr>
      <w:r>
        <w:rPr>
          <w:rFonts w:hint="eastAsia" w:ascii="仿宋_GB2312" w:hAnsi="宋体" w:eastAsia="仿宋_GB2312" w:cs="宋体"/>
          <w:kern w:val="0"/>
          <w:sz w:val="32"/>
          <w:szCs w:val="32"/>
        </w:rPr>
        <w:t>2025年门头沟区可持续发展中心政府购买采购预算总额0万元。</w:t>
      </w:r>
    </w:p>
    <w:p>
      <w:pPr>
        <w:widowControl/>
        <w:spacing w:line="560" w:lineRule="exact"/>
        <w:ind w:firstLine="640" w:firstLineChars="200"/>
        <w:rPr>
          <w:rFonts w:ascii="楷体_GB2312" w:hAnsi="宋体" w:eastAsia="楷体_GB2312" w:cs="宋体"/>
          <w:kern w:val="0"/>
          <w:sz w:val="32"/>
          <w:szCs w:val="32"/>
        </w:rPr>
      </w:pPr>
      <w:r>
        <w:rPr>
          <w:rFonts w:hint="eastAsia" w:ascii="楷体_GB2312" w:hAnsi="宋体" w:eastAsia="楷体_GB2312" w:cs="宋体"/>
          <w:kern w:val="0"/>
          <w:sz w:val="32"/>
          <w:szCs w:val="32"/>
        </w:rPr>
        <w:t>（二）政府购买服务预算说明</w:t>
      </w:r>
    </w:p>
    <w:p>
      <w:pPr>
        <w:widowControl/>
        <w:spacing w:line="560" w:lineRule="exact"/>
        <w:ind w:firstLine="640" w:firstLineChars="200"/>
        <w:rPr>
          <w:rFonts w:ascii="仿宋_GB2312" w:hAnsi="宋体" w:eastAsia="仿宋_GB2312" w:cs="宋体"/>
          <w:kern w:val="0"/>
          <w:sz w:val="32"/>
          <w:szCs w:val="32"/>
        </w:rPr>
      </w:pPr>
      <w:r>
        <w:rPr>
          <w:rFonts w:hint="eastAsia" w:ascii="仿宋_GB2312" w:hAnsi="宋体" w:eastAsia="仿宋_GB2312" w:cs="宋体"/>
          <w:kern w:val="0"/>
          <w:sz w:val="32"/>
          <w:szCs w:val="32"/>
        </w:rPr>
        <w:t>2025年门头沟区可持续发展中心政府购买服务预算总额0万元。</w:t>
      </w:r>
    </w:p>
    <w:p>
      <w:pPr>
        <w:widowControl/>
        <w:spacing w:line="560" w:lineRule="exact"/>
        <w:ind w:firstLine="640" w:firstLineChars="200"/>
        <w:rPr>
          <w:rFonts w:ascii="楷体_GB2312" w:hAnsi="宋体" w:eastAsia="楷体_GB2312" w:cs="宋体"/>
          <w:kern w:val="0"/>
          <w:sz w:val="32"/>
          <w:szCs w:val="32"/>
        </w:rPr>
      </w:pPr>
      <w:r>
        <w:rPr>
          <w:rFonts w:hint="eastAsia" w:ascii="楷体_GB2312" w:hAnsi="宋体" w:eastAsia="楷体_GB2312" w:cs="宋体"/>
          <w:kern w:val="0"/>
          <w:sz w:val="32"/>
          <w:szCs w:val="32"/>
        </w:rPr>
        <w:t>（三）机关运行经费情况说明</w:t>
      </w:r>
    </w:p>
    <w:p>
      <w:pPr>
        <w:widowControl/>
        <w:spacing w:line="560" w:lineRule="exact"/>
        <w:ind w:firstLine="640" w:firstLineChars="200"/>
        <w:rPr>
          <w:rFonts w:ascii="仿宋_GB2312" w:hAnsi="宋体" w:eastAsia="仿宋_GB2312" w:cs="宋体"/>
          <w:kern w:val="0"/>
          <w:sz w:val="32"/>
          <w:szCs w:val="32"/>
        </w:rPr>
      </w:pPr>
      <w:r>
        <w:rPr>
          <w:rFonts w:hint="eastAsia" w:ascii="仿宋_GB2312" w:hAnsi="宋体" w:eastAsia="仿宋_GB2312" w:cs="宋体"/>
          <w:kern w:val="0"/>
          <w:sz w:val="32"/>
          <w:szCs w:val="32"/>
        </w:rPr>
        <w:t>2025年本单位不涉及机关运行经费情况。</w:t>
      </w:r>
    </w:p>
    <w:p>
      <w:pPr>
        <w:widowControl/>
        <w:spacing w:line="560" w:lineRule="exact"/>
        <w:ind w:firstLine="640" w:firstLineChars="200"/>
        <w:rPr>
          <w:rFonts w:ascii="仿宋_GB2312" w:hAnsi="宋体" w:eastAsia="仿宋_GB2312" w:cs="宋体"/>
          <w:kern w:val="0"/>
          <w:sz w:val="32"/>
          <w:szCs w:val="32"/>
        </w:rPr>
      </w:pPr>
      <w:r>
        <w:rPr>
          <w:rFonts w:hint="eastAsia" w:ascii="仿宋_GB2312" w:hAnsi="宋体" w:eastAsia="仿宋_GB2312" w:cs="宋体"/>
          <w:kern w:val="0"/>
          <w:sz w:val="32"/>
          <w:szCs w:val="32"/>
        </w:rPr>
        <w:t>机关运行经费：是指行政单位（含参照公务员法管理事业单位）使用一般公共预算财政拨款安排的基本支出中的日常公用经费支出，包括办公及印刷费、邮电费、差旅费、会议费、福利费、日常维修费、专用材料及一般设备购置费、办公用房水电费、办公用房取暖费、办公用房物业管理费、公务用车运行维护费以及其他费用。</w:t>
      </w:r>
    </w:p>
    <w:p>
      <w:pPr>
        <w:widowControl/>
        <w:spacing w:line="560" w:lineRule="exact"/>
        <w:ind w:firstLine="640" w:firstLineChars="200"/>
        <w:rPr>
          <w:rFonts w:ascii="楷体_GB2312" w:hAnsi="宋体" w:eastAsia="楷体_GB2312" w:cs="宋体"/>
          <w:kern w:val="0"/>
          <w:sz w:val="32"/>
          <w:szCs w:val="32"/>
        </w:rPr>
      </w:pPr>
      <w:r>
        <w:rPr>
          <w:rFonts w:hint="eastAsia" w:ascii="楷体_GB2312" w:hAnsi="宋体" w:eastAsia="楷体_GB2312" w:cs="宋体"/>
          <w:kern w:val="0"/>
          <w:sz w:val="32"/>
          <w:szCs w:val="32"/>
        </w:rPr>
        <w:t xml:space="preserve">（四）项目支出绩效目标情况说明  </w:t>
      </w:r>
    </w:p>
    <w:p>
      <w:pPr>
        <w:widowControl/>
        <w:spacing w:line="560" w:lineRule="exact"/>
        <w:ind w:firstLine="640" w:firstLineChars="200"/>
        <w:rPr>
          <w:rFonts w:ascii="仿宋_GB2312" w:hAnsi="宋体" w:eastAsia="仿宋_GB2312" w:cs="宋体"/>
          <w:kern w:val="0"/>
          <w:sz w:val="32"/>
          <w:szCs w:val="32"/>
        </w:rPr>
      </w:pPr>
      <w:r>
        <w:rPr>
          <w:rFonts w:hint="eastAsia" w:ascii="仿宋_GB2312" w:hAnsi="宋体" w:eastAsia="仿宋_GB2312" w:cs="宋体"/>
          <w:kern w:val="0"/>
          <w:sz w:val="32"/>
          <w:szCs w:val="32"/>
        </w:rPr>
        <w:t>2025年，门头沟区可持续发展中心填报绩效目标的预算项目2个，占全部预算项目2个的100%。填报绩效目标的项目支出预算14万元，占本部门全部项目支出预算的100%。（注：取数范围是只提取项目支出，不含基本支出）</w:t>
      </w:r>
    </w:p>
    <w:p>
      <w:pPr>
        <w:widowControl/>
        <w:spacing w:line="560" w:lineRule="exact"/>
        <w:ind w:firstLine="640" w:firstLineChars="200"/>
        <w:rPr>
          <w:rFonts w:ascii="仿宋_GB2312" w:hAnsi="宋体" w:eastAsia="仿宋_GB2312" w:cs="宋体"/>
          <w:kern w:val="0"/>
          <w:sz w:val="32"/>
          <w:szCs w:val="32"/>
        </w:rPr>
      </w:pPr>
      <w:r>
        <w:rPr>
          <w:rFonts w:hint="eastAsia" w:ascii="仿宋_GB2312" w:hAnsi="宋体" w:eastAsia="仿宋_GB2312" w:cs="宋体"/>
          <w:kern w:val="0"/>
          <w:sz w:val="32"/>
          <w:szCs w:val="32"/>
        </w:rPr>
        <w:t>（五）财政拨款重点项目情况</w:t>
      </w:r>
    </w:p>
    <w:p>
      <w:pPr>
        <w:widowControl/>
        <w:spacing w:line="560" w:lineRule="exact"/>
        <w:ind w:firstLine="640" w:firstLineChars="200"/>
        <w:rPr>
          <w:rFonts w:ascii="仿宋_GB2312" w:hAnsi="宋体" w:eastAsia="仿宋_GB2312" w:cs="宋体"/>
          <w:kern w:val="0"/>
          <w:sz w:val="32"/>
          <w:szCs w:val="32"/>
        </w:rPr>
      </w:pPr>
      <w:r>
        <w:rPr>
          <w:rFonts w:hint="eastAsia" w:ascii="仿宋_GB2312" w:hAnsi="宋体" w:eastAsia="仿宋_GB2312" w:cs="宋体"/>
          <w:kern w:val="0"/>
          <w:sz w:val="32"/>
          <w:szCs w:val="32"/>
        </w:rPr>
        <w:t>1. 区域科普能力提升与建设项目2万元：用于安排科普能力提升等支出。</w:t>
      </w:r>
    </w:p>
    <w:p>
      <w:pPr>
        <w:widowControl/>
        <w:spacing w:line="560" w:lineRule="exact"/>
        <w:ind w:firstLine="640" w:firstLineChars="200"/>
        <w:rPr>
          <w:rFonts w:ascii="仿宋_GB2312" w:hAnsi="宋体" w:eastAsia="仿宋_GB2312" w:cs="宋体"/>
          <w:kern w:val="0"/>
          <w:sz w:val="32"/>
          <w:szCs w:val="32"/>
        </w:rPr>
      </w:pPr>
      <w:r>
        <w:rPr>
          <w:rFonts w:hint="eastAsia" w:ascii="仿宋_GB2312" w:hAnsi="宋体" w:eastAsia="仿宋_GB2312" w:cs="宋体"/>
          <w:kern w:val="0"/>
          <w:sz w:val="32"/>
          <w:szCs w:val="32"/>
        </w:rPr>
        <w:t>2. 门头沟区科技周活动项目项目12万元：用于安排科技周活动科普支出。</w:t>
      </w:r>
    </w:p>
    <w:p>
      <w:pPr>
        <w:widowControl/>
        <w:spacing w:line="560" w:lineRule="exact"/>
        <w:ind w:firstLine="640" w:firstLineChars="200"/>
        <w:rPr>
          <w:rFonts w:ascii="楷体_GB2312" w:hAnsi="宋体" w:eastAsia="楷体_GB2312" w:cs="宋体"/>
          <w:kern w:val="0"/>
          <w:sz w:val="32"/>
          <w:szCs w:val="32"/>
        </w:rPr>
      </w:pPr>
      <w:r>
        <w:rPr>
          <w:rFonts w:hint="eastAsia" w:ascii="楷体_GB2312" w:hAnsi="宋体" w:eastAsia="楷体_GB2312" w:cs="宋体"/>
          <w:kern w:val="0"/>
          <w:sz w:val="32"/>
          <w:szCs w:val="32"/>
        </w:rPr>
        <w:t>（六）重点行政事业性收费情况说明</w:t>
      </w:r>
    </w:p>
    <w:p>
      <w:pPr>
        <w:widowControl/>
        <w:spacing w:line="560" w:lineRule="exact"/>
        <w:ind w:firstLine="640" w:firstLineChars="200"/>
        <w:rPr>
          <w:rFonts w:ascii="仿宋_GB2312" w:hAnsi="宋体" w:eastAsia="仿宋_GB2312" w:cs="宋体"/>
          <w:kern w:val="0"/>
          <w:sz w:val="32"/>
          <w:szCs w:val="32"/>
        </w:rPr>
      </w:pPr>
      <w:r>
        <w:rPr>
          <w:rFonts w:hint="eastAsia" w:ascii="仿宋_GB2312" w:hAnsi="宋体" w:eastAsia="仿宋_GB2312" w:cs="宋体"/>
          <w:kern w:val="0"/>
          <w:sz w:val="32"/>
          <w:szCs w:val="32"/>
        </w:rPr>
        <w:t>本部门2025年无重点行政事业性收费。</w:t>
      </w:r>
    </w:p>
    <w:p>
      <w:pPr>
        <w:widowControl/>
        <w:spacing w:line="560" w:lineRule="exact"/>
        <w:ind w:firstLine="640" w:firstLineChars="200"/>
        <w:rPr>
          <w:rFonts w:ascii="楷体_GB2312" w:hAnsi="宋体" w:eastAsia="楷体_GB2312" w:cs="宋体"/>
          <w:kern w:val="0"/>
          <w:sz w:val="32"/>
          <w:szCs w:val="32"/>
        </w:rPr>
      </w:pPr>
      <w:r>
        <w:rPr>
          <w:rFonts w:hint="eastAsia" w:ascii="楷体_GB2312" w:hAnsi="宋体" w:eastAsia="楷体_GB2312" w:cs="宋体"/>
          <w:kern w:val="0"/>
          <w:sz w:val="32"/>
          <w:szCs w:val="32"/>
        </w:rPr>
        <w:t>（七）国有资产占用情况</w:t>
      </w:r>
    </w:p>
    <w:p>
      <w:pPr>
        <w:widowControl/>
        <w:spacing w:line="560" w:lineRule="exact"/>
        <w:ind w:firstLine="640" w:firstLineChars="200"/>
        <w:rPr>
          <w:rFonts w:ascii="仿宋_GB2312" w:hAnsi="宋体" w:eastAsia="仿宋_GB2312" w:cs="宋体"/>
          <w:kern w:val="0"/>
          <w:sz w:val="32"/>
          <w:szCs w:val="32"/>
        </w:rPr>
      </w:pPr>
      <w:r>
        <w:rPr>
          <w:rFonts w:hint="eastAsia" w:ascii="仿宋_GB2312" w:hAnsi="宋体" w:eastAsia="仿宋_GB2312" w:cs="宋体"/>
          <w:kern w:val="0"/>
          <w:sz w:val="32"/>
          <w:szCs w:val="32"/>
        </w:rPr>
        <w:t>截至2024年底，固定资产总额16.53万元，其中：房屋面积0平方米，0万元；汽车1辆，10.73万元；单价50万元以上的设备0台（套），0万元。</w:t>
      </w:r>
    </w:p>
    <w:p>
      <w:pPr>
        <w:spacing w:line="560" w:lineRule="exact"/>
        <w:ind w:firstLine="630"/>
        <w:rPr>
          <w:rFonts w:ascii="楷体_GB2312" w:eastAsia="楷体_GB2312"/>
          <w:sz w:val="32"/>
          <w:szCs w:val="32"/>
        </w:rPr>
      </w:pPr>
      <w:r>
        <w:rPr>
          <w:rFonts w:hint="eastAsia" w:ascii="楷体_GB2312" w:hAnsi="宋体" w:eastAsia="楷体_GB2312" w:cs="宋体"/>
          <w:kern w:val="0"/>
          <w:sz w:val="32"/>
          <w:szCs w:val="32"/>
        </w:rPr>
        <w:t>（八）</w:t>
      </w:r>
      <w:r>
        <w:rPr>
          <w:rFonts w:hint="eastAsia" w:ascii="楷体_GB2312" w:eastAsia="楷体_GB2312"/>
          <w:sz w:val="32"/>
          <w:szCs w:val="32"/>
        </w:rPr>
        <w:t>专业名词解释</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1.基本支出：指为保障机构正常运转、完成日常工作任务而发生的人员支出和公用支出。</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2.项目支出：指在基本支出之外为完成特定行政任务或事业发展目标所发生的支出。</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3.“三公”经费：是指单位通过一般公共预算财政拨款资金安排的因公出国（境）费、公务用车购置及运行费和公务接待费。其中，因公出国（境）费指单位公务出国（境）的国际旅费、国外城市间交通费、住宿费、伙食费、培训费、公杂费等支出；公务用车购置及运行费指单位公务用车车辆购置支出（含车辆购置税）及单位按规定保留的公务用车租用费、燃料费、维修费、过路过桥费、保险费、安全奖励费等支出；公务接待费指单位按规定开支的各类公务接待（含外宾接待）支出。</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 xml:space="preserve">4.机关运行经费：指为本部门行政单位（含参照公务员法管理事业单位）使用一般公共预算财政拨款安排的基本支出中的日常公用经费。包括：办公及印刷费、邮电费、差旅费、会议费、福利费、日常维修费、专用材料及一般设备购置费、办公用房水电费、办公用房取暖费、办公用房物业管理费、公务用车运行维护费以及其他费用。  </w:t>
      </w:r>
      <w:r>
        <w:rPr>
          <w:rFonts w:ascii="仿宋_GB2312" w:eastAsia="仿宋_GB2312"/>
          <w:sz w:val="32"/>
          <w:szCs w:val="32"/>
        </w:rPr>
        <w:t xml:space="preserve">  </w:t>
      </w:r>
    </w:p>
    <w:p>
      <w:pPr>
        <w:spacing w:line="560" w:lineRule="exact"/>
        <w:ind w:firstLine="614" w:firstLineChars="192"/>
        <w:rPr>
          <w:rFonts w:ascii="仿宋_GB2312" w:eastAsia="仿宋_GB2312"/>
          <w:sz w:val="32"/>
          <w:szCs w:val="32"/>
        </w:rPr>
      </w:pPr>
      <w:r>
        <w:rPr>
          <w:rFonts w:ascii="仿宋_GB2312" w:eastAsia="仿宋_GB2312"/>
          <w:sz w:val="32"/>
          <w:szCs w:val="32"/>
        </w:rPr>
        <w:t>5.</w:t>
      </w:r>
      <w:r>
        <w:rPr>
          <w:rFonts w:hint="eastAsia" w:ascii="仿宋_GB2312" w:eastAsia="仿宋_GB2312"/>
          <w:sz w:val="32"/>
          <w:szCs w:val="32"/>
        </w:rPr>
        <w:t xml:space="preserve"> 科技专项经费支出：指用于科学技术管理事务方面的支出、科学技术普及方面支出、应用技术研究与开发支出以及其他科技方面的支出。</w:t>
      </w:r>
    </w:p>
    <w:p>
      <w:pPr>
        <w:spacing w:line="500" w:lineRule="exact"/>
        <w:ind w:firstLine="480" w:firstLineChars="150"/>
        <w:rPr>
          <w:rFonts w:ascii="仿宋_GB2312" w:hAnsi="宋体" w:eastAsia="仿宋_GB2312" w:cs="宋体"/>
          <w:color w:val="FF0000"/>
          <w:sz w:val="32"/>
          <w:szCs w:val="32"/>
        </w:rPr>
      </w:pPr>
    </w:p>
    <w:p>
      <w:pPr>
        <w:spacing w:line="500" w:lineRule="exact"/>
        <w:jc w:val="center"/>
        <w:rPr>
          <w:rFonts w:ascii="华文中宋" w:hAnsi="华文中宋" w:eastAsia="华文中宋"/>
          <w:b/>
          <w:sz w:val="36"/>
          <w:szCs w:val="36"/>
        </w:rPr>
      </w:pPr>
      <w:r>
        <w:rPr>
          <w:rFonts w:hint="eastAsia" w:ascii="华文中宋" w:hAnsi="华文中宋" w:eastAsia="华文中宋"/>
          <w:b/>
          <w:sz w:val="36"/>
          <w:szCs w:val="36"/>
        </w:rPr>
        <w:t>　第二部分  2025年度门头沟区可持续发展中心部门预算报表</w:t>
      </w:r>
    </w:p>
    <w:p>
      <w:pPr>
        <w:spacing w:line="500" w:lineRule="exact"/>
        <w:jc w:val="center"/>
        <w:rPr>
          <w:rFonts w:ascii="仿宋_GB2312" w:eastAsia="仿宋_GB2312"/>
          <w:sz w:val="28"/>
          <w:szCs w:val="32"/>
        </w:rPr>
      </w:pPr>
    </w:p>
    <w:p>
      <w:pPr>
        <w:spacing w:line="500" w:lineRule="exact"/>
        <w:ind w:firstLine="560" w:firstLineChars="200"/>
        <w:rPr>
          <w:rFonts w:ascii="仿宋_GB2312" w:eastAsia="仿宋_GB2312"/>
          <w:sz w:val="28"/>
          <w:szCs w:val="32"/>
        </w:rPr>
      </w:pPr>
      <w:r>
        <w:rPr>
          <w:rFonts w:hint="eastAsia" w:ascii="仿宋_GB2312" w:eastAsia="仿宋_GB2312"/>
          <w:sz w:val="28"/>
          <w:szCs w:val="32"/>
        </w:rPr>
        <w:t>附件：20</w:t>
      </w:r>
      <w:r>
        <w:rPr>
          <w:rFonts w:ascii="仿宋_GB2312" w:eastAsia="仿宋_GB2312"/>
          <w:sz w:val="28"/>
          <w:szCs w:val="32"/>
        </w:rPr>
        <w:t>2</w:t>
      </w:r>
      <w:r>
        <w:rPr>
          <w:rFonts w:hint="eastAsia" w:ascii="仿宋_GB2312" w:eastAsia="仿宋_GB2312"/>
          <w:sz w:val="28"/>
          <w:szCs w:val="32"/>
        </w:rPr>
        <w:t>5年度门头沟区可持续发展中心预算报表</w:t>
      </w:r>
    </w:p>
    <w:sectPr>
      <w:headerReference r:id="rId3" w:type="default"/>
      <w:footerReference r:id="rId4" w:type="default"/>
      <w:footerReference r:id="rId5" w:type="even"/>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华文中宋">
    <w:altName w:val="微软雅黑"/>
    <w:panose1 w:val="02010600040101010101"/>
    <w:charset w:val="86"/>
    <w:family w:val="auto"/>
    <w:pitch w:val="default"/>
    <w:sig w:usb0="00000000" w:usb1="00000000" w:usb2="00000010" w:usb3="00000000" w:csb0="0004009F"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right" w:y="1"/>
      <w:rPr>
        <w:rStyle w:val="8"/>
      </w:rPr>
    </w:pPr>
    <w:r>
      <w:rPr>
        <w:rStyle w:val="8"/>
      </w:rPr>
      <w:fldChar w:fldCharType="begin"/>
    </w:r>
    <w:r>
      <w:rPr>
        <w:rStyle w:val="8"/>
      </w:rPr>
      <w:instrText xml:space="preserve">PAGE  </w:instrText>
    </w:r>
    <w:r>
      <w:rPr>
        <w:rStyle w:val="8"/>
      </w:rPr>
      <w:fldChar w:fldCharType="separate"/>
    </w:r>
    <w:r>
      <w:rPr>
        <w:rStyle w:val="8"/>
      </w:rPr>
      <w:t>2</w:t>
    </w:r>
    <w:r>
      <w:rPr>
        <w:rStyle w:val="8"/>
      </w:rPr>
      <w:fldChar w:fldCharType="end"/>
    </w:r>
  </w:p>
  <w:p>
    <w:pPr>
      <w:pStyle w:val="3"/>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right" w:y="1"/>
      <w:rPr>
        <w:rStyle w:val="8"/>
      </w:rPr>
    </w:pPr>
    <w:r>
      <w:rPr>
        <w:rStyle w:val="8"/>
      </w:rPr>
      <w:fldChar w:fldCharType="begin"/>
    </w:r>
    <w:r>
      <w:rPr>
        <w:rStyle w:val="8"/>
      </w:rPr>
      <w:instrText xml:space="preserve">PAGE  </w:instrText>
    </w:r>
    <w:r>
      <w:rPr>
        <w:rStyle w:val="8"/>
      </w:rPr>
      <w:fldChar w:fldCharType="separate"/>
    </w:r>
    <w:r>
      <w:rPr>
        <w:rStyle w:val="8"/>
      </w:rPr>
      <w:t>1</w:t>
    </w:r>
    <w:r>
      <w:rPr>
        <w:rStyle w:val="8"/>
      </w:rPr>
      <w:fldChar w:fldCharType="end"/>
    </w:r>
  </w:p>
  <w:p>
    <w:pPr>
      <w:pStyle w:val="3"/>
      <w:ind w:right="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42599D"/>
    <w:rsid w:val="00004C99"/>
    <w:rsid w:val="00010198"/>
    <w:rsid w:val="0001209E"/>
    <w:rsid w:val="00014A90"/>
    <w:rsid w:val="00022010"/>
    <w:rsid w:val="000226F4"/>
    <w:rsid w:val="0002435B"/>
    <w:rsid w:val="00050E6E"/>
    <w:rsid w:val="000549D5"/>
    <w:rsid w:val="0005765D"/>
    <w:rsid w:val="00063B0E"/>
    <w:rsid w:val="00082B23"/>
    <w:rsid w:val="00086610"/>
    <w:rsid w:val="00096CD7"/>
    <w:rsid w:val="000A00C0"/>
    <w:rsid w:val="000B04F2"/>
    <w:rsid w:val="000B12C4"/>
    <w:rsid w:val="000B193C"/>
    <w:rsid w:val="000B689A"/>
    <w:rsid w:val="000C46C6"/>
    <w:rsid w:val="000C4A61"/>
    <w:rsid w:val="000C4C3F"/>
    <w:rsid w:val="000C5CDB"/>
    <w:rsid w:val="000C6D0D"/>
    <w:rsid w:val="000D1ACF"/>
    <w:rsid w:val="000D1FD7"/>
    <w:rsid w:val="000D2B42"/>
    <w:rsid w:val="000D46EA"/>
    <w:rsid w:val="000D51B7"/>
    <w:rsid w:val="000D6985"/>
    <w:rsid w:val="000D69F4"/>
    <w:rsid w:val="000E6C41"/>
    <w:rsid w:val="000F751D"/>
    <w:rsid w:val="0010592C"/>
    <w:rsid w:val="00111571"/>
    <w:rsid w:val="00114903"/>
    <w:rsid w:val="00120AD8"/>
    <w:rsid w:val="0012486C"/>
    <w:rsid w:val="001345A9"/>
    <w:rsid w:val="00134E89"/>
    <w:rsid w:val="0014042F"/>
    <w:rsid w:val="00153961"/>
    <w:rsid w:val="00165F6C"/>
    <w:rsid w:val="00171A1E"/>
    <w:rsid w:val="00186665"/>
    <w:rsid w:val="001869BC"/>
    <w:rsid w:val="00187942"/>
    <w:rsid w:val="001A5084"/>
    <w:rsid w:val="001B3A33"/>
    <w:rsid w:val="001B5D60"/>
    <w:rsid w:val="001B6BCA"/>
    <w:rsid w:val="001D270B"/>
    <w:rsid w:val="001D5AA8"/>
    <w:rsid w:val="001F1C20"/>
    <w:rsid w:val="001F6B07"/>
    <w:rsid w:val="00202B82"/>
    <w:rsid w:val="0021570C"/>
    <w:rsid w:val="00216449"/>
    <w:rsid w:val="002200CB"/>
    <w:rsid w:val="00224A77"/>
    <w:rsid w:val="002309DA"/>
    <w:rsid w:val="00240BEB"/>
    <w:rsid w:val="00242984"/>
    <w:rsid w:val="00244F6A"/>
    <w:rsid w:val="0025160F"/>
    <w:rsid w:val="0025290E"/>
    <w:rsid w:val="00270E0F"/>
    <w:rsid w:val="0027525E"/>
    <w:rsid w:val="002B4D4D"/>
    <w:rsid w:val="002B5951"/>
    <w:rsid w:val="002C6CA2"/>
    <w:rsid w:val="002F7DF4"/>
    <w:rsid w:val="003067DB"/>
    <w:rsid w:val="00311990"/>
    <w:rsid w:val="00326CA9"/>
    <w:rsid w:val="0033728C"/>
    <w:rsid w:val="00354CDE"/>
    <w:rsid w:val="00360946"/>
    <w:rsid w:val="00372D10"/>
    <w:rsid w:val="00373E99"/>
    <w:rsid w:val="003754AB"/>
    <w:rsid w:val="00380A9F"/>
    <w:rsid w:val="00381798"/>
    <w:rsid w:val="00386DDD"/>
    <w:rsid w:val="003907DD"/>
    <w:rsid w:val="003920BF"/>
    <w:rsid w:val="00395536"/>
    <w:rsid w:val="0039641A"/>
    <w:rsid w:val="0039788E"/>
    <w:rsid w:val="003A51BE"/>
    <w:rsid w:val="003B2107"/>
    <w:rsid w:val="003D16CD"/>
    <w:rsid w:val="003D43CC"/>
    <w:rsid w:val="003E4135"/>
    <w:rsid w:val="003E6219"/>
    <w:rsid w:val="003F1E43"/>
    <w:rsid w:val="004018BE"/>
    <w:rsid w:val="00402B00"/>
    <w:rsid w:val="004035F0"/>
    <w:rsid w:val="00404103"/>
    <w:rsid w:val="00412A3B"/>
    <w:rsid w:val="004213E7"/>
    <w:rsid w:val="00421AE2"/>
    <w:rsid w:val="00424E85"/>
    <w:rsid w:val="0042599D"/>
    <w:rsid w:val="004352BD"/>
    <w:rsid w:val="0044276B"/>
    <w:rsid w:val="0044548D"/>
    <w:rsid w:val="00451B2C"/>
    <w:rsid w:val="00452A58"/>
    <w:rsid w:val="00453035"/>
    <w:rsid w:val="00455FFC"/>
    <w:rsid w:val="004615B8"/>
    <w:rsid w:val="00465EC0"/>
    <w:rsid w:val="00466271"/>
    <w:rsid w:val="00467168"/>
    <w:rsid w:val="0047359C"/>
    <w:rsid w:val="00477190"/>
    <w:rsid w:val="0048015A"/>
    <w:rsid w:val="004829A7"/>
    <w:rsid w:val="00484739"/>
    <w:rsid w:val="00486621"/>
    <w:rsid w:val="00487CE0"/>
    <w:rsid w:val="00491E0C"/>
    <w:rsid w:val="00494106"/>
    <w:rsid w:val="00495576"/>
    <w:rsid w:val="004A40F0"/>
    <w:rsid w:val="004A68D5"/>
    <w:rsid w:val="004A6E18"/>
    <w:rsid w:val="004B0DE2"/>
    <w:rsid w:val="004B3C6D"/>
    <w:rsid w:val="004D4F49"/>
    <w:rsid w:val="004F20AF"/>
    <w:rsid w:val="004F3FF0"/>
    <w:rsid w:val="005001E3"/>
    <w:rsid w:val="00502EF4"/>
    <w:rsid w:val="00503188"/>
    <w:rsid w:val="00504BE7"/>
    <w:rsid w:val="00507B91"/>
    <w:rsid w:val="005126E5"/>
    <w:rsid w:val="00515D11"/>
    <w:rsid w:val="00520365"/>
    <w:rsid w:val="00520724"/>
    <w:rsid w:val="00530700"/>
    <w:rsid w:val="00533C9C"/>
    <w:rsid w:val="00533DAF"/>
    <w:rsid w:val="00540278"/>
    <w:rsid w:val="0055485D"/>
    <w:rsid w:val="00555610"/>
    <w:rsid w:val="00555AC1"/>
    <w:rsid w:val="0056308D"/>
    <w:rsid w:val="00565422"/>
    <w:rsid w:val="00566322"/>
    <w:rsid w:val="00572AC5"/>
    <w:rsid w:val="00581627"/>
    <w:rsid w:val="00583717"/>
    <w:rsid w:val="0058441F"/>
    <w:rsid w:val="0058535D"/>
    <w:rsid w:val="00593D35"/>
    <w:rsid w:val="005A2B0F"/>
    <w:rsid w:val="005A2FA7"/>
    <w:rsid w:val="005B7249"/>
    <w:rsid w:val="005D413B"/>
    <w:rsid w:val="005E25A7"/>
    <w:rsid w:val="005E3DE9"/>
    <w:rsid w:val="005E6F67"/>
    <w:rsid w:val="005E77EA"/>
    <w:rsid w:val="005F0DE6"/>
    <w:rsid w:val="00611FAB"/>
    <w:rsid w:val="006122FF"/>
    <w:rsid w:val="006146EE"/>
    <w:rsid w:val="006239CE"/>
    <w:rsid w:val="00623A0C"/>
    <w:rsid w:val="00627867"/>
    <w:rsid w:val="00631399"/>
    <w:rsid w:val="00634372"/>
    <w:rsid w:val="006468D7"/>
    <w:rsid w:val="00652CDE"/>
    <w:rsid w:val="0065420B"/>
    <w:rsid w:val="00654F14"/>
    <w:rsid w:val="00674EB5"/>
    <w:rsid w:val="006823D7"/>
    <w:rsid w:val="0069083E"/>
    <w:rsid w:val="0069590C"/>
    <w:rsid w:val="006A02FF"/>
    <w:rsid w:val="006A7BEA"/>
    <w:rsid w:val="006B4F78"/>
    <w:rsid w:val="006C1D0A"/>
    <w:rsid w:val="006D109D"/>
    <w:rsid w:val="006D1FCB"/>
    <w:rsid w:val="006D3E08"/>
    <w:rsid w:val="006E0A57"/>
    <w:rsid w:val="006E359E"/>
    <w:rsid w:val="006E48F6"/>
    <w:rsid w:val="006F6FCC"/>
    <w:rsid w:val="007024EB"/>
    <w:rsid w:val="00704603"/>
    <w:rsid w:val="0070717A"/>
    <w:rsid w:val="00710C1D"/>
    <w:rsid w:val="007112F4"/>
    <w:rsid w:val="007212BE"/>
    <w:rsid w:val="00722993"/>
    <w:rsid w:val="007233E2"/>
    <w:rsid w:val="00731988"/>
    <w:rsid w:val="00732AB2"/>
    <w:rsid w:val="0073670C"/>
    <w:rsid w:val="00744C06"/>
    <w:rsid w:val="00745DD9"/>
    <w:rsid w:val="00747CDB"/>
    <w:rsid w:val="007554DC"/>
    <w:rsid w:val="007628FC"/>
    <w:rsid w:val="00777AEF"/>
    <w:rsid w:val="00783B23"/>
    <w:rsid w:val="00784B57"/>
    <w:rsid w:val="007964CB"/>
    <w:rsid w:val="0079775B"/>
    <w:rsid w:val="00797C9F"/>
    <w:rsid w:val="007A0BE9"/>
    <w:rsid w:val="007A21BC"/>
    <w:rsid w:val="007A39B1"/>
    <w:rsid w:val="007B306B"/>
    <w:rsid w:val="007B4DD1"/>
    <w:rsid w:val="007C3E71"/>
    <w:rsid w:val="007C7017"/>
    <w:rsid w:val="007D3A8A"/>
    <w:rsid w:val="007E58FE"/>
    <w:rsid w:val="007F331F"/>
    <w:rsid w:val="00810E5C"/>
    <w:rsid w:val="008113FF"/>
    <w:rsid w:val="00813BBC"/>
    <w:rsid w:val="008227B1"/>
    <w:rsid w:val="00830DB2"/>
    <w:rsid w:val="00833236"/>
    <w:rsid w:val="00835CA7"/>
    <w:rsid w:val="00836D84"/>
    <w:rsid w:val="00851DCD"/>
    <w:rsid w:val="008720A5"/>
    <w:rsid w:val="008721A8"/>
    <w:rsid w:val="00883867"/>
    <w:rsid w:val="0089181D"/>
    <w:rsid w:val="008918E7"/>
    <w:rsid w:val="00894B51"/>
    <w:rsid w:val="008A63D8"/>
    <w:rsid w:val="008A6867"/>
    <w:rsid w:val="008A73B2"/>
    <w:rsid w:val="008A7D0C"/>
    <w:rsid w:val="008B1C9E"/>
    <w:rsid w:val="008B5539"/>
    <w:rsid w:val="008C009D"/>
    <w:rsid w:val="008C63B9"/>
    <w:rsid w:val="008C7FBD"/>
    <w:rsid w:val="008C7FE4"/>
    <w:rsid w:val="008D62F3"/>
    <w:rsid w:val="008E1E72"/>
    <w:rsid w:val="008E3376"/>
    <w:rsid w:val="008E3AF6"/>
    <w:rsid w:val="00901201"/>
    <w:rsid w:val="00901FDB"/>
    <w:rsid w:val="0090553E"/>
    <w:rsid w:val="00905B40"/>
    <w:rsid w:val="00906BF2"/>
    <w:rsid w:val="00906D51"/>
    <w:rsid w:val="009075FC"/>
    <w:rsid w:val="00925D3F"/>
    <w:rsid w:val="009274AE"/>
    <w:rsid w:val="00934F5B"/>
    <w:rsid w:val="009500F7"/>
    <w:rsid w:val="0095111B"/>
    <w:rsid w:val="00953377"/>
    <w:rsid w:val="00954E2B"/>
    <w:rsid w:val="009603F8"/>
    <w:rsid w:val="009612FE"/>
    <w:rsid w:val="009642B1"/>
    <w:rsid w:val="00966C21"/>
    <w:rsid w:val="009677FD"/>
    <w:rsid w:val="009766C2"/>
    <w:rsid w:val="009866D4"/>
    <w:rsid w:val="00987C2D"/>
    <w:rsid w:val="009921BC"/>
    <w:rsid w:val="009941D6"/>
    <w:rsid w:val="00996383"/>
    <w:rsid w:val="009A10C9"/>
    <w:rsid w:val="009A29D0"/>
    <w:rsid w:val="009B2717"/>
    <w:rsid w:val="009C2AE1"/>
    <w:rsid w:val="009C5C7F"/>
    <w:rsid w:val="009D2D56"/>
    <w:rsid w:val="009D311D"/>
    <w:rsid w:val="009D5FD5"/>
    <w:rsid w:val="009E406F"/>
    <w:rsid w:val="009F40F0"/>
    <w:rsid w:val="009F7467"/>
    <w:rsid w:val="00A22380"/>
    <w:rsid w:val="00A25FFD"/>
    <w:rsid w:val="00A33B78"/>
    <w:rsid w:val="00A5063A"/>
    <w:rsid w:val="00A63B62"/>
    <w:rsid w:val="00A640D2"/>
    <w:rsid w:val="00A67872"/>
    <w:rsid w:val="00A71D9E"/>
    <w:rsid w:val="00A7725D"/>
    <w:rsid w:val="00A82B7D"/>
    <w:rsid w:val="00A92CD7"/>
    <w:rsid w:val="00AA3EC4"/>
    <w:rsid w:val="00AB54A9"/>
    <w:rsid w:val="00AB54E9"/>
    <w:rsid w:val="00AB5EBD"/>
    <w:rsid w:val="00AB6C3D"/>
    <w:rsid w:val="00AB6CE9"/>
    <w:rsid w:val="00AC7ADF"/>
    <w:rsid w:val="00AD03A5"/>
    <w:rsid w:val="00AD5A1B"/>
    <w:rsid w:val="00AF60C1"/>
    <w:rsid w:val="00B062D8"/>
    <w:rsid w:val="00B1496A"/>
    <w:rsid w:val="00B33752"/>
    <w:rsid w:val="00B42E0F"/>
    <w:rsid w:val="00B5643A"/>
    <w:rsid w:val="00B570D6"/>
    <w:rsid w:val="00B62B47"/>
    <w:rsid w:val="00B66701"/>
    <w:rsid w:val="00B66A6D"/>
    <w:rsid w:val="00B67800"/>
    <w:rsid w:val="00B71F10"/>
    <w:rsid w:val="00B73C25"/>
    <w:rsid w:val="00B76DB6"/>
    <w:rsid w:val="00B77AC4"/>
    <w:rsid w:val="00B81E19"/>
    <w:rsid w:val="00B85EC9"/>
    <w:rsid w:val="00B87FAE"/>
    <w:rsid w:val="00B90ADA"/>
    <w:rsid w:val="00B91E2D"/>
    <w:rsid w:val="00B94564"/>
    <w:rsid w:val="00B94F84"/>
    <w:rsid w:val="00BA0695"/>
    <w:rsid w:val="00BA4B11"/>
    <w:rsid w:val="00BA7057"/>
    <w:rsid w:val="00BA754C"/>
    <w:rsid w:val="00BB1DC0"/>
    <w:rsid w:val="00BB247D"/>
    <w:rsid w:val="00BD0512"/>
    <w:rsid w:val="00BD5CE1"/>
    <w:rsid w:val="00BE3304"/>
    <w:rsid w:val="00C03453"/>
    <w:rsid w:val="00C13E3E"/>
    <w:rsid w:val="00C22CBD"/>
    <w:rsid w:val="00C31C79"/>
    <w:rsid w:val="00C42F84"/>
    <w:rsid w:val="00C50859"/>
    <w:rsid w:val="00C61571"/>
    <w:rsid w:val="00C7209F"/>
    <w:rsid w:val="00C75BF6"/>
    <w:rsid w:val="00C7639C"/>
    <w:rsid w:val="00C84415"/>
    <w:rsid w:val="00C84DFC"/>
    <w:rsid w:val="00C90DF3"/>
    <w:rsid w:val="00C944DE"/>
    <w:rsid w:val="00C95B57"/>
    <w:rsid w:val="00C974BA"/>
    <w:rsid w:val="00CA2719"/>
    <w:rsid w:val="00CA6189"/>
    <w:rsid w:val="00CB4D9F"/>
    <w:rsid w:val="00CC288B"/>
    <w:rsid w:val="00CC72EC"/>
    <w:rsid w:val="00CC7584"/>
    <w:rsid w:val="00CD26C5"/>
    <w:rsid w:val="00CD6953"/>
    <w:rsid w:val="00CD71AA"/>
    <w:rsid w:val="00CF1618"/>
    <w:rsid w:val="00CF290D"/>
    <w:rsid w:val="00CF41E1"/>
    <w:rsid w:val="00CF60A3"/>
    <w:rsid w:val="00D14D9C"/>
    <w:rsid w:val="00D17B3B"/>
    <w:rsid w:val="00D2257F"/>
    <w:rsid w:val="00D25D07"/>
    <w:rsid w:val="00D26D27"/>
    <w:rsid w:val="00D31BB2"/>
    <w:rsid w:val="00D36563"/>
    <w:rsid w:val="00D42061"/>
    <w:rsid w:val="00D45FCD"/>
    <w:rsid w:val="00D469A5"/>
    <w:rsid w:val="00D53652"/>
    <w:rsid w:val="00D53A29"/>
    <w:rsid w:val="00D67552"/>
    <w:rsid w:val="00D70F66"/>
    <w:rsid w:val="00D76C49"/>
    <w:rsid w:val="00D81899"/>
    <w:rsid w:val="00D83217"/>
    <w:rsid w:val="00D8702A"/>
    <w:rsid w:val="00D9115E"/>
    <w:rsid w:val="00D911EE"/>
    <w:rsid w:val="00D97BF4"/>
    <w:rsid w:val="00DA5F09"/>
    <w:rsid w:val="00DB4929"/>
    <w:rsid w:val="00DC318E"/>
    <w:rsid w:val="00DC41B3"/>
    <w:rsid w:val="00DD1A27"/>
    <w:rsid w:val="00DD7E3D"/>
    <w:rsid w:val="00DE3D2D"/>
    <w:rsid w:val="00DE4342"/>
    <w:rsid w:val="00DE753D"/>
    <w:rsid w:val="00DF0BF6"/>
    <w:rsid w:val="00DF6E9C"/>
    <w:rsid w:val="00E34AA1"/>
    <w:rsid w:val="00E40E4B"/>
    <w:rsid w:val="00E4129D"/>
    <w:rsid w:val="00E507D9"/>
    <w:rsid w:val="00E53EBC"/>
    <w:rsid w:val="00E606DB"/>
    <w:rsid w:val="00E64422"/>
    <w:rsid w:val="00E728DC"/>
    <w:rsid w:val="00E77ED4"/>
    <w:rsid w:val="00E8183A"/>
    <w:rsid w:val="00E84745"/>
    <w:rsid w:val="00E84E26"/>
    <w:rsid w:val="00E84F34"/>
    <w:rsid w:val="00EA3AC1"/>
    <w:rsid w:val="00EE1766"/>
    <w:rsid w:val="00F00355"/>
    <w:rsid w:val="00F004A6"/>
    <w:rsid w:val="00F029AF"/>
    <w:rsid w:val="00F032E7"/>
    <w:rsid w:val="00F03665"/>
    <w:rsid w:val="00F064DF"/>
    <w:rsid w:val="00F12FB6"/>
    <w:rsid w:val="00F248CB"/>
    <w:rsid w:val="00F31028"/>
    <w:rsid w:val="00F4027B"/>
    <w:rsid w:val="00F41058"/>
    <w:rsid w:val="00F44327"/>
    <w:rsid w:val="00F47082"/>
    <w:rsid w:val="00F471A2"/>
    <w:rsid w:val="00F4792A"/>
    <w:rsid w:val="00F50A25"/>
    <w:rsid w:val="00F57E5E"/>
    <w:rsid w:val="00F652B5"/>
    <w:rsid w:val="00F6585A"/>
    <w:rsid w:val="00F762BC"/>
    <w:rsid w:val="00F871CF"/>
    <w:rsid w:val="00F908D1"/>
    <w:rsid w:val="00FB3DBF"/>
    <w:rsid w:val="00FB416D"/>
    <w:rsid w:val="00FC5B38"/>
    <w:rsid w:val="00FD067E"/>
    <w:rsid w:val="00FD22DB"/>
    <w:rsid w:val="00FD7EDD"/>
    <w:rsid w:val="00FE3A71"/>
    <w:rsid w:val="00FE43E3"/>
    <w:rsid w:val="00FF16AE"/>
    <w:rsid w:val="00FF78D5"/>
    <w:rsid w:val="1E2A3F33"/>
    <w:rsid w:val="504A19E7"/>
    <w:rsid w:val="5AC96ED2"/>
    <w:rsid w:val="77840F15"/>
    <w:rsid w:val="77D17B3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semiHidden/>
    <w:qFormat/>
    <w:uiPriority w:val="0"/>
    <w:rPr>
      <w:sz w:val="18"/>
      <w:szCs w:val="18"/>
    </w:rPr>
  </w:style>
  <w:style w:type="paragraph" w:styleId="3">
    <w:name w:val="footer"/>
    <w:basedOn w:val="1"/>
    <w:qFormat/>
    <w:uiPriority w:val="0"/>
    <w:pPr>
      <w:tabs>
        <w:tab w:val="center" w:pos="4153"/>
        <w:tab w:val="right" w:pos="8306"/>
      </w:tabs>
      <w:snapToGrid w:val="0"/>
      <w:jc w:val="left"/>
    </w:pPr>
    <w:rPr>
      <w:sz w:val="18"/>
      <w:szCs w:val="18"/>
    </w:rPr>
  </w:style>
  <w:style w:type="paragraph" w:styleId="4">
    <w:name w:val="header"/>
    <w:basedOn w:val="1"/>
    <w:link w:val="10"/>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0"/>
    <w:pPr>
      <w:jc w:val="left"/>
    </w:pPr>
    <w:rPr>
      <w:rFonts w:ascii="Calibri" w:hAnsi="Calibri"/>
      <w:kern w:val="0"/>
      <w:sz w:val="24"/>
    </w:rPr>
  </w:style>
  <w:style w:type="character" w:styleId="8">
    <w:name w:val="page number"/>
    <w:basedOn w:val="7"/>
    <w:qFormat/>
    <w:uiPriority w:val="0"/>
  </w:style>
  <w:style w:type="character" w:styleId="9">
    <w:name w:val="Hyperlink"/>
    <w:uiPriority w:val="0"/>
    <w:rPr>
      <w:color w:val="000000"/>
      <w:u w:val="none"/>
    </w:rPr>
  </w:style>
  <w:style w:type="character" w:customStyle="1" w:styleId="10">
    <w:name w:val="页眉 Char"/>
    <w:link w:val="4"/>
    <w:uiPriority w:val="0"/>
    <w:rPr>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P R C</Company>
  <Pages>7</Pages>
  <Words>402</Words>
  <Characters>2295</Characters>
  <Lines>19</Lines>
  <Paragraphs>5</Paragraphs>
  <TotalTime>50</TotalTime>
  <ScaleCrop>false</ScaleCrop>
  <LinksUpToDate>false</LinksUpToDate>
  <CharactersWithSpaces>2692</CharactersWithSpaces>
  <Application>WPS Office_11.8.2.10972_F1E327BC-269C-435d-A152-05C5408002CA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2023-02-16T07:13:00Z</dcterms:created>
  <dc:creator>高山</dc:creator>
  <cp:lastModifiedBy>bgs</cp:lastModifiedBy>
  <cp:lastPrinted>2015-03-16T01:56:00Z</cp:lastPrinted>
  <dcterms:modified xsi:type="dcterms:W3CDTF">2025-02-11T01:37:47Z</dcterms:modified>
  <dc:title>门头沟区民防局2012年预算情况说明</dc:title>
  <cp:revision>26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2052-11.8.2.10972</vt:lpwstr>
  </property>
  <property fmtid="{D5CDD505-2E9C-101B-9397-08002B2CF9AE}" pid="3" name="ICV">
    <vt:lpwstr>8192A16A380F49899A0FF5335B160804</vt:lpwstr>
  </property>
</Properties>
</file>