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r>
        <w:rPr>
          <w:rFonts w:hint="eastAsia" w:ascii="华文中宋" w:hAnsi="华文中宋" w:eastAsia="华文中宋"/>
          <w:b/>
          <w:sz w:val="36"/>
          <w:szCs w:val="36"/>
        </w:rPr>
        <w:t>目   录</w:t>
      </w:r>
    </w:p>
    <w:p>
      <w:pPr>
        <w:spacing w:line="460" w:lineRule="exact"/>
        <w:jc w:val="center"/>
        <w:rPr>
          <w:rFonts w:ascii="华文中宋" w:hAnsi="华文中宋" w:eastAsia="华文中宋"/>
          <w:b/>
          <w:sz w:val="36"/>
          <w:szCs w:val="36"/>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第一部分 20</w:t>
      </w:r>
      <w:r>
        <w:rPr>
          <w:rFonts w:ascii="黑体" w:hAnsi="黑体" w:eastAsia="黑体"/>
          <w:sz w:val="28"/>
          <w:szCs w:val="32"/>
        </w:rPr>
        <w:t>2</w:t>
      </w:r>
      <w:r>
        <w:rPr>
          <w:rFonts w:hint="eastAsia" w:ascii="黑体" w:hAnsi="黑体" w:eastAsia="黑体"/>
          <w:sz w:val="28"/>
          <w:szCs w:val="32"/>
        </w:rPr>
        <w:t>5年度部门预算情况说明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一、部门情况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二、收入预算说明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三、支出预算说明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四</w:t>
      </w:r>
      <w:r>
        <w:rPr>
          <w:rFonts w:ascii="仿宋_GB2312" w:eastAsia="仿宋_GB2312"/>
          <w:sz w:val="28"/>
          <w:szCs w:val="32"/>
        </w:rPr>
        <w:t>、</w:t>
      </w:r>
      <w:r>
        <w:rPr>
          <w:rFonts w:hint="eastAsia" w:ascii="仿宋_GB2312" w:eastAsia="仿宋_GB2312"/>
          <w:sz w:val="28"/>
          <w:szCs w:val="32"/>
        </w:rPr>
        <w:t>部门</w:t>
      </w:r>
      <w:r>
        <w:rPr>
          <w:rFonts w:hint="eastAsia" w:ascii="仿宋_GB2312" w:eastAsia="仿宋_GB2312"/>
          <w:sz w:val="28"/>
          <w:szCs w:val="32"/>
          <w:lang w:eastAsia="zh-CN"/>
        </w:rPr>
        <w:t>“三公”</w:t>
      </w:r>
      <w:r>
        <w:rPr>
          <w:rFonts w:hint="eastAsia" w:ascii="仿宋_GB2312" w:eastAsia="仿宋_GB2312"/>
          <w:sz w:val="28"/>
          <w:szCs w:val="32"/>
        </w:rPr>
        <w:t>经费财政拨款预算说明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w:t>
      </w:r>
      <w:r>
        <w:rPr>
          <w:rFonts w:ascii="仿宋_GB2312" w:eastAsia="仿宋_GB2312"/>
          <w:sz w:val="28"/>
          <w:szCs w:val="32"/>
        </w:rPr>
        <w:t>、</w:t>
      </w:r>
      <w:r>
        <w:rPr>
          <w:rFonts w:hint="eastAsia" w:ascii="仿宋_GB2312" w:eastAsia="仿宋_GB2312"/>
          <w:sz w:val="28"/>
          <w:szCs w:val="32"/>
        </w:rPr>
        <w:t>其他情况说明</w:t>
      </w:r>
    </w:p>
    <w:p>
      <w:pPr>
        <w:spacing w:line="460" w:lineRule="exact"/>
        <w:ind w:firstLine="420" w:firstLineChars="150"/>
        <w:jc w:val="left"/>
        <w:rPr>
          <w:rFonts w:ascii="黑体" w:hAnsi="黑体" w:eastAsia="黑体"/>
          <w:sz w:val="28"/>
          <w:szCs w:val="32"/>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第二部分 20</w:t>
      </w:r>
      <w:r>
        <w:rPr>
          <w:rFonts w:ascii="黑体" w:hAnsi="黑体" w:eastAsia="黑体"/>
          <w:sz w:val="28"/>
          <w:szCs w:val="32"/>
        </w:rPr>
        <w:t>2</w:t>
      </w:r>
      <w:r>
        <w:rPr>
          <w:rFonts w:hint="eastAsia" w:ascii="黑体" w:hAnsi="黑体" w:eastAsia="黑体"/>
          <w:sz w:val="28"/>
          <w:szCs w:val="32"/>
        </w:rPr>
        <w:t>5年度部门预算报表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1.收支总表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2.收入总表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3.支出总表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4.项目支出表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5.政府采购预算明细表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6.财拨总表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7.一般公共预算财政拨款支出表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8.一般公共预算财政拨款基本支出表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9.政府性基金预算财政拨款支出表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10.国有资本经营预算财政拨款支出表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11.</w:t>
      </w:r>
      <w:r>
        <w:rPr>
          <w:rFonts w:hint="eastAsia" w:ascii="仿宋_GB2312" w:eastAsia="仿宋_GB2312"/>
          <w:sz w:val="28"/>
          <w:szCs w:val="32"/>
          <w:lang w:eastAsia="zh-CN"/>
        </w:rPr>
        <w:t>“三公”</w:t>
      </w:r>
      <w:r>
        <w:rPr>
          <w:rFonts w:hint="eastAsia" w:ascii="仿宋_GB2312" w:eastAsia="仿宋_GB2312"/>
          <w:sz w:val="28"/>
          <w:szCs w:val="32"/>
        </w:rPr>
        <w:t>经费支出表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12.政府购买服务预算财政拨款明细表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13.整体支出绩效目标申报表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14.项目支出绩效目标表</w:t>
      </w:r>
    </w:p>
    <w:tbl>
      <w:tblPr>
        <w:tblStyle w:val="7"/>
        <w:tblW w:w="11320" w:type="dxa"/>
        <w:tblInd w:w="108" w:type="dxa"/>
        <w:tblLayout w:type="autofit"/>
        <w:tblCellMar>
          <w:top w:w="0" w:type="dxa"/>
          <w:left w:w="108" w:type="dxa"/>
          <w:bottom w:w="0" w:type="dxa"/>
          <w:right w:w="108" w:type="dxa"/>
        </w:tblCellMar>
      </w:tblPr>
      <w:tblGrid>
        <w:gridCol w:w="11320"/>
      </w:tblGrid>
      <w:tr>
        <w:tblPrEx>
          <w:tblCellMar>
            <w:top w:w="0" w:type="dxa"/>
            <w:left w:w="108" w:type="dxa"/>
            <w:bottom w:w="0" w:type="dxa"/>
            <w:right w:w="108" w:type="dxa"/>
          </w:tblCellMar>
        </w:tblPrEx>
        <w:trPr>
          <w:trHeight w:val="327" w:hRule="atLeast"/>
        </w:trPr>
        <w:tc>
          <w:tcPr>
            <w:tcW w:w="11320" w:type="dxa"/>
            <w:tcBorders>
              <w:top w:val="nil"/>
              <w:left w:val="nil"/>
              <w:bottom w:val="nil"/>
              <w:right w:val="nil"/>
            </w:tcBorders>
            <w:shd w:val="clear" w:color="auto" w:fill="auto"/>
            <w:vAlign w:val="center"/>
          </w:tcPr>
          <w:p>
            <w:pPr>
              <w:widowControl/>
              <w:jc w:val="left"/>
              <w:rPr>
                <w:rFonts w:ascii="仿宋_GB2312" w:eastAsia="仿宋_GB2312"/>
                <w:sz w:val="28"/>
                <w:szCs w:val="32"/>
              </w:rPr>
            </w:pPr>
          </w:p>
        </w:tc>
      </w:tr>
      <w:tr>
        <w:tblPrEx>
          <w:tblCellMar>
            <w:top w:w="0" w:type="dxa"/>
            <w:left w:w="108" w:type="dxa"/>
            <w:bottom w:w="0" w:type="dxa"/>
            <w:right w:w="108" w:type="dxa"/>
          </w:tblCellMar>
        </w:tblPrEx>
        <w:trPr>
          <w:trHeight w:val="327" w:hRule="atLeast"/>
        </w:trPr>
        <w:tc>
          <w:tcPr>
            <w:tcW w:w="11320" w:type="dxa"/>
            <w:tcBorders>
              <w:top w:val="nil"/>
              <w:left w:val="nil"/>
              <w:bottom w:val="nil"/>
              <w:right w:val="nil"/>
            </w:tcBorders>
            <w:shd w:val="clear" w:color="auto" w:fill="auto"/>
            <w:vAlign w:val="center"/>
          </w:tcPr>
          <w:p>
            <w:pPr>
              <w:spacing w:line="460" w:lineRule="exact"/>
              <w:ind w:firstLine="420" w:firstLineChars="150"/>
              <w:jc w:val="left"/>
              <w:rPr>
                <w:rFonts w:ascii="仿宋_GB2312" w:eastAsia="仿宋_GB2312"/>
                <w:sz w:val="28"/>
                <w:szCs w:val="32"/>
              </w:rPr>
            </w:pPr>
          </w:p>
        </w:tc>
      </w:tr>
    </w:tbl>
    <w:p>
      <w:pPr>
        <w:jc w:val="center"/>
        <w:rPr>
          <w:rFonts w:ascii="仿宋_GB2312" w:eastAsia="仿宋_GB2312"/>
          <w:b/>
          <w:sz w:val="28"/>
          <w:szCs w:val="32"/>
        </w:rPr>
      </w:pPr>
    </w:p>
    <w:p>
      <w:pPr>
        <w:jc w:val="center"/>
        <w:rPr>
          <w:rFonts w:ascii="仿宋_GB2312" w:eastAsia="仿宋_GB2312"/>
          <w:b/>
          <w:sz w:val="28"/>
          <w:szCs w:val="32"/>
        </w:rPr>
      </w:pPr>
    </w:p>
    <w:p>
      <w:pPr>
        <w:jc w:val="center"/>
        <w:rPr>
          <w:rFonts w:ascii="仿宋_GB2312" w:eastAsia="仿宋_GB2312"/>
          <w:b/>
          <w:sz w:val="28"/>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第一</w:t>
      </w:r>
      <w:r>
        <w:rPr>
          <w:rFonts w:ascii="华文中宋" w:hAnsi="华文中宋" w:eastAsia="华文中宋"/>
          <w:b/>
          <w:sz w:val="36"/>
          <w:szCs w:val="36"/>
        </w:rPr>
        <w:t>部分</w:t>
      </w:r>
      <w:r>
        <w:rPr>
          <w:rFonts w:hint="eastAsia" w:ascii="华文中宋" w:hAnsi="华文中宋" w:eastAsia="华文中宋"/>
          <w:b/>
          <w:sz w:val="36"/>
          <w:szCs w:val="36"/>
        </w:rPr>
        <w:t xml:space="preserve"> 2025年度门头沟区科技开发实验基地 </w:t>
      </w: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预算情况说明</w:t>
      </w:r>
    </w:p>
    <w:p>
      <w:pPr>
        <w:widowControl/>
        <w:spacing w:line="560" w:lineRule="exact"/>
        <w:ind w:firstLine="560" w:firstLineChars="200"/>
        <w:rPr>
          <w:rFonts w:ascii="宋体" w:hAnsi="宋体"/>
          <w:sz w:val="28"/>
          <w:szCs w:val="32"/>
        </w:rPr>
      </w:pPr>
    </w:p>
    <w:p>
      <w:pPr>
        <w:widowControl/>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一、部门情况</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（一）部门机构设置、职责</w:t>
      </w:r>
    </w:p>
    <w:p>
      <w:pPr>
        <w:spacing w:line="560" w:lineRule="exact"/>
        <w:ind w:firstLine="645"/>
        <w:rPr>
          <w:rFonts w:ascii="仿宋_GB2312" w:hAnsi="宋体" w:eastAsia="仿宋_GB2312" w:cs="宋体"/>
          <w:kern w:val="0"/>
          <w:sz w:val="32"/>
          <w:szCs w:val="32"/>
        </w:rPr>
      </w:pPr>
      <w:r>
        <w:rPr>
          <w:rFonts w:hint="eastAsia" w:ascii="仿宋_GB2312" w:hAnsi="宋体" w:eastAsia="仿宋_GB2312" w:cs="宋体"/>
          <w:kern w:val="0"/>
          <w:sz w:val="32"/>
          <w:szCs w:val="32"/>
        </w:rPr>
        <w:t>1．主要职能。</w:t>
      </w:r>
    </w:p>
    <w:p>
      <w:pPr>
        <w:spacing w:line="560" w:lineRule="exact"/>
        <w:ind w:firstLine="645"/>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面向全区经济社会发展的重大需求,主要开展科技引领、科技支撑和科技服务等发展规划，重点研究和解决门头沟现代化生态新区建设中的基础性、战略性、综合性、前瞻性的重大、重点、热点和难点的科技问题，为政府科技决策提供咨询和建议。</w:t>
      </w:r>
    </w:p>
    <w:p>
      <w:pPr>
        <w:widowControl/>
        <w:spacing w:line="560" w:lineRule="exact"/>
        <w:ind w:firstLine="320" w:firstLineChars="100"/>
        <w:rPr>
          <w:rFonts w:ascii="仿宋_GB2312" w:hAnsi="宋体" w:eastAsia="仿宋_GB2312" w:cs="宋体"/>
          <w:kern w:val="0"/>
          <w:sz w:val="32"/>
          <w:szCs w:val="32"/>
        </w:rPr>
      </w:pPr>
      <w:r>
        <w:rPr>
          <w:rFonts w:hint="eastAsia" w:ascii="仿宋_GB2312" w:hAnsi="宋体" w:eastAsia="仿宋_GB2312" w:cs="宋体"/>
          <w:kern w:val="0"/>
          <w:sz w:val="32"/>
          <w:szCs w:val="32"/>
        </w:rPr>
        <w:t>（二）人员构成情况</w:t>
      </w:r>
    </w:p>
    <w:p>
      <w:pPr>
        <w:spacing w:line="50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北京市门头沟区科技开发实验基地，事业编制18名，实际16人；其中：事业离休0人，行政退休0人，事业退休26人；其他人员2人，其中：社会化用工2人。</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（三）本预算年度的主要工作任务</w:t>
      </w:r>
    </w:p>
    <w:p>
      <w:p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1.园区保障</w:t>
      </w:r>
    </w:p>
    <w:p>
      <w:pPr>
        <w:pStyle w:val="2"/>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加强大台基地、灵山研究所应急安全、防火防汛、人员管理的监督检查力度，排除各项安全隐患。</w:t>
      </w:r>
    </w:p>
    <w:p>
      <w:pPr>
        <w:ind w:left="640"/>
        <w:jc w:val="left"/>
        <w:rPr>
          <w:rFonts w:ascii="仿宋_GB2312" w:hAnsi="宋体" w:eastAsia="仿宋_GB2312" w:cs="宋体"/>
          <w:kern w:val="0"/>
          <w:sz w:val="32"/>
          <w:szCs w:val="32"/>
        </w:rPr>
      </w:pPr>
      <w:r>
        <w:rPr>
          <w:rFonts w:hint="eastAsia" w:ascii="仿宋_GB2312" w:hAnsi="宋体" w:eastAsia="仿宋_GB2312" w:cs="宋体"/>
          <w:kern w:val="0"/>
          <w:sz w:val="32"/>
          <w:szCs w:val="32"/>
          <w:highlight w:val="lightGray"/>
        </w:rPr>
        <w:t>2．</w:t>
      </w:r>
      <w:r>
        <w:rPr>
          <w:rFonts w:hint="eastAsia" w:ascii="仿宋_GB2312" w:hAnsi="宋体" w:eastAsia="仿宋_GB2312" w:cs="宋体"/>
          <w:kern w:val="0"/>
          <w:sz w:val="32"/>
          <w:szCs w:val="32"/>
        </w:rPr>
        <w:t>《灵山生态园景观提升及新品种引种示范项目》</w:t>
      </w:r>
    </w:p>
    <w:p>
      <w:pPr>
        <w:pStyle w:val="2"/>
        <w:ind w:firstLine="601"/>
        <w:rPr>
          <w:rFonts w:ascii="仿宋_GB2312" w:hAnsi="宋体" w:eastAsia="仿宋_GB2312" w:cs="宋体"/>
          <w:kern w:val="0"/>
          <w:sz w:val="32"/>
          <w:szCs w:val="32"/>
        </w:rPr>
      </w:pPr>
      <w:r>
        <w:rPr>
          <w:rFonts w:hint="eastAsia" w:ascii="仿宋_GB2312" w:hAnsi="宋体" w:eastAsia="仿宋_GB2312" w:cs="宋体"/>
          <w:kern w:val="0"/>
          <w:sz w:val="32"/>
          <w:szCs w:val="32"/>
        </w:rPr>
        <w:t>保质保量完成项目考核指标。</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①</w:t>
      </w:r>
      <w:r>
        <w:rPr>
          <w:rFonts w:hint="eastAsia" w:ascii="仿宋_GB2312" w:hAnsi="宋体" w:eastAsia="仿宋_GB2312" w:cs="宋体"/>
          <w:kern w:val="0"/>
          <w:sz w:val="32"/>
          <w:szCs w:val="32"/>
        </w:rPr>
        <w:t>引进北京林业大学园林学院自主知识产权的玫瑰新品种，培育并申报2个花卉新品种。</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②</w:t>
      </w:r>
      <w:r>
        <w:rPr>
          <w:rFonts w:hint="eastAsia" w:ascii="仿宋_GB2312" w:hAnsi="宋体" w:eastAsia="仿宋_GB2312" w:cs="宋体"/>
          <w:kern w:val="0"/>
          <w:sz w:val="32"/>
          <w:szCs w:val="32"/>
        </w:rPr>
        <w:t>对赏食兼用菊花进行代谢产物及土壤代谢测定。</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③</w:t>
      </w:r>
      <w:r>
        <w:rPr>
          <w:rFonts w:hint="eastAsia" w:ascii="仿宋_GB2312" w:hAnsi="宋体" w:eastAsia="仿宋_GB2312" w:cs="宋体"/>
          <w:kern w:val="0"/>
          <w:sz w:val="32"/>
          <w:szCs w:val="32"/>
        </w:rPr>
        <w:t>通过引种试栽，形成适合门头沟区种植的菊花、月季、百合的配套栽培技术。</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④</w:t>
      </w:r>
      <w:r>
        <w:rPr>
          <w:rFonts w:hint="eastAsia" w:ascii="仿宋_GB2312" w:hAnsi="宋体" w:eastAsia="仿宋_GB2312" w:cs="宋体"/>
          <w:kern w:val="0"/>
          <w:sz w:val="32"/>
          <w:szCs w:val="32"/>
        </w:rPr>
        <w:t>引种果树及观赏树木500株，整活率80%以上。</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⑤</w:t>
      </w:r>
      <w:r>
        <w:rPr>
          <w:rFonts w:hint="eastAsia" w:ascii="仿宋_GB2312" w:hAnsi="宋体" w:eastAsia="仿宋_GB2312" w:cs="宋体"/>
          <w:kern w:val="0"/>
          <w:sz w:val="32"/>
          <w:szCs w:val="32"/>
        </w:rPr>
        <w:t>课题实施期间，组织周边村民、民宿开展2次技术培训。</w:t>
      </w:r>
    </w:p>
    <w:p>
      <w:pPr>
        <w:numPr>
          <w:ilvl w:val="0"/>
          <w:numId w:val="1"/>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门头沟区农业科技服务平台的建设</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①</w:t>
      </w:r>
      <w:r>
        <w:rPr>
          <w:rFonts w:hint="eastAsia" w:ascii="仿宋_GB2312" w:hAnsi="宋体" w:eastAsia="仿宋_GB2312" w:cs="宋体"/>
          <w:kern w:val="0"/>
          <w:sz w:val="32"/>
          <w:szCs w:val="32"/>
        </w:rPr>
        <w:t>由实验基地员工组成乡村振兴服务小组。适时收集需求信息，对接好专家小组和村镇。做到快速收集问题解决问题，避免农户产生不必要的经济损失。</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②</w:t>
      </w:r>
      <w:r>
        <w:rPr>
          <w:rFonts w:hint="eastAsia" w:ascii="仿宋_GB2312" w:hAnsi="宋体" w:eastAsia="仿宋_GB2312" w:cs="宋体"/>
          <w:kern w:val="0"/>
          <w:sz w:val="32"/>
          <w:szCs w:val="32"/>
        </w:rPr>
        <w:t>建立一个微信公众号，适时推送果树管理信息。</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③</w:t>
      </w:r>
      <w:r>
        <w:rPr>
          <w:rFonts w:hint="eastAsia" w:ascii="仿宋_GB2312" w:hAnsi="宋体" w:eastAsia="仿宋_GB2312" w:cs="宋体"/>
          <w:kern w:val="0"/>
          <w:sz w:val="32"/>
          <w:szCs w:val="32"/>
        </w:rPr>
        <w:t>《黄安村杏树嫁接项目》</w:t>
      </w:r>
    </w:p>
    <w:p>
      <w:pPr>
        <w:pStyle w:val="2"/>
        <w:ind w:firstLine="601"/>
        <w:rPr>
          <w:rFonts w:ascii="仿宋_GB2312" w:hAnsi="宋体" w:eastAsia="仿宋_GB2312" w:cs="宋体"/>
          <w:kern w:val="0"/>
          <w:sz w:val="32"/>
          <w:szCs w:val="32"/>
        </w:rPr>
      </w:pPr>
      <w:r>
        <w:rPr>
          <w:rFonts w:hint="eastAsia" w:ascii="仿宋_GB2312" w:hAnsi="宋体" w:eastAsia="仿宋_GB2312" w:cs="宋体"/>
          <w:kern w:val="0"/>
          <w:sz w:val="32"/>
          <w:szCs w:val="32"/>
        </w:rPr>
        <w:t>根据对方需求，对清水镇黄安村技术帮扶及技术培训。帮助黄安村对原有的10亩仁用杏改接为鲜杏，在提供技术服务及技术培训的基础上提供部分嫁接材料。</w:t>
      </w:r>
    </w:p>
    <w:p>
      <w:pPr>
        <w:numPr>
          <w:ilvl w:val="0"/>
          <w:numId w:val="1"/>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体北路十号院</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①</w:t>
      </w:r>
      <w:r>
        <w:rPr>
          <w:rFonts w:hint="eastAsia" w:ascii="仿宋_GB2312" w:hAnsi="宋体" w:eastAsia="仿宋_GB2312" w:cs="宋体"/>
          <w:kern w:val="0"/>
          <w:sz w:val="32"/>
          <w:szCs w:val="32"/>
        </w:rPr>
        <w:t>利用体北路十号院现有温室、土地及设施建立“中小学生科普种植园”.</w:t>
      </w:r>
    </w:p>
    <w:p>
      <w:pPr>
        <w:pStyle w:val="2"/>
        <w:ind w:firstLine="601"/>
        <w:rPr>
          <w:rFonts w:ascii="仿宋_GB2312" w:hAnsi="宋体" w:eastAsia="仿宋_GB2312" w:cs="宋体"/>
          <w:kern w:val="0"/>
          <w:sz w:val="32"/>
          <w:szCs w:val="32"/>
        </w:rPr>
      </w:pPr>
      <w:r>
        <w:rPr>
          <w:rFonts w:ascii="仿宋_GB2312" w:hAnsi="宋体" w:eastAsia="仿宋_GB2312" w:cs="宋体"/>
          <w:kern w:val="0"/>
          <w:sz w:val="32"/>
          <w:szCs w:val="32"/>
        </w:rPr>
        <w:t>②</w:t>
      </w:r>
      <w:r>
        <w:rPr>
          <w:rFonts w:hint="eastAsia" w:ascii="仿宋_GB2312" w:hAnsi="宋体" w:eastAsia="仿宋_GB2312" w:cs="宋体"/>
          <w:kern w:val="0"/>
          <w:sz w:val="32"/>
          <w:szCs w:val="32"/>
        </w:rPr>
        <w:t>利用体北路十号院培育的花卉，通过赠送花卉及宣传材料等形式开展园艺宣传活动</w:t>
      </w:r>
    </w:p>
    <w:p>
      <w:p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5、农业科技示范园灾后重建与新品种引种示范推广工作</w:t>
      </w:r>
    </w:p>
    <w:p>
      <w:pPr>
        <w:pStyle w:val="2"/>
        <w:ind w:firstLine="0"/>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继续对妙峰山镇、王平镇6个村进行苗木种植后的技术管理指导，保障苗木生长健康、保证苗木成活率。</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二、收入预算说明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2025年收入预算</w:t>
      </w:r>
      <w:r>
        <w:rPr>
          <w:rFonts w:ascii="仿宋_GB2312" w:hAnsi="宋体" w:eastAsia="仿宋_GB2312" w:cs="宋体"/>
          <w:kern w:val="0"/>
          <w:sz w:val="32"/>
          <w:szCs w:val="32"/>
        </w:rPr>
        <w:t>679.19</w:t>
      </w:r>
      <w:r>
        <w:rPr>
          <w:rFonts w:hint="eastAsia" w:ascii="仿宋_GB2312" w:hAnsi="宋体" w:eastAsia="仿宋_GB2312" w:cs="宋体"/>
          <w:kern w:val="0"/>
          <w:sz w:val="32"/>
          <w:szCs w:val="32"/>
        </w:rPr>
        <w:t>万元，比2024年660.87万元增长18.32万元，比上年增加了其他收入结转资金。其中：本年财政拨款收入</w:t>
      </w:r>
      <w:r>
        <w:rPr>
          <w:rFonts w:ascii="仿宋_GB2312" w:hAnsi="宋体" w:eastAsia="仿宋_GB2312" w:cs="宋体"/>
          <w:kern w:val="0"/>
          <w:sz w:val="32"/>
          <w:szCs w:val="32"/>
        </w:rPr>
        <w:t>637.44</w:t>
      </w:r>
      <w:r>
        <w:rPr>
          <w:rFonts w:hint="eastAsia" w:ascii="仿宋_GB2312" w:hAnsi="宋体" w:eastAsia="仿宋_GB2312" w:cs="宋体"/>
          <w:kern w:val="0"/>
          <w:sz w:val="32"/>
          <w:szCs w:val="32"/>
        </w:rPr>
        <w:t>万元,比2024年637.05万元增长0.39万元；本年其他资金收入0万元,比2024年23.82万元减少23.82万元。其他结转资金为2024年特大洪水灾害，农财险理赔金额，及以前年度市级资金。</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三、支出预算说明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（一）基本支出预算575.94万元，占总支出预算84.8%，比2024年573.83万元增加2.11万元，上升0.37%(事业单位人员变动较多)。</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（二）项目支出预算103.25万元，比2024年112.04万元减少8.79万元，下降7.84%，因减少项目数量。</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（三）事业单位经营支出0万元（变动较大的部门请说明原因）。</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（四）上缴上级支出0万元（变动较大的部门请说明原因）。</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（五）对附属单位补助支出0万元（变动较大的部门请说明原因）。</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四、部门</w:t>
      </w:r>
      <w:r>
        <w:rPr>
          <w:rFonts w:hint="eastAsia" w:ascii="仿宋_GB2312" w:eastAsia="仿宋_GB2312"/>
          <w:sz w:val="28"/>
          <w:szCs w:val="32"/>
          <w:lang w:eastAsia="zh-CN"/>
        </w:rPr>
        <w:t>“三公”</w:t>
      </w:r>
      <w:r>
        <w:rPr>
          <w:rFonts w:hint="eastAsia" w:ascii="仿宋_GB2312" w:hAnsi="宋体" w:eastAsia="仿宋_GB2312" w:cs="宋体"/>
          <w:kern w:val="0"/>
          <w:sz w:val="32"/>
          <w:szCs w:val="32"/>
        </w:rPr>
        <w:t>经费财政拨款预算说明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（一）</w:t>
      </w:r>
      <w:r>
        <w:rPr>
          <w:rFonts w:hint="eastAsia" w:ascii="仿宋_GB2312" w:eastAsia="仿宋_GB2312"/>
          <w:sz w:val="28"/>
          <w:szCs w:val="32"/>
          <w:lang w:eastAsia="zh-CN"/>
        </w:rPr>
        <w:t>“三公”</w:t>
      </w:r>
      <w:r>
        <w:rPr>
          <w:rFonts w:hint="eastAsia" w:ascii="仿宋_GB2312" w:hAnsi="宋体" w:eastAsia="仿宋_GB2312" w:cs="宋体"/>
          <w:kern w:val="0"/>
          <w:sz w:val="32"/>
          <w:szCs w:val="32"/>
        </w:rPr>
        <w:t>经费的单位范围</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北京市门头沟区科技开发实验基地因公出国（境）费用、公务接待费、公务用车购置和运行维护费开支单位包括1个所属单位。</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w:t>
      </w:r>
      <w:r>
        <w:rPr>
          <w:rFonts w:hint="eastAsia" w:ascii="仿宋_GB2312" w:eastAsia="仿宋_GB2312"/>
          <w:sz w:val="28"/>
          <w:szCs w:val="32"/>
          <w:lang w:eastAsia="zh-CN"/>
        </w:rPr>
        <w:t>“三公”</w:t>
      </w:r>
      <w:r>
        <w:rPr>
          <w:rFonts w:hint="eastAsia" w:ascii="仿宋_GB2312" w:hAnsi="宋体" w:eastAsia="仿宋_GB2312" w:cs="宋体"/>
          <w:kern w:val="0"/>
          <w:sz w:val="32"/>
          <w:szCs w:val="32"/>
        </w:rPr>
        <w:t>经费财政拨款情况说明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w:t>
      </w:r>
      <w:r>
        <w:rPr>
          <w:rFonts w:hint="eastAsia" w:ascii="仿宋_GB2312" w:eastAsia="仿宋_GB2312"/>
          <w:sz w:val="28"/>
          <w:szCs w:val="32"/>
          <w:lang w:eastAsia="zh-CN"/>
        </w:rPr>
        <w:t>“三公”</w:t>
      </w:r>
      <w:r>
        <w:rPr>
          <w:rFonts w:hint="eastAsia" w:ascii="仿宋_GB2312" w:hAnsi="宋体" w:eastAsia="仿宋_GB2312" w:cs="宋体"/>
          <w:kern w:val="0"/>
          <w:sz w:val="32"/>
          <w:szCs w:val="32"/>
        </w:rPr>
        <w:t>经费财政拨款预算1.85万元，与2024年</w:t>
      </w:r>
      <w:r>
        <w:rPr>
          <w:rFonts w:hint="eastAsia" w:ascii="仿宋_GB2312" w:eastAsia="仿宋_GB2312"/>
          <w:sz w:val="28"/>
          <w:szCs w:val="32"/>
          <w:lang w:eastAsia="zh-CN"/>
        </w:rPr>
        <w:t>“三公”</w:t>
      </w:r>
      <w:r>
        <w:rPr>
          <w:rFonts w:hint="eastAsia" w:ascii="仿宋_GB2312" w:hAnsi="宋体" w:eastAsia="仿宋_GB2312" w:cs="宋体"/>
          <w:kern w:val="0"/>
          <w:sz w:val="32"/>
          <w:szCs w:val="32"/>
        </w:rPr>
        <w:t>经费</w:t>
      </w:r>
      <w:bookmarkStart w:id="0" w:name="_GoBack"/>
      <w:bookmarkEnd w:id="0"/>
      <w:r>
        <w:rPr>
          <w:rFonts w:hint="eastAsia" w:ascii="仿宋_GB2312" w:hAnsi="宋体" w:eastAsia="仿宋_GB2312" w:cs="宋体"/>
          <w:kern w:val="0"/>
          <w:sz w:val="32"/>
          <w:szCs w:val="32"/>
        </w:rPr>
        <w:t>财政拨款预算一致。其中：</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1.因公出国（境）费用。2025年预算数0万元，比2024年预算数0万元减少0万元，主要原因：无。2025年因公出国（境）费用无。</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2.公务接待费。2025年预算数0.05万元，与2024年预算数一致。</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3.公务用车购置和运行维护费。2025年预算数1.8万元，其中，公务用车购置费2025年预算数0万元，与2024年预算数一致。</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五、其他情况说明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（一）部门政府采购预算说明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2025年本单位不涉及政府采购预算</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（二）政府购买服务预算说明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2025年本单位不涉及政府购买服务预算</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（三）机关运行经费情况说明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2025年本单位不涉及机关运行经费情况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机关运行经费：是指行政单位（含参照公务员法管理事业单位）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（四）项目支出绩效目标情况说明  </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北京市门头沟区科技开发实验基地填报绩效目标的预算项目4个，占全部预算项目的100%。填报绩效目标的项目支出预算103.25万元，占本部门全部项目支出预算的100%。（注：取数范围是只提取项目支出，不含基本支出）</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（五）财政拨款重点项目情况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1.门头沟区基地运行费30万元：用于安排实验基地，王平基地，大台基地的运行支出。</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（说明：1.部门选择的重点项目金额需超部门项目总金额的50%；2.涉及低收入帮扶、对口帮扶等事项的单位，相关项目必须列示）。</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（六）重点行政事业性收费情况说明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“本部门2025年无重点行政事业性收费”。</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（七）国有资产占用情况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截至2024年底，固定资产总额550.72万元，其中：房屋面积1970平方米，148.1万元；汽车1辆，13.05万元；单价50万元以上的设备0台（套），0万元。</w:t>
      </w:r>
    </w:p>
    <w:p>
      <w:pPr>
        <w:spacing w:line="560" w:lineRule="exact"/>
        <w:ind w:firstLine="630"/>
        <w:rPr>
          <w:rFonts w:ascii="楷体_GB2312" w:eastAsia="楷体_GB2312"/>
          <w:sz w:val="32"/>
          <w:szCs w:val="32"/>
        </w:rPr>
      </w:pPr>
      <w:r>
        <w:rPr>
          <w:rFonts w:hint="eastAsia" w:ascii="楷体_GB2312" w:hAnsi="宋体" w:eastAsia="楷体_GB2312" w:cs="宋体"/>
          <w:kern w:val="0"/>
          <w:sz w:val="32"/>
          <w:szCs w:val="32"/>
        </w:rPr>
        <w:t>（八）</w:t>
      </w:r>
      <w:r>
        <w:rPr>
          <w:rFonts w:hint="eastAsia" w:ascii="楷体_GB2312" w:eastAsia="楷体_GB2312"/>
          <w:sz w:val="32"/>
          <w:szCs w:val="32"/>
        </w:rPr>
        <w:t>专业名词解释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1.基本支出：指为保障机构正常运转、完成日常工作任务而发生的人员支出和公用支出。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2.项目支出：指在基本支出之外为完成特定行政任务或事业发展目标所发生的支出。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Pr>
          <w:rFonts w:ascii="仿宋_GB2312" w:eastAsia="仿宋_GB2312"/>
          <w:sz w:val="32"/>
          <w:szCs w:val="32"/>
        </w:rPr>
        <w:t xml:space="preserve">  </w:t>
      </w:r>
    </w:p>
    <w:p>
      <w:pPr>
        <w:spacing w:line="560" w:lineRule="exact"/>
        <w:ind w:firstLine="614" w:firstLineChars="192"/>
        <w:rPr>
          <w:rFonts w:ascii="仿宋_GB2312" w:eastAsia="仿宋_GB2312"/>
          <w:sz w:val="28"/>
          <w:szCs w:val="32"/>
        </w:rPr>
      </w:pPr>
      <w:r>
        <w:rPr>
          <w:rFonts w:ascii="仿宋_GB2312" w:eastAsia="仿宋_GB2312"/>
          <w:sz w:val="32"/>
          <w:szCs w:val="32"/>
        </w:rPr>
        <w:t>5.</w:t>
      </w:r>
      <w:r>
        <w:rPr>
          <w:rFonts w:hint="eastAsia" w:ascii="仿宋_GB2312" w:eastAsia="仿宋_GB2312"/>
          <w:sz w:val="28"/>
          <w:szCs w:val="32"/>
        </w:rPr>
        <w:t xml:space="preserve"> 科技专项经费支出：指用于科学技术管理事务方面的支出、科学技术普及方面支出、应用技术研究与开发支出以及其他科技方面的支出。</w:t>
      </w:r>
    </w:p>
    <w:p>
      <w:pPr>
        <w:spacing w:line="500" w:lineRule="exact"/>
        <w:ind w:firstLine="480" w:firstLineChars="150"/>
        <w:rPr>
          <w:rFonts w:ascii="仿宋_GB2312" w:hAnsi="宋体" w:eastAsia="仿宋_GB2312" w:cs="宋体"/>
          <w:color w:val="FF0000"/>
          <w:sz w:val="32"/>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　第二部分  2025年度门头沟区科技开发实验基地部门预算报表</w:t>
      </w:r>
    </w:p>
    <w:p>
      <w:pPr>
        <w:spacing w:line="500" w:lineRule="exact"/>
        <w:jc w:val="center"/>
        <w:rPr>
          <w:rFonts w:ascii="仿宋_GB2312" w:eastAsia="仿宋_GB2312"/>
          <w:sz w:val="28"/>
          <w:szCs w:val="32"/>
        </w:rPr>
      </w:pPr>
    </w:p>
    <w:p>
      <w:pPr>
        <w:spacing w:line="500" w:lineRule="exact"/>
        <w:ind w:firstLine="560" w:firstLineChars="200"/>
        <w:rPr>
          <w:rFonts w:ascii="仿宋_GB2312" w:eastAsia="仿宋_GB2312"/>
          <w:sz w:val="28"/>
          <w:szCs w:val="32"/>
        </w:rPr>
      </w:pPr>
      <w:r>
        <w:rPr>
          <w:rFonts w:hint="eastAsia" w:ascii="仿宋_GB2312" w:eastAsia="仿宋_GB2312"/>
          <w:sz w:val="28"/>
          <w:szCs w:val="32"/>
        </w:rPr>
        <w:t>附件：20</w:t>
      </w:r>
      <w:r>
        <w:rPr>
          <w:rFonts w:ascii="仿宋_GB2312" w:eastAsia="仿宋_GB2312"/>
          <w:sz w:val="28"/>
          <w:szCs w:val="32"/>
        </w:rPr>
        <w:t>2</w:t>
      </w:r>
      <w:r>
        <w:rPr>
          <w:rFonts w:hint="eastAsia" w:ascii="仿宋_GB2312" w:eastAsia="仿宋_GB2312"/>
          <w:sz w:val="28"/>
          <w:szCs w:val="32"/>
        </w:rPr>
        <w:t>5年度门头沟区科技开发实验基地</w:t>
      </w:r>
      <w:r>
        <w:rPr>
          <w:rFonts w:ascii="仿宋_GB2312" w:eastAsia="仿宋_GB2312"/>
          <w:sz w:val="28"/>
          <w:szCs w:val="32"/>
        </w:rPr>
        <w:t>部门</w:t>
      </w:r>
      <w:r>
        <w:rPr>
          <w:rFonts w:hint="eastAsia" w:ascii="仿宋_GB2312" w:eastAsia="仿宋_GB2312"/>
          <w:sz w:val="28"/>
          <w:szCs w:val="32"/>
        </w:rPr>
        <w:t>预算报表</w:t>
      </w:r>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6</w:t>
    </w:r>
    <w:r>
      <w:rPr>
        <w:rStyle w:val="9"/>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245328"/>
    <w:multiLevelType w:val="singleLevel"/>
    <w:tmpl w:val="67245328"/>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2599D"/>
    <w:rsid w:val="00010198"/>
    <w:rsid w:val="0001209E"/>
    <w:rsid w:val="00014A90"/>
    <w:rsid w:val="00022010"/>
    <w:rsid w:val="000226F4"/>
    <w:rsid w:val="00022B0B"/>
    <w:rsid w:val="00023DA1"/>
    <w:rsid w:val="0002435B"/>
    <w:rsid w:val="0004452B"/>
    <w:rsid w:val="00050E6E"/>
    <w:rsid w:val="000549D5"/>
    <w:rsid w:val="0005765D"/>
    <w:rsid w:val="00063B0E"/>
    <w:rsid w:val="00063B26"/>
    <w:rsid w:val="00074CA7"/>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51E1"/>
    <w:rsid w:val="000D69F4"/>
    <w:rsid w:val="000E5992"/>
    <w:rsid w:val="000E6C41"/>
    <w:rsid w:val="000F1217"/>
    <w:rsid w:val="000F751D"/>
    <w:rsid w:val="00101279"/>
    <w:rsid w:val="001043D5"/>
    <w:rsid w:val="0010592C"/>
    <w:rsid w:val="00111571"/>
    <w:rsid w:val="00114903"/>
    <w:rsid w:val="00120AD8"/>
    <w:rsid w:val="001345A9"/>
    <w:rsid w:val="00134E89"/>
    <w:rsid w:val="0013659C"/>
    <w:rsid w:val="0014042F"/>
    <w:rsid w:val="00153961"/>
    <w:rsid w:val="00165F6C"/>
    <w:rsid w:val="001700CA"/>
    <w:rsid w:val="00171A1E"/>
    <w:rsid w:val="00186665"/>
    <w:rsid w:val="001869BC"/>
    <w:rsid w:val="00187942"/>
    <w:rsid w:val="001A5084"/>
    <w:rsid w:val="001B0494"/>
    <w:rsid w:val="001B5D60"/>
    <w:rsid w:val="001B6BCA"/>
    <w:rsid w:val="001C0BC5"/>
    <w:rsid w:val="001C2B8F"/>
    <w:rsid w:val="001D270B"/>
    <w:rsid w:val="001D5AA8"/>
    <w:rsid w:val="001E2D07"/>
    <w:rsid w:val="001F6B07"/>
    <w:rsid w:val="00202B82"/>
    <w:rsid w:val="00214C72"/>
    <w:rsid w:val="0021570C"/>
    <w:rsid w:val="00216449"/>
    <w:rsid w:val="002200CB"/>
    <w:rsid w:val="002218C0"/>
    <w:rsid w:val="002309DA"/>
    <w:rsid w:val="002329AE"/>
    <w:rsid w:val="00240BEB"/>
    <w:rsid w:val="00242984"/>
    <w:rsid w:val="00244F6A"/>
    <w:rsid w:val="0025290E"/>
    <w:rsid w:val="00270E0F"/>
    <w:rsid w:val="0027525E"/>
    <w:rsid w:val="0029215D"/>
    <w:rsid w:val="00295487"/>
    <w:rsid w:val="002B5951"/>
    <w:rsid w:val="002F35F4"/>
    <w:rsid w:val="002F7DF4"/>
    <w:rsid w:val="003067DB"/>
    <w:rsid w:val="00311990"/>
    <w:rsid w:val="0032277C"/>
    <w:rsid w:val="00326CA9"/>
    <w:rsid w:val="0033728C"/>
    <w:rsid w:val="00342824"/>
    <w:rsid w:val="00354CDE"/>
    <w:rsid w:val="00360946"/>
    <w:rsid w:val="00372D10"/>
    <w:rsid w:val="00373E99"/>
    <w:rsid w:val="00381798"/>
    <w:rsid w:val="003859C0"/>
    <w:rsid w:val="00386DDD"/>
    <w:rsid w:val="003907DD"/>
    <w:rsid w:val="00395536"/>
    <w:rsid w:val="0039641A"/>
    <w:rsid w:val="0039788E"/>
    <w:rsid w:val="003A51BE"/>
    <w:rsid w:val="003B2107"/>
    <w:rsid w:val="003D16CD"/>
    <w:rsid w:val="003D43CC"/>
    <w:rsid w:val="003E4135"/>
    <w:rsid w:val="003E6219"/>
    <w:rsid w:val="003F1E43"/>
    <w:rsid w:val="004018BE"/>
    <w:rsid w:val="00402B00"/>
    <w:rsid w:val="004035F0"/>
    <w:rsid w:val="00404103"/>
    <w:rsid w:val="00412A3B"/>
    <w:rsid w:val="004213E7"/>
    <w:rsid w:val="00421AE2"/>
    <w:rsid w:val="00423CC4"/>
    <w:rsid w:val="00424E85"/>
    <w:rsid w:val="0042599D"/>
    <w:rsid w:val="0044276B"/>
    <w:rsid w:val="0044548D"/>
    <w:rsid w:val="00451B2C"/>
    <w:rsid w:val="00455189"/>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960C5"/>
    <w:rsid w:val="004A40F0"/>
    <w:rsid w:val="004A68D5"/>
    <w:rsid w:val="004B0DE2"/>
    <w:rsid w:val="004F20AF"/>
    <w:rsid w:val="005001E3"/>
    <w:rsid w:val="00502EF4"/>
    <w:rsid w:val="00503188"/>
    <w:rsid w:val="00504BE7"/>
    <w:rsid w:val="00515D11"/>
    <w:rsid w:val="00520724"/>
    <w:rsid w:val="00530700"/>
    <w:rsid w:val="00533C9C"/>
    <w:rsid w:val="00540278"/>
    <w:rsid w:val="0055485D"/>
    <w:rsid w:val="00555610"/>
    <w:rsid w:val="00555AC1"/>
    <w:rsid w:val="00560C3D"/>
    <w:rsid w:val="0056308D"/>
    <w:rsid w:val="00565422"/>
    <w:rsid w:val="00566322"/>
    <w:rsid w:val="00572AC5"/>
    <w:rsid w:val="00581627"/>
    <w:rsid w:val="00583717"/>
    <w:rsid w:val="0058441F"/>
    <w:rsid w:val="0058535D"/>
    <w:rsid w:val="005A2B0F"/>
    <w:rsid w:val="005A2FA7"/>
    <w:rsid w:val="005B5DE6"/>
    <w:rsid w:val="005B7249"/>
    <w:rsid w:val="005C6A54"/>
    <w:rsid w:val="005D0333"/>
    <w:rsid w:val="005E25A7"/>
    <w:rsid w:val="005E337A"/>
    <w:rsid w:val="005E3DE9"/>
    <w:rsid w:val="005E6F67"/>
    <w:rsid w:val="005E77EA"/>
    <w:rsid w:val="005F0DE6"/>
    <w:rsid w:val="00611FAB"/>
    <w:rsid w:val="006122FF"/>
    <w:rsid w:val="006146EE"/>
    <w:rsid w:val="006239CE"/>
    <w:rsid w:val="00623A0C"/>
    <w:rsid w:val="00627867"/>
    <w:rsid w:val="00627D96"/>
    <w:rsid w:val="00631399"/>
    <w:rsid w:val="00634372"/>
    <w:rsid w:val="00642B77"/>
    <w:rsid w:val="006468D7"/>
    <w:rsid w:val="00652CDE"/>
    <w:rsid w:val="0065420B"/>
    <w:rsid w:val="00654F14"/>
    <w:rsid w:val="00674EB5"/>
    <w:rsid w:val="006823D7"/>
    <w:rsid w:val="0069083E"/>
    <w:rsid w:val="00691985"/>
    <w:rsid w:val="0069584A"/>
    <w:rsid w:val="0069590C"/>
    <w:rsid w:val="006A02FF"/>
    <w:rsid w:val="006A7BEA"/>
    <w:rsid w:val="006B4F78"/>
    <w:rsid w:val="006C1D0A"/>
    <w:rsid w:val="006C3899"/>
    <w:rsid w:val="006C6C70"/>
    <w:rsid w:val="006D109D"/>
    <w:rsid w:val="006D1FCB"/>
    <w:rsid w:val="006D3E08"/>
    <w:rsid w:val="006E359E"/>
    <w:rsid w:val="006E48F6"/>
    <w:rsid w:val="006E5E06"/>
    <w:rsid w:val="006F6F13"/>
    <w:rsid w:val="006F6FCC"/>
    <w:rsid w:val="007024EB"/>
    <w:rsid w:val="00704603"/>
    <w:rsid w:val="0070717A"/>
    <w:rsid w:val="007112F4"/>
    <w:rsid w:val="0071132C"/>
    <w:rsid w:val="007212BE"/>
    <w:rsid w:val="00722993"/>
    <w:rsid w:val="007233E2"/>
    <w:rsid w:val="00731988"/>
    <w:rsid w:val="0073670C"/>
    <w:rsid w:val="00744C06"/>
    <w:rsid w:val="00745DD9"/>
    <w:rsid w:val="007466CC"/>
    <w:rsid w:val="00747CDB"/>
    <w:rsid w:val="007554DC"/>
    <w:rsid w:val="007570F1"/>
    <w:rsid w:val="007573C3"/>
    <w:rsid w:val="00777AEF"/>
    <w:rsid w:val="00783B23"/>
    <w:rsid w:val="00784B57"/>
    <w:rsid w:val="007964CB"/>
    <w:rsid w:val="00796FD2"/>
    <w:rsid w:val="00797C9F"/>
    <w:rsid w:val="007A0BE9"/>
    <w:rsid w:val="007A21BC"/>
    <w:rsid w:val="007A39B1"/>
    <w:rsid w:val="007B306B"/>
    <w:rsid w:val="007B4DD1"/>
    <w:rsid w:val="007C3E71"/>
    <w:rsid w:val="007C7017"/>
    <w:rsid w:val="007D3A8A"/>
    <w:rsid w:val="007E58FE"/>
    <w:rsid w:val="007F331F"/>
    <w:rsid w:val="00810E5C"/>
    <w:rsid w:val="008113FF"/>
    <w:rsid w:val="00813BBC"/>
    <w:rsid w:val="008227B1"/>
    <w:rsid w:val="00830DB2"/>
    <w:rsid w:val="0083397F"/>
    <w:rsid w:val="00835CA7"/>
    <w:rsid w:val="00836D84"/>
    <w:rsid w:val="00851DCD"/>
    <w:rsid w:val="00860888"/>
    <w:rsid w:val="0086147E"/>
    <w:rsid w:val="008720A5"/>
    <w:rsid w:val="008721A8"/>
    <w:rsid w:val="0089181D"/>
    <w:rsid w:val="00894B51"/>
    <w:rsid w:val="008A6867"/>
    <w:rsid w:val="008A73B2"/>
    <w:rsid w:val="008A7D0C"/>
    <w:rsid w:val="008B1C9E"/>
    <w:rsid w:val="008B270D"/>
    <w:rsid w:val="008B5539"/>
    <w:rsid w:val="008C009D"/>
    <w:rsid w:val="008C63B9"/>
    <w:rsid w:val="008C7FBD"/>
    <w:rsid w:val="008C7FE4"/>
    <w:rsid w:val="008D62F3"/>
    <w:rsid w:val="008E1E72"/>
    <w:rsid w:val="008E3376"/>
    <w:rsid w:val="008E3AF6"/>
    <w:rsid w:val="009003A3"/>
    <w:rsid w:val="00900CC2"/>
    <w:rsid w:val="00901201"/>
    <w:rsid w:val="0090553E"/>
    <w:rsid w:val="00905B40"/>
    <w:rsid w:val="00906BF2"/>
    <w:rsid w:val="00906D51"/>
    <w:rsid w:val="009075FC"/>
    <w:rsid w:val="00925D3F"/>
    <w:rsid w:val="009274AE"/>
    <w:rsid w:val="009342C3"/>
    <w:rsid w:val="00934F5B"/>
    <w:rsid w:val="00941B91"/>
    <w:rsid w:val="009500F7"/>
    <w:rsid w:val="0095111B"/>
    <w:rsid w:val="00953377"/>
    <w:rsid w:val="00954E2B"/>
    <w:rsid w:val="009603F8"/>
    <w:rsid w:val="009612FE"/>
    <w:rsid w:val="009642B1"/>
    <w:rsid w:val="00966C21"/>
    <w:rsid w:val="009677FD"/>
    <w:rsid w:val="0097107B"/>
    <w:rsid w:val="00972FB2"/>
    <w:rsid w:val="009766C2"/>
    <w:rsid w:val="009866D4"/>
    <w:rsid w:val="00987C2D"/>
    <w:rsid w:val="009941D6"/>
    <w:rsid w:val="00996383"/>
    <w:rsid w:val="009A10C9"/>
    <w:rsid w:val="009A29D0"/>
    <w:rsid w:val="009B2717"/>
    <w:rsid w:val="009C2AE1"/>
    <w:rsid w:val="009C5C7F"/>
    <w:rsid w:val="009D2D56"/>
    <w:rsid w:val="009D5FD5"/>
    <w:rsid w:val="009E406F"/>
    <w:rsid w:val="009E7EA0"/>
    <w:rsid w:val="00A22380"/>
    <w:rsid w:val="00A25FFD"/>
    <w:rsid w:val="00A30613"/>
    <w:rsid w:val="00A33B78"/>
    <w:rsid w:val="00A63B62"/>
    <w:rsid w:val="00A640D2"/>
    <w:rsid w:val="00A67872"/>
    <w:rsid w:val="00A71D9E"/>
    <w:rsid w:val="00A7725D"/>
    <w:rsid w:val="00A81EF5"/>
    <w:rsid w:val="00A82B7D"/>
    <w:rsid w:val="00A92CD7"/>
    <w:rsid w:val="00AA3EC4"/>
    <w:rsid w:val="00AB54A9"/>
    <w:rsid w:val="00AB54E9"/>
    <w:rsid w:val="00AB5EBD"/>
    <w:rsid w:val="00AB6CE9"/>
    <w:rsid w:val="00AC7ADF"/>
    <w:rsid w:val="00AD03A5"/>
    <w:rsid w:val="00AD5A1B"/>
    <w:rsid w:val="00AF0F66"/>
    <w:rsid w:val="00AF60C1"/>
    <w:rsid w:val="00B062D8"/>
    <w:rsid w:val="00B1496A"/>
    <w:rsid w:val="00B33752"/>
    <w:rsid w:val="00B532BB"/>
    <w:rsid w:val="00B5643A"/>
    <w:rsid w:val="00B570D6"/>
    <w:rsid w:val="00B62B47"/>
    <w:rsid w:val="00B6396A"/>
    <w:rsid w:val="00B66A6D"/>
    <w:rsid w:val="00B67800"/>
    <w:rsid w:val="00B71F10"/>
    <w:rsid w:val="00B73C25"/>
    <w:rsid w:val="00B75E8A"/>
    <w:rsid w:val="00B77AC4"/>
    <w:rsid w:val="00B81E19"/>
    <w:rsid w:val="00B85EC9"/>
    <w:rsid w:val="00B90ADA"/>
    <w:rsid w:val="00B91E2D"/>
    <w:rsid w:val="00B94564"/>
    <w:rsid w:val="00B94F84"/>
    <w:rsid w:val="00BA0695"/>
    <w:rsid w:val="00BA4B11"/>
    <w:rsid w:val="00BA7057"/>
    <w:rsid w:val="00BA754C"/>
    <w:rsid w:val="00BB247D"/>
    <w:rsid w:val="00BD0512"/>
    <w:rsid w:val="00BD5CE1"/>
    <w:rsid w:val="00BE3304"/>
    <w:rsid w:val="00BE35E2"/>
    <w:rsid w:val="00BE37E7"/>
    <w:rsid w:val="00C03453"/>
    <w:rsid w:val="00C13E3E"/>
    <w:rsid w:val="00C23EF6"/>
    <w:rsid w:val="00C3172E"/>
    <w:rsid w:val="00C31C79"/>
    <w:rsid w:val="00C42F84"/>
    <w:rsid w:val="00C57FF3"/>
    <w:rsid w:val="00C61571"/>
    <w:rsid w:val="00C7209F"/>
    <w:rsid w:val="00C75BF6"/>
    <w:rsid w:val="00C7639C"/>
    <w:rsid w:val="00C84415"/>
    <w:rsid w:val="00C84DFC"/>
    <w:rsid w:val="00C86B84"/>
    <w:rsid w:val="00C90DF3"/>
    <w:rsid w:val="00C95B57"/>
    <w:rsid w:val="00C974BA"/>
    <w:rsid w:val="00CA2719"/>
    <w:rsid w:val="00CB4D9F"/>
    <w:rsid w:val="00CB50B1"/>
    <w:rsid w:val="00CC288B"/>
    <w:rsid w:val="00CC72EC"/>
    <w:rsid w:val="00CC7584"/>
    <w:rsid w:val="00CD71AA"/>
    <w:rsid w:val="00CE5FCF"/>
    <w:rsid w:val="00CF1618"/>
    <w:rsid w:val="00CF290D"/>
    <w:rsid w:val="00CF41E1"/>
    <w:rsid w:val="00CF60A3"/>
    <w:rsid w:val="00D01711"/>
    <w:rsid w:val="00D17B3B"/>
    <w:rsid w:val="00D2257F"/>
    <w:rsid w:val="00D25D07"/>
    <w:rsid w:val="00D26D27"/>
    <w:rsid w:val="00D31BB2"/>
    <w:rsid w:val="00D34DAC"/>
    <w:rsid w:val="00D36563"/>
    <w:rsid w:val="00D378D8"/>
    <w:rsid w:val="00D45FCD"/>
    <w:rsid w:val="00D469A5"/>
    <w:rsid w:val="00D53652"/>
    <w:rsid w:val="00D53A29"/>
    <w:rsid w:val="00D630AC"/>
    <w:rsid w:val="00D67552"/>
    <w:rsid w:val="00D70F66"/>
    <w:rsid w:val="00D76C49"/>
    <w:rsid w:val="00D81461"/>
    <w:rsid w:val="00D81899"/>
    <w:rsid w:val="00D83217"/>
    <w:rsid w:val="00D8702A"/>
    <w:rsid w:val="00D911EE"/>
    <w:rsid w:val="00D97BF4"/>
    <w:rsid w:val="00DC318E"/>
    <w:rsid w:val="00DC41B3"/>
    <w:rsid w:val="00DD1A27"/>
    <w:rsid w:val="00DD7E3D"/>
    <w:rsid w:val="00DE3D2D"/>
    <w:rsid w:val="00DE4342"/>
    <w:rsid w:val="00DF0BF6"/>
    <w:rsid w:val="00DF6E9C"/>
    <w:rsid w:val="00E21C5F"/>
    <w:rsid w:val="00E23CE8"/>
    <w:rsid w:val="00E34AA1"/>
    <w:rsid w:val="00E40E4B"/>
    <w:rsid w:val="00E4129D"/>
    <w:rsid w:val="00E507D9"/>
    <w:rsid w:val="00E51D2A"/>
    <w:rsid w:val="00E606DB"/>
    <w:rsid w:val="00E64422"/>
    <w:rsid w:val="00E728DC"/>
    <w:rsid w:val="00E8183A"/>
    <w:rsid w:val="00E84745"/>
    <w:rsid w:val="00E84E26"/>
    <w:rsid w:val="00E91115"/>
    <w:rsid w:val="00EE2E9A"/>
    <w:rsid w:val="00F00355"/>
    <w:rsid w:val="00F029AF"/>
    <w:rsid w:val="00F03665"/>
    <w:rsid w:val="00F064DF"/>
    <w:rsid w:val="00F12FB6"/>
    <w:rsid w:val="00F248CB"/>
    <w:rsid w:val="00F31028"/>
    <w:rsid w:val="00F4027B"/>
    <w:rsid w:val="00F41058"/>
    <w:rsid w:val="00F44327"/>
    <w:rsid w:val="00F4792A"/>
    <w:rsid w:val="00F568FE"/>
    <w:rsid w:val="00F5747E"/>
    <w:rsid w:val="00F57E5E"/>
    <w:rsid w:val="00F6585A"/>
    <w:rsid w:val="00F871CF"/>
    <w:rsid w:val="00F908D1"/>
    <w:rsid w:val="00FB060D"/>
    <w:rsid w:val="00FB3DBF"/>
    <w:rsid w:val="00FB416D"/>
    <w:rsid w:val="00FB50B7"/>
    <w:rsid w:val="00FC4780"/>
    <w:rsid w:val="00FC5B38"/>
    <w:rsid w:val="00FD067E"/>
    <w:rsid w:val="00FD22DB"/>
    <w:rsid w:val="00FD7EDD"/>
    <w:rsid w:val="00FE3A71"/>
    <w:rsid w:val="00FE43E3"/>
    <w:rsid w:val="3EBFD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Theme="minorHAnsi" w:hAnsiTheme="minorHAnsi" w:cstheme="minorBidi"/>
      <w:szCs w:val="20"/>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ascii="Calibri" w:hAnsi="Calibri"/>
      <w:kern w:val="0"/>
      <w:sz w:val="24"/>
    </w:rPr>
  </w:style>
  <w:style w:type="character" w:styleId="9">
    <w:name w:val="page number"/>
    <w:basedOn w:val="8"/>
    <w:qFormat/>
    <w:uiPriority w:val="0"/>
  </w:style>
  <w:style w:type="character" w:styleId="10">
    <w:name w:val="Hyperlink"/>
    <w:qFormat/>
    <w:uiPriority w:val="0"/>
    <w:rPr>
      <w:color w:val="000000"/>
      <w:u w:val="none"/>
    </w:rPr>
  </w:style>
  <w:style w:type="character" w:customStyle="1" w:styleId="11">
    <w:name w:val="页眉 Char"/>
    <w:link w:val="5"/>
    <w:qFormat/>
    <w:uiPriority w:val="0"/>
    <w:rPr>
      <w:kern w:val="2"/>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HaoXiTong.Com</Company>
  <Pages>7</Pages>
  <Words>463</Words>
  <Characters>2642</Characters>
  <Lines>22</Lines>
  <Paragraphs>6</Paragraphs>
  <TotalTime>0</TotalTime>
  <ScaleCrop>false</ScaleCrop>
  <LinksUpToDate>false</LinksUpToDate>
  <CharactersWithSpaces>3099</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2023-02-16T15:12:00Z</dcterms:created>
  <dc:creator>高山</dc:creator>
  <cp:lastModifiedBy>sugon</cp:lastModifiedBy>
  <cp:lastPrinted>2015-03-16T09:56:00Z</cp:lastPrinted>
  <dcterms:modified xsi:type="dcterms:W3CDTF">2025-03-06T09:53:26Z</dcterms:modified>
  <dc:title>门头沟区民防局2012年预算情况说明</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