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szCs w:val="21"/>
        </w:rPr>
      </w:pPr>
      <w:r>
        <w:rPr>
          <w:rFonts w:hint="eastAsia" w:asciiTheme="majorEastAsia" w:hAnsiTheme="majorEastAsia" w:eastAsiaTheme="majorEastAsia"/>
          <w:szCs w:val="21"/>
        </w:rPr>
        <w:t>附件</w:t>
      </w:r>
      <w:r>
        <w:rPr>
          <w:rFonts w:asciiTheme="majorEastAsia" w:hAnsiTheme="majorEastAsia" w:eastAsiaTheme="majorEastAsia"/>
          <w:szCs w:val="21"/>
        </w:rPr>
        <w:t>4</w:t>
      </w:r>
      <w:r>
        <w:rPr>
          <w:rFonts w:hint="eastAsia" w:asciiTheme="majorEastAsia" w:hAnsiTheme="majorEastAsia" w:eastAsiaTheme="majorEastAsia"/>
          <w:szCs w:val="21"/>
        </w:rPr>
        <w:t>：</w:t>
      </w:r>
    </w:p>
    <w:p>
      <w:pPr>
        <w:rPr>
          <w:rFonts w:asciiTheme="majorEastAsia" w:hAnsiTheme="majorEastAsia" w:eastAsiaTheme="majorEastAsia"/>
          <w:szCs w:val="21"/>
        </w:rPr>
      </w:pPr>
    </w:p>
    <w:p>
      <w:pPr>
        <w:jc w:val="center"/>
        <w:rPr>
          <w:rFonts w:hint="eastAsia" w:asciiTheme="majorEastAsia" w:hAnsiTheme="majorEastAsia" w:eastAsiaTheme="majorEastAsia"/>
          <w:b/>
          <w:sz w:val="36"/>
          <w:szCs w:val="36"/>
        </w:rPr>
      </w:pPr>
      <w:r>
        <w:rPr>
          <w:rFonts w:asciiTheme="majorEastAsia" w:hAnsiTheme="majorEastAsia" w:eastAsiaTheme="majorEastAsia"/>
          <w:b/>
          <w:sz w:val="36"/>
          <w:szCs w:val="36"/>
        </w:rPr>
        <w:t>202</w:t>
      </w:r>
      <w:r>
        <w:rPr>
          <w:rFonts w:hint="eastAsia" w:asciiTheme="majorEastAsia" w:hAnsiTheme="majorEastAsia" w:eastAsiaTheme="majorEastAsia"/>
          <w:b/>
          <w:sz w:val="36"/>
          <w:szCs w:val="36"/>
          <w:lang w:val="en-US" w:eastAsia="zh-CN"/>
        </w:rPr>
        <w:t>3</w:t>
      </w:r>
      <w:r>
        <w:rPr>
          <w:rFonts w:hint="eastAsia" w:asciiTheme="majorEastAsia" w:hAnsiTheme="majorEastAsia" w:eastAsiaTheme="majorEastAsia"/>
          <w:b/>
          <w:sz w:val="36"/>
          <w:szCs w:val="36"/>
        </w:rPr>
        <w:t>年中关村科技园区门头沟园管理委员会</w:t>
      </w:r>
    </w:p>
    <w:p>
      <w:pPr>
        <w:jc w:val="center"/>
        <w:rPr>
          <w:rFonts w:asciiTheme="majorEastAsia" w:hAnsiTheme="majorEastAsia" w:eastAsiaTheme="majorEastAsia"/>
          <w:b/>
          <w:sz w:val="36"/>
          <w:szCs w:val="36"/>
        </w:rPr>
      </w:pPr>
      <w:r>
        <w:rPr>
          <w:rFonts w:asciiTheme="majorEastAsia" w:hAnsiTheme="majorEastAsia" w:eastAsiaTheme="majorEastAsia"/>
          <w:b/>
          <w:sz w:val="36"/>
          <w:szCs w:val="36"/>
        </w:rPr>
        <w:t>绩效</w:t>
      </w:r>
      <w:r>
        <w:rPr>
          <w:rFonts w:hint="eastAsia" w:asciiTheme="majorEastAsia" w:hAnsiTheme="majorEastAsia" w:eastAsiaTheme="majorEastAsia"/>
          <w:b/>
          <w:sz w:val="36"/>
          <w:szCs w:val="36"/>
        </w:rPr>
        <w:t>自评工作开展情况说明</w:t>
      </w:r>
    </w:p>
    <w:p>
      <w:pPr>
        <w:ind w:firstLine="640"/>
        <w:rPr>
          <w:rFonts w:ascii="黑体" w:hAnsi="黑体" w:eastAsia="黑体"/>
          <w:sz w:val="32"/>
          <w:szCs w:val="32"/>
        </w:rPr>
      </w:pPr>
    </w:p>
    <w:p>
      <w:pPr>
        <w:ind w:firstLine="640" w:firstLineChars="200"/>
        <w:rPr>
          <w:rFonts w:ascii="黑体" w:hAnsi="黑体" w:eastAsia="黑体"/>
          <w:sz w:val="32"/>
          <w:szCs w:val="32"/>
        </w:rPr>
      </w:pPr>
      <w:r>
        <w:rPr>
          <w:rFonts w:hint="eastAsia" w:ascii="黑体" w:hAnsi="黑体" w:eastAsia="黑体"/>
          <w:sz w:val="32"/>
          <w:szCs w:val="32"/>
        </w:rPr>
        <w:t>一、基本情况</w:t>
      </w:r>
      <w:r>
        <w:rPr>
          <w:rFonts w:hint="eastAsia" w:ascii="仿宋_GB2312" w:eastAsia="仿宋_GB2312"/>
          <w:sz w:val="32"/>
          <w:szCs w:val="32"/>
        </w:rPr>
        <w:t>（部门</w:t>
      </w:r>
      <w:r>
        <w:rPr>
          <w:rFonts w:ascii="仿宋_GB2312" w:eastAsia="仿宋_GB2312"/>
          <w:sz w:val="32"/>
          <w:szCs w:val="32"/>
        </w:rPr>
        <w:t>决算公开内容</w:t>
      </w:r>
      <w:r>
        <w:rPr>
          <w:rFonts w:hint="eastAsia" w:ascii="仿宋_GB2312" w:eastAsia="仿宋_GB2312"/>
          <w:sz w:val="32"/>
          <w:szCs w:val="32"/>
        </w:rPr>
        <w:t>）</w:t>
      </w:r>
    </w:p>
    <w:p>
      <w:pPr>
        <w:spacing w:line="520" w:lineRule="exact"/>
        <w:ind w:firstLine="641"/>
        <w:rPr>
          <w:rFonts w:ascii="仿宋_GB2312" w:eastAsia="仿宋_GB2312"/>
          <w:sz w:val="32"/>
          <w:szCs w:val="32"/>
          <w:highlight w:val="none"/>
        </w:rPr>
      </w:pPr>
      <w:r>
        <w:rPr>
          <w:rFonts w:hint="eastAsia" w:ascii="仿宋_GB2312" w:eastAsia="仿宋_GB2312"/>
          <w:sz w:val="32"/>
          <w:szCs w:val="32"/>
          <w:highlight w:val="none"/>
          <w:lang w:val="en-US" w:eastAsia="zh-CN"/>
        </w:rPr>
        <w:t>中关村科技园区门头沟园管理委员会</w:t>
      </w:r>
      <w:r>
        <w:rPr>
          <w:rFonts w:hint="eastAsia" w:ascii="仿宋_GB2312" w:eastAsia="仿宋_GB2312"/>
          <w:sz w:val="32"/>
          <w:szCs w:val="32"/>
          <w:highlight w:val="none"/>
        </w:rPr>
        <w:t>对20</w:t>
      </w:r>
      <w:r>
        <w:rPr>
          <w:rFonts w:ascii="仿宋_GB2312" w:eastAsia="仿宋_GB2312"/>
          <w:sz w:val="32"/>
          <w:szCs w:val="32"/>
          <w:highlight w:val="none"/>
        </w:rPr>
        <w:t>2</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年度本部门及所</w:t>
      </w:r>
      <w:r>
        <w:rPr>
          <w:rFonts w:ascii="仿宋_GB2312" w:eastAsia="仿宋_GB2312"/>
          <w:sz w:val="32"/>
          <w:szCs w:val="32"/>
          <w:highlight w:val="none"/>
        </w:rPr>
        <w:t>属单位</w:t>
      </w:r>
      <w:r>
        <w:rPr>
          <w:rFonts w:hint="eastAsia" w:ascii="仿宋_GB2312" w:eastAsia="仿宋_GB2312"/>
          <w:sz w:val="32"/>
          <w:szCs w:val="32"/>
          <w:highlight w:val="none"/>
        </w:rPr>
        <w:t>项目支出实施了绩效自评，评价项目</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个，涉及金额</w:t>
      </w:r>
      <w:r>
        <w:rPr>
          <w:rFonts w:hint="eastAsia" w:ascii="仿宋_GB2312" w:eastAsia="仿宋_GB2312"/>
          <w:sz w:val="32"/>
          <w:szCs w:val="32"/>
          <w:highlight w:val="none"/>
          <w:lang w:val="en-US" w:eastAsia="zh-CN"/>
        </w:rPr>
        <w:t>6881.82</w:t>
      </w:r>
      <w:r>
        <w:rPr>
          <w:rFonts w:hint="eastAsia" w:ascii="仿宋_GB2312" w:eastAsia="仿宋_GB2312"/>
          <w:sz w:val="32"/>
          <w:szCs w:val="32"/>
          <w:highlight w:val="none"/>
        </w:rPr>
        <w:t>万元。具体项目自评</w:t>
      </w:r>
      <w:r>
        <w:rPr>
          <w:rFonts w:ascii="仿宋_GB2312" w:eastAsia="仿宋_GB2312"/>
          <w:sz w:val="32"/>
          <w:szCs w:val="32"/>
          <w:highlight w:val="none"/>
        </w:rPr>
        <w:t>情况详见《</w:t>
      </w:r>
      <w:r>
        <w:rPr>
          <w:rFonts w:hint="eastAsia" w:ascii="仿宋_GB2312" w:eastAsia="仿宋_GB2312"/>
          <w:sz w:val="32"/>
          <w:szCs w:val="32"/>
          <w:highlight w:val="none"/>
        </w:rPr>
        <w:t>20</w:t>
      </w:r>
      <w:r>
        <w:rPr>
          <w:rFonts w:ascii="仿宋_GB2312" w:eastAsia="仿宋_GB2312"/>
          <w:sz w:val="32"/>
          <w:szCs w:val="32"/>
          <w:highlight w:val="none"/>
        </w:rPr>
        <w:t>2</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年度部门预算项目绩效自评结果汇总表</w:t>
      </w:r>
      <w:r>
        <w:rPr>
          <w:rFonts w:ascii="仿宋_GB2312" w:eastAsia="仿宋_GB2312"/>
          <w:sz w:val="32"/>
          <w:szCs w:val="32"/>
          <w:highlight w:val="none"/>
        </w:rPr>
        <w:t>》</w:t>
      </w:r>
      <w:r>
        <w:rPr>
          <w:rFonts w:hint="eastAsia" w:ascii="仿宋_GB2312" w:eastAsia="仿宋_GB2312"/>
          <w:sz w:val="32"/>
          <w:szCs w:val="32"/>
          <w:highlight w:val="none"/>
        </w:rPr>
        <w:t>及</w:t>
      </w:r>
      <w:r>
        <w:rPr>
          <w:rFonts w:ascii="仿宋_GB2312" w:eastAsia="仿宋_GB2312"/>
          <w:sz w:val="32"/>
          <w:szCs w:val="32"/>
          <w:highlight w:val="none"/>
        </w:rPr>
        <w:t>各项目的《</w:t>
      </w:r>
      <w:r>
        <w:rPr>
          <w:rFonts w:hint="eastAsia" w:ascii="仿宋_GB2312" w:eastAsia="仿宋_GB2312"/>
          <w:sz w:val="32"/>
          <w:szCs w:val="32"/>
          <w:highlight w:val="none"/>
        </w:rPr>
        <w:t>项目支出绩效自评表</w:t>
      </w:r>
      <w:r>
        <w:rPr>
          <w:rFonts w:ascii="仿宋_GB2312" w:eastAsia="仿宋_GB2312"/>
          <w:sz w:val="32"/>
          <w:szCs w:val="32"/>
          <w:highlight w:val="none"/>
        </w:rPr>
        <w:t>》</w:t>
      </w:r>
      <w:r>
        <w:rPr>
          <w:rFonts w:hint="eastAsia" w:ascii="仿宋_GB2312" w:eastAsia="仿宋_GB2312"/>
          <w:sz w:val="32"/>
          <w:szCs w:val="32"/>
          <w:highlight w:val="none"/>
        </w:rPr>
        <w:t>。</w:t>
      </w:r>
    </w:p>
    <w:p>
      <w:pPr>
        <w:spacing w:line="520" w:lineRule="exact"/>
        <w:ind w:firstLine="641"/>
        <w:rPr>
          <w:rFonts w:ascii="仿宋_GB2312" w:eastAsia="仿宋_GB2312"/>
          <w:sz w:val="32"/>
          <w:szCs w:val="32"/>
          <w:highlight w:val="none"/>
        </w:rPr>
      </w:pPr>
      <w:r>
        <w:rPr>
          <w:rFonts w:hint="eastAsia" w:ascii="仿宋_GB2312" w:eastAsia="仿宋_GB2312"/>
          <w:sz w:val="32"/>
          <w:szCs w:val="32"/>
          <w:highlight w:val="none"/>
        </w:rPr>
        <w:t>评价得分在90分（含90分）以上的</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个，评价得分在</w:t>
      </w:r>
      <w:r>
        <w:rPr>
          <w:rFonts w:ascii="仿宋_GB2312" w:eastAsia="仿宋_GB2312"/>
          <w:sz w:val="32"/>
          <w:szCs w:val="32"/>
          <w:highlight w:val="none"/>
        </w:rPr>
        <w:t>80</w:t>
      </w:r>
      <w:r>
        <w:rPr>
          <w:rFonts w:hint="eastAsia" w:ascii="仿宋_GB2312" w:eastAsia="仿宋_GB2312"/>
          <w:sz w:val="32"/>
          <w:szCs w:val="32"/>
          <w:highlight w:val="none"/>
        </w:rPr>
        <w:t>-90分（含</w:t>
      </w:r>
      <w:r>
        <w:rPr>
          <w:rFonts w:ascii="仿宋_GB2312" w:eastAsia="仿宋_GB2312"/>
          <w:sz w:val="32"/>
          <w:szCs w:val="32"/>
          <w:highlight w:val="none"/>
        </w:rPr>
        <w:t>80</w:t>
      </w:r>
      <w:r>
        <w:rPr>
          <w:rFonts w:hint="eastAsia" w:ascii="仿宋_GB2312" w:eastAsia="仿宋_GB2312"/>
          <w:sz w:val="32"/>
          <w:szCs w:val="32"/>
          <w:highlight w:val="none"/>
        </w:rPr>
        <w:t>分）的</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个，评价得分在60-</w:t>
      </w:r>
      <w:r>
        <w:rPr>
          <w:rFonts w:ascii="仿宋_GB2312" w:eastAsia="仿宋_GB2312"/>
          <w:sz w:val="32"/>
          <w:szCs w:val="32"/>
          <w:highlight w:val="none"/>
        </w:rPr>
        <w:t>80</w:t>
      </w:r>
      <w:r>
        <w:rPr>
          <w:rFonts w:hint="eastAsia" w:ascii="仿宋_GB2312" w:eastAsia="仿宋_GB2312"/>
          <w:sz w:val="32"/>
          <w:szCs w:val="32"/>
          <w:highlight w:val="none"/>
        </w:rPr>
        <w:t>分（含60分）的</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个，评价得分在60分以下的</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个。</w:t>
      </w:r>
    </w:p>
    <w:p>
      <w:pPr>
        <w:spacing w:line="520" w:lineRule="exact"/>
        <w:ind w:firstLine="641"/>
        <w:rPr>
          <w:rFonts w:ascii="黑体" w:hAnsi="黑体" w:eastAsia="黑体"/>
          <w:sz w:val="32"/>
          <w:szCs w:val="32"/>
          <w:highlight w:val="none"/>
        </w:rPr>
      </w:pPr>
      <w:r>
        <w:rPr>
          <w:rFonts w:hint="eastAsia" w:ascii="黑体" w:hAnsi="黑体" w:eastAsia="黑体"/>
          <w:sz w:val="32"/>
          <w:szCs w:val="32"/>
          <w:highlight w:val="none"/>
        </w:rPr>
        <w:t>二</w:t>
      </w:r>
      <w:r>
        <w:rPr>
          <w:rFonts w:ascii="黑体" w:hAnsi="黑体" w:eastAsia="黑体"/>
          <w:sz w:val="32"/>
          <w:szCs w:val="32"/>
          <w:highlight w:val="none"/>
        </w:rPr>
        <w:t>、</w:t>
      </w:r>
      <w:r>
        <w:rPr>
          <w:rFonts w:hint="eastAsia" w:ascii="黑体" w:hAnsi="黑体" w:eastAsia="黑体"/>
          <w:sz w:val="32"/>
          <w:szCs w:val="32"/>
          <w:highlight w:val="none"/>
        </w:rPr>
        <w:t>未</w:t>
      </w:r>
      <w:r>
        <w:rPr>
          <w:rFonts w:ascii="黑体" w:hAnsi="黑体" w:eastAsia="黑体"/>
          <w:sz w:val="32"/>
          <w:szCs w:val="32"/>
          <w:highlight w:val="none"/>
        </w:rPr>
        <w:t>纳入年度绩效自评</w:t>
      </w:r>
      <w:r>
        <w:rPr>
          <w:rFonts w:hint="eastAsia" w:ascii="黑体" w:hAnsi="黑体" w:eastAsia="黑体"/>
          <w:sz w:val="32"/>
          <w:szCs w:val="32"/>
          <w:highlight w:val="none"/>
        </w:rPr>
        <w:t>的</w:t>
      </w:r>
      <w:r>
        <w:rPr>
          <w:rFonts w:ascii="黑体" w:hAnsi="黑体" w:eastAsia="黑体"/>
          <w:sz w:val="32"/>
          <w:szCs w:val="32"/>
          <w:highlight w:val="none"/>
        </w:rPr>
        <w:t>项目</w:t>
      </w:r>
      <w:r>
        <w:rPr>
          <w:rFonts w:hint="eastAsia" w:ascii="黑体" w:hAnsi="黑体" w:eastAsia="黑体"/>
          <w:sz w:val="32"/>
          <w:szCs w:val="32"/>
          <w:highlight w:val="none"/>
        </w:rPr>
        <w:t>情况</w:t>
      </w:r>
      <w:r>
        <w:rPr>
          <w:rFonts w:ascii="黑体" w:hAnsi="黑体" w:eastAsia="黑体"/>
          <w:sz w:val="32"/>
          <w:szCs w:val="32"/>
          <w:highlight w:val="none"/>
        </w:rPr>
        <w:t>说明</w:t>
      </w:r>
    </w:p>
    <w:p>
      <w:pPr>
        <w:spacing w:line="520" w:lineRule="exact"/>
        <w:ind w:firstLine="641"/>
        <w:rPr>
          <w:rFonts w:ascii="仿宋_GB2312" w:eastAsia="仿宋_GB2312"/>
          <w:sz w:val="32"/>
          <w:szCs w:val="32"/>
          <w:highlight w:val="none"/>
        </w:rPr>
      </w:pPr>
      <w:r>
        <w:rPr>
          <w:rFonts w:hint="eastAsia" w:ascii="仿宋_GB2312" w:eastAsia="仿宋_GB2312"/>
          <w:sz w:val="32"/>
          <w:szCs w:val="32"/>
          <w:highlight w:val="none"/>
          <w:lang w:val="en-US" w:eastAsia="zh-CN"/>
        </w:rPr>
        <w:t>本部门全部项目均纳入年度绩效自评范围</w:t>
      </w:r>
      <w:r>
        <w:rPr>
          <w:rFonts w:hint="eastAsia" w:ascii="仿宋_GB2312" w:eastAsia="仿宋_GB2312"/>
          <w:sz w:val="32"/>
          <w:szCs w:val="32"/>
          <w:highlight w:val="none"/>
        </w:rPr>
        <w:t>。</w:t>
      </w:r>
    </w:p>
    <w:p>
      <w:pPr>
        <w:spacing w:line="520" w:lineRule="exact"/>
        <w:ind w:firstLine="641"/>
        <w:rPr>
          <w:rFonts w:ascii="黑体" w:hAnsi="黑体" w:eastAsia="黑体"/>
          <w:sz w:val="32"/>
          <w:szCs w:val="32"/>
          <w:highlight w:val="none"/>
        </w:rPr>
      </w:pPr>
      <w:r>
        <w:rPr>
          <w:rFonts w:hint="eastAsia" w:ascii="黑体" w:hAnsi="黑体" w:eastAsia="黑体"/>
          <w:sz w:val="32"/>
          <w:szCs w:val="32"/>
          <w:highlight w:val="none"/>
        </w:rPr>
        <w:t>三、项目主要存在问题及</w:t>
      </w:r>
      <w:r>
        <w:rPr>
          <w:rFonts w:ascii="黑体" w:hAnsi="黑体" w:eastAsia="黑体"/>
          <w:sz w:val="32"/>
          <w:szCs w:val="32"/>
          <w:highlight w:val="none"/>
        </w:rPr>
        <w:t>改进措施</w:t>
      </w:r>
    </w:p>
    <w:p>
      <w:pPr>
        <w:spacing w:line="520" w:lineRule="exact"/>
        <w:ind w:firstLine="641"/>
        <w:rPr>
          <w:rFonts w:hint="eastAsia" w:ascii="仿宋_GB2312" w:eastAsia="仿宋_GB2312"/>
          <w:sz w:val="32"/>
          <w:szCs w:val="32"/>
          <w:highlight w:val="none"/>
        </w:rPr>
      </w:pPr>
      <w:r>
        <w:rPr>
          <w:rFonts w:hint="eastAsia" w:ascii="仿宋_GB2312" w:eastAsia="仿宋_GB2312"/>
          <w:sz w:val="32"/>
          <w:szCs w:val="32"/>
          <w:highlight w:val="none"/>
        </w:rPr>
        <w:t>经评价，部分项目存在以下问题：</w:t>
      </w:r>
    </w:p>
    <w:p>
      <w:pPr>
        <w:numPr>
          <w:numId w:val="0"/>
        </w:numPr>
        <w:spacing w:line="520" w:lineRule="exact"/>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预算编制</w:t>
      </w:r>
      <w:r>
        <w:rPr>
          <w:rFonts w:hint="eastAsia" w:ascii="仿宋_GB2312" w:eastAsia="仿宋_GB2312"/>
          <w:sz w:val="32"/>
          <w:szCs w:val="32"/>
          <w:highlight w:val="none"/>
          <w:lang w:eastAsia="zh-CN"/>
        </w:rPr>
        <w:t>问题及改进措施</w:t>
      </w:r>
    </w:p>
    <w:p>
      <w:pPr>
        <w:numPr>
          <w:numId w:val="0"/>
        </w:numPr>
        <w:spacing w:line="520" w:lineRule="exact"/>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rPr>
        <w:t>原因分析</w:t>
      </w:r>
      <w:r>
        <w:rPr>
          <w:rFonts w:hint="eastAsia" w:ascii="仿宋_GB2312" w:eastAsia="仿宋_GB2312"/>
          <w:sz w:val="32"/>
          <w:szCs w:val="32"/>
          <w:highlight w:val="none"/>
          <w:lang w:val="en-US" w:eastAsia="zh-CN"/>
        </w:rPr>
        <w:t>及</w:t>
      </w:r>
      <w:r>
        <w:rPr>
          <w:rFonts w:hint="eastAsia" w:ascii="仿宋_GB2312" w:eastAsia="仿宋_GB2312"/>
          <w:sz w:val="32"/>
          <w:szCs w:val="32"/>
          <w:highlight w:val="none"/>
        </w:rPr>
        <w:t>整改落实情况：</w:t>
      </w:r>
      <w:r>
        <w:rPr>
          <w:rFonts w:hint="eastAsia" w:ascii="仿宋_GB2312" w:eastAsia="仿宋_GB2312"/>
          <w:sz w:val="32"/>
          <w:szCs w:val="32"/>
          <w:highlight w:val="none"/>
          <w:lang w:eastAsia="zh-CN"/>
        </w:rPr>
        <w:t>预算编制缺少</w:t>
      </w:r>
      <w:r>
        <w:rPr>
          <w:rFonts w:hint="eastAsia" w:ascii="仿宋_GB2312" w:eastAsia="仿宋_GB2312"/>
          <w:sz w:val="32"/>
          <w:szCs w:val="32"/>
          <w:highlight w:val="none"/>
          <w:lang w:val="en-US" w:eastAsia="zh-CN"/>
        </w:rPr>
        <w:t>经验，与实际目标有差距。现已调整目标结合实情加强</w:t>
      </w:r>
      <w:r>
        <w:rPr>
          <w:rFonts w:hint="eastAsia" w:ascii="仿宋_GB2312" w:eastAsia="仿宋_GB2312"/>
          <w:sz w:val="32"/>
          <w:szCs w:val="32"/>
          <w:highlight w:val="none"/>
        </w:rPr>
        <w:t>项目前期需求分析和可行性研究的论证，加强预算编制的精细程度，确保预算资金的科学性、细致性、准确性。</w:t>
      </w:r>
    </w:p>
    <w:p>
      <w:pPr>
        <w:numPr>
          <w:numId w:val="0"/>
        </w:numPr>
        <w:spacing w:line="52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2.预算执行问题及改进措施</w:t>
      </w:r>
    </w:p>
    <w:p>
      <w:pPr>
        <w:numPr>
          <w:numId w:val="0"/>
        </w:numPr>
        <w:spacing w:line="52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原因分析</w:t>
      </w:r>
      <w:r>
        <w:rPr>
          <w:rFonts w:hint="eastAsia" w:ascii="仿宋_GB2312" w:eastAsia="仿宋_GB2312"/>
          <w:sz w:val="32"/>
          <w:szCs w:val="32"/>
          <w:highlight w:val="none"/>
          <w:lang w:val="en-US" w:eastAsia="zh-CN"/>
        </w:rPr>
        <w:t>及</w:t>
      </w:r>
      <w:r>
        <w:rPr>
          <w:rFonts w:hint="eastAsia" w:ascii="仿宋_GB2312" w:eastAsia="仿宋_GB2312"/>
          <w:sz w:val="32"/>
          <w:szCs w:val="32"/>
          <w:highlight w:val="none"/>
        </w:rPr>
        <w:t>整改落实情况：</w:t>
      </w:r>
      <w:r>
        <w:rPr>
          <w:rFonts w:hint="eastAsia" w:ascii="仿宋_GB2312" w:eastAsia="仿宋_GB2312"/>
          <w:sz w:val="32"/>
          <w:szCs w:val="32"/>
          <w:highlight w:val="none"/>
          <w:lang w:eastAsia="zh-CN"/>
        </w:rPr>
        <w:t>预算执行中未统筹好全年计划，导致预算支出缓慢及预算调整数较大。现已及时调整计划，提高认识，加快</w:t>
      </w:r>
      <w:r>
        <w:rPr>
          <w:rFonts w:hint="eastAsia" w:ascii="仿宋_GB2312" w:eastAsia="仿宋_GB2312"/>
          <w:sz w:val="32"/>
          <w:szCs w:val="32"/>
          <w:highlight w:val="none"/>
        </w:rPr>
        <w:t>项目支出进度，</w:t>
      </w:r>
      <w:r>
        <w:rPr>
          <w:rFonts w:hint="eastAsia" w:ascii="仿宋_GB2312" w:eastAsia="仿宋_GB2312"/>
          <w:sz w:val="32"/>
          <w:szCs w:val="32"/>
          <w:highlight w:val="none"/>
          <w:lang w:eastAsia="zh-CN"/>
        </w:rPr>
        <w:t>并</w:t>
      </w:r>
      <w:r>
        <w:rPr>
          <w:rFonts w:hint="eastAsia" w:ascii="仿宋_GB2312" w:eastAsia="仿宋_GB2312"/>
          <w:sz w:val="32"/>
          <w:szCs w:val="32"/>
          <w:highlight w:val="none"/>
        </w:rPr>
        <w:t>每月</w:t>
      </w:r>
      <w:r>
        <w:rPr>
          <w:rFonts w:hint="eastAsia" w:ascii="仿宋_GB2312" w:eastAsia="仿宋_GB2312"/>
          <w:sz w:val="32"/>
          <w:szCs w:val="32"/>
          <w:highlight w:val="none"/>
          <w:lang w:eastAsia="zh-CN"/>
        </w:rPr>
        <w:t>及时</w:t>
      </w:r>
      <w:r>
        <w:rPr>
          <w:rFonts w:hint="eastAsia" w:ascii="仿宋_GB2312" w:eastAsia="仿宋_GB2312"/>
          <w:sz w:val="32"/>
          <w:szCs w:val="32"/>
          <w:highlight w:val="none"/>
        </w:rPr>
        <w:t>梳理项目资金支出情况，通报项目资金的使用进度</w:t>
      </w:r>
      <w:r>
        <w:rPr>
          <w:rFonts w:hint="eastAsia" w:ascii="仿宋_GB2312" w:eastAsia="仿宋_GB2312"/>
          <w:sz w:val="32"/>
          <w:szCs w:val="32"/>
          <w:highlight w:val="none"/>
          <w:lang w:eastAsia="zh-CN"/>
        </w:rPr>
        <w:t>及资金余额。</w:t>
      </w:r>
    </w:p>
    <w:p>
      <w:pPr>
        <w:spacing w:line="520" w:lineRule="exact"/>
        <w:ind w:firstLine="641"/>
        <w:rPr>
          <w:rFonts w:ascii="黑体" w:hAnsi="黑体" w:eastAsia="黑体"/>
          <w:sz w:val="32"/>
          <w:szCs w:val="32"/>
          <w:highlight w:val="none"/>
        </w:rPr>
      </w:pPr>
      <w:r>
        <w:rPr>
          <w:rFonts w:hint="eastAsia" w:ascii="黑体" w:hAnsi="黑体" w:eastAsia="黑体"/>
          <w:sz w:val="32"/>
          <w:szCs w:val="32"/>
          <w:highlight w:val="none"/>
        </w:rPr>
        <w:t>四、本部门绩效自评</w:t>
      </w:r>
      <w:r>
        <w:rPr>
          <w:rFonts w:ascii="黑体" w:hAnsi="黑体" w:eastAsia="黑体"/>
          <w:sz w:val="32"/>
          <w:szCs w:val="32"/>
          <w:highlight w:val="none"/>
        </w:rPr>
        <w:t>结果应用</w:t>
      </w:r>
      <w:r>
        <w:rPr>
          <w:rFonts w:hint="eastAsia" w:ascii="黑体" w:hAnsi="黑体" w:eastAsia="黑体"/>
          <w:sz w:val="32"/>
          <w:szCs w:val="32"/>
          <w:highlight w:val="none"/>
        </w:rPr>
        <w:t>措施</w:t>
      </w:r>
    </w:p>
    <w:p>
      <w:pPr>
        <w:spacing w:line="520" w:lineRule="exact"/>
        <w:ind w:firstLine="641"/>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（一）</w:t>
      </w:r>
      <w:r>
        <w:rPr>
          <w:rFonts w:hint="eastAsia" w:ascii="仿宋_GB2312" w:eastAsia="仿宋_GB2312"/>
          <w:sz w:val="32"/>
          <w:szCs w:val="32"/>
          <w:highlight w:val="none"/>
          <w:lang w:eastAsia="zh-CN"/>
        </w:rPr>
        <w:t>针对</w:t>
      </w:r>
      <w:r>
        <w:rPr>
          <w:rFonts w:hint="eastAsia" w:ascii="仿宋_GB2312" w:eastAsia="仿宋_GB2312"/>
          <w:sz w:val="32"/>
          <w:szCs w:val="32"/>
          <w:highlight w:val="none"/>
        </w:rPr>
        <w:t>预算编制</w:t>
      </w:r>
      <w:r>
        <w:rPr>
          <w:rFonts w:hint="eastAsia" w:ascii="仿宋_GB2312" w:eastAsia="仿宋_GB2312"/>
          <w:sz w:val="32"/>
          <w:szCs w:val="32"/>
          <w:highlight w:val="none"/>
          <w:lang w:eastAsia="zh-CN"/>
        </w:rPr>
        <w:t>问题加强管理和指导</w:t>
      </w:r>
    </w:p>
    <w:p>
      <w:pPr>
        <w:spacing w:line="520" w:lineRule="exact"/>
        <w:ind w:firstLine="641"/>
        <w:rPr>
          <w:rFonts w:hint="eastAsia" w:ascii="仿宋_GB2312" w:eastAsia="仿宋_GB2312"/>
          <w:sz w:val="32"/>
          <w:szCs w:val="32"/>
          <w:highlight w:val="none"/>
          <w:lang w:eastAsia="zh-CN"/>
        </w:rPr>
      </w:pPr>
      <w:r>
        <w:rPr>
          <w:rFonts w:hint="eastAsia" w:ascii="仿宋_GB2312" w:eastAsia="仿宋_GB2312"/>
          <w:sz w:val="32"/>
          <w:szCs w:val="32"/>
          <w:highlight w:val="none"/>
        </w:rPr>
        <w:t>在预算编制过程中，</w:t>
      </w:r>
      <w:r>
        <w:rPr>
          <w:rFonts w:hint="eastAsia" w:ascii="仿宋_GB2312" w:eastAsia="仿宋_GB2312"/>
          <w:sz w:val="32"/>
          <w:szCs w:val="32"/>
          <w:highlight w:val="none"/>
          <w:lang w:eastAsia="zh-CN"/>
        </w:rPr>
        <w:t>总结</w:t>
      </w:r>
      <w:r>
        <w:rPr>
          <w:rFonts w:hint="eastAsia" w:ascii="仿宋_GB2312" w:eastAsia="仿宋_GB2312"/>
          <w:sz w:val="32"/>
          <w:szCs w:val="32"/>
          <w:highlight w:val="none"/>
          <w:lang w:val="en-US" w:eastAsia="zh-CN"/>
        </w:rPr>
        <w:t>积累经验，</w:t>
      </w:r>
      <w:r>
        <w:rPr>
          <w:rFonts w:hint="eastAsia" w:ascii="仿宋_GB2312" w:eastAsia="仿宋_GB2312"/>
          <w:sz w:val="32"/>
          <w:szCs w:val="32"/>
          <w:highlight w:val="none"/>
        </w:rPr>
        <w:t>着重项目前期需求分析和可行性研究的论证工作，加强预算编制的精细程度，确保预算资金的科学性、细致性、准确性。</w:t>
      </w:r>
    </w:p>
    <w:p>
      <w:pPr>
        <w:numPr>
          <w:ilvl w:val="0"/>
          <w:numId w:val="0"/>
        </w:numPr>
        <w:spacing w:line="52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（二）</w:t>
      </w:r>
      <w:r>
        <w:rPr>
          <w:rFonts w:hint="eastAsia" w:ascii="仿宋_GB2312" w:eastAsia="仿宋_GB2312"/>
          <w:sz w:val="32"/>
          <w:szCs w:val="32"/>
          <w:highlight w:val="none"/>
          <w:lang w:eastAsia="zh-CN"/>
        </w:rPr>
        <w:t>针对</w:t>
      </w:r>
      <w:r>
        <w:rPr>
          <w:rFonts w:hint="eastAsia" w:ascii="仿宋_GB2312" w:eastAsia="仿宋_GB2312"/>
          <w:sz w:val="32"/>
          <w:szCs w:val="32"/>
          <w:highlight w:val="none"/>
          <w:lang w:val="en-US" w:eastAsia="zh-CN"/>
        </w:rPr>
        <w:t>预算执行问题进行监督和协调</w:t>
      </w:r>
    </w:p>
    <w:p>
      <w:pPr>
        <w:numPr>
          <w:ilvl w:val="0"/>
          <w:numId w:val="0"/>
        </w:numPr>
        <w:spacing w:line="52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为加快项目资金支出进度，每月</w:t>
      </w:r>
      <w:r>
        <w:rPr>
          <w:rFonts w:hint="eastAsia" w:ascii="仿宋_GB2312" w:eastAsia="仿宋_GB2312"/>
          <w:sz w:val="32"/>
          <w:szCs w:val="32"/>
          <w:highlight w:val="none"/>
          <w:lang w:eastAsia="zh-CN"/>
        </w:rPr>
        <w:t>及时</w:t>
      </w:r>
      <w:r>
        <w:rPr>
          <w:rFonts w:hint="eastAsia" w:ascii="仿宋_GB2312" w:eastAsia="仿宋_GB2312"/>
          <w:sz w:val="32"/>
          <w:szCs w:val="32"/>
          <w:highlight w:val="none"/>
        </w:rPr>
        <w:t>梳理项目资金支出情况，通报项目资金的使用进度</w:t>
      </w:r>
      <w:r>
        <w:rPr>
          <w:rFonts w:hint="eastAsia" w:ascii="仿宋_GB2312" w:eastAsia="仿宋_GB2312"/>
          <w:sz w:val="32"/>
          <w:szCs w:val="32"/>
          <w:highlight w:val="none"/>
          <w:lang w:eastAsia="zh-CN"/>
        </w:rPr>
        <w:t>及资金余额</w:t>
      </w:r>
      <w:r>
        <w:rPr>
          <w:rFonts w:hint="eastAsia" w:ascii="仿宋_GB2312" w:eastAsia="仿宋_GB2312"/>
          <w:sz w:val="32"/>
          <w:szCs w:val="32"/>
          <w:highlight w:val="none"/>
        </w:rPr>
        <w:t>，并</w:t>
      </w:r>
      <w:r>
        <w:rPr>
          <w:rFonts w:hint="eastAsia" w:ascii="仿宋_GB2312" w:eastAsia="仿宋_GB2312"/>
          <w:sz w:val="32"/>
          <w:szCs w:val="32"/>
          <w:highlight w:val="none"/>
          <w:lang w:eastAsia="zh-CN"/>
        </w:rPr>
        <w:t>按照财政要求征求科室意见</w:t>
      </w:r>
      <w:r>
        <w:rPr>
          <w:rFonts w:hint="eastAsia" w:ascii="仿宋_GB2312" w:eastAsia="仿宋_GB2312"/>
          <w:sz w:val="32"/>
          <w:szCs w:val="32"/>
          <w:highlight w:val="none"/>
        </w:rPr>
        <w:t>及时上缴净结余。</w:t>
      </w:r>
    </w:p>
    <w:p>
      <w:pPr>
        <w:numPr>
          <w:ilvl w:val="0"/>
          <w:numId w:val="0"/>
        </w:numPr>
        <w:spacing w:line="52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（三）针对预算控制问题进行监控和调整</w:t>
      </w:r>
    </w:p>
    <w:p>
      <w:pPr>
        <w:numPr>
          <w:ilvl w:val="0"/>
          <w:numId w:val="0"/>
        </w:numPr>
        <w:spacing w:line="520" w:lineRule="exact"/>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 xml:space="preserve">    为确保预算计划和实际情况之间的一致性以及预算的有效性和实效性，我部门对预算进行全程监控，涉及对预算绩效进行评估、预算偏差的分析和原因以及采取相应的纠正措施，确保组织财务目标的实现。</w:t>
      </w:r>
    </w:p>
    <w:p>
      <w:pPr>
        <w:spacing w:line="520" w:lineRule="exact"/>
        <w:ind w:firstLine="640"/>
        <w:rPr>
          <w:rFonts w:ascii="仿宋_GB2312" w:eastAsia="仿宋_GB2312"/>
          <w:sz w:val="32"/>
          <w:szCs w:val="32"/>
          <w:highlight w:val="none"/>
        </w:rPr>
      </w:pPr>
    </w:p>
    <w:p>
      <w:pPr>
        <w:spacing w:line="520" w:lineRule="exact"/>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中关村科技园区</w:t>
      </w:r>
    </w:p>
    <w:p>
      <w:pPr>
        <w:spacing w:line="520" w:lineRule="exact"/>
        <w:jc w:val="right"/>
        <w:rPr>
          <w:rFonts w:hint="default" w:ascii="仿宋_GB2312" w:eastAsia="仿宋_GB2312"/>
          <w:sz w:val="32"/>
          <w:szCs w:val="32"/>
          <w:lang w:val="en-US" w:eastAsia="zh-CN"/>
        </w:rPr>
      </w:pPr>
      <w:r>
        <w:rPr>
          <w:rFonts w:hint="eastAsia" w:ascii="仿宋_GB2312" w:eastAsia="仿宋_GB2312"/>
          <w:sz w:val="32"/>
          <w:szCs w:val="32"/>
          <w:lang w:val="en-US" w:eastAsia="zh-CN"/>
        </w:rPr>
        <w:t>门头沟园管理委员会</w:t>
      </w:r>
    </w:p>
    <w:p>
      <w:pPr>
        <w:spacing w:line="520" w:lineRule="exact"/>
        <w:ind w:firstLine="5760" w:firstLineChars="1800"/>
      </w:pPr>
      <w:bookmarkStart w:id="0" w:name="_GoBack"/>
      <w:bookmarkEnd w:id="0"/>
      <w:r>
        <w:rPr>
          <w:rFonts w:hint="eastAsia" w:ascii="仿宋_GB2312" w:eastAsia="仿宋_GB2312"/>
          <w:sz w:val="32"/>
          <w:szCs w:val="32"/>
          <w:lang w:val="en-US" w:eastAsia="zh-CN"/>
        </w:rPr>
        <w:t>2024</w:t>
      </w:r>
      <w:r>
        <w:rPr>
          <w:rFonts w:hint="eastAsia" w:ascii="仿宋_GB2312" w:eastAsia="仿宋_GB2312"/>
          <w:sz w:val="32"/>
          <w:szCs w:val="32"/>
        </w:rPr>
        <w:t>年</w:t>
      </w:r>
      <w:r>
        <w:rPr>
          <w:rFonts w:hint="eastAsia" w:ascii="仿宋_GB2312" w:eastAsia="仿宋_GB2312"/>
          <w:sz w:val="32"/>
          <w:szCs w:val="32"/>
          <w:lang w:val="en-US" w:eastAsia="zh-CN"/>
        </w:rPr>
        <w:t>04</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w:t>
      </w:r>
    </w:p>
    <w:sectPr>
      <w:pgSz w:w="11906" w:h="16838"/>
      <w:pgMar w:top="1135"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EyZDkyNjZiZWFjNjFlNGZhMWY1MWVkY2YyMzFhMDIifQ=="/>
    <w:docVar w:name="KSO_WPS_MARK_KEY" w:val="ada26bea-ce9d-4e96-8105-90a385d1b28a"/>
  </w:docVars>
  <w:rsids>
    <w:rsidRoot w:val="008876F5"/>
    <w:rsid w:val="000D40C2"/>
    <w:rsid w:val="00152100"/>
    <w:rsid w:val="00165A86"/>
    <w:rsid w:val="001B7E72"/>
    <w:rsid w:val="001E11DD"/>
    <w:rsid w:val="002E62D2"/>
    <w:rsid w:val="00351B89"/>
    <w:rsid w:val="003F3EA8"/>
    <w:rsid w:val="003F59CF"/>
    <w:rsid w:val="003F7774"/>
    <w:rsid w:val="00495B33"/>
    <w:rsid w:val="005C43BA"/>
    <w:rsid w:val="006235D6"/>
    <w:rsid w:val="006B6E5B"/>
    <w:rsid w:val="00703007"/>
    <w:rsid w:val="00751751"/>
    <w:rsid w:val="007865A3"/>
    <w:rsid w:val="00787E8C"/>
    <w:rsid w:val="007B2371"/>
    <w:rsid w:val="008876F5"/>
    <w:rsid w:val="008F3BFF"/>
    <w:rsid w:val="0096542B"/>
    <w:rsid w:val="009A06E4"/>
    <w:rsid w:val="00A97D39"/>
    <w:rsid w:val="00B2289B"/>
    <w:rsid w:val="00BE4DD6"/>
    <w:rsid w:val="00C20524"/>
    <w:rsid w:val="00C4008A"/>
    <w:rsid w:val="00CE2737"/>
    <w:rsid w:val="00CE646A"/>
    <w:rsid w:val="00CF35E1"/>
    <w:rsid w:val="00D212C9"/>
    <w:rsid w:val="00D73400"/>
    <w:rsid w:val="00E07BA8"/>
    <w:rsid w:val="00E20F52"/>
    <w:rsid w:val="00E815F2"/>
    <w:rsid w:val="00EA051B"/>
    <w:rsid w:val="00EA12E7"/>
    <w:rsid w:val="00EC15DE"/>
    <w:rsid w:val="00F255E9"/>
    <w:rsid w:val="00F30CB1"/>
    <w:rsid w:val="00FD412C"/>
    <w:rsid w:val="0EE53071"/>
    <w:rsid w:val="20C86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semiHidden/>
    <w:unhideWhenUsed/>
    <w:qFormat/>
    <w:uiPriority w:val="99"/>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1712</Words>
  <Characters>1767</Characters>
  <Lines>5</Lines>
  <Paragraphs>1</Paragraphs>
  <TotalTime>15</TotalTime>
  <ScaleCrop>false</ScaleCrop>
  <LinksUpToDate>false</LinksUpToDate>
  <CharactersWithSpaces>1767</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2020-05-15T05:59:00Z</dcterms:created>
  <dc:creator>井文胜</dc:creator>
  <cp:lastModifiedBy>Administrator</cp:lastModifiedBy>
  <cp:lastPrinted>2024-04-26T08:53:03Z</cp:lastPrinted>
  <dcterms:modified xsi:type="dcterms:W3CDTF">2024-04-26T08:56:00Z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BDCFD1D377D14D0D879B9C2F3807C833_12</vt:lpwstr>
  </property>
</Properties>
</file>