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72C60E"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eastAsia="zh-CN"/>
        </w:rPr>
        <w:t>北京市门头沟区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  <w:t>人民政府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eastAsia="zh-CN"/>
        </w:rPr>
        <w:t>大峪街道办事处</w:t>
      </w:r>
    </w:p>
    <w:p w14:paraId="6B5C9D20">
      <w:pPr>
        <w:spacing w:line="560" w:lineRule="exact"/>
        <w:jc w:val="center"/>
        <w:rPr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  <w:t>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  <w:t>年政府信息公开工作年度报告</w:t>
      </w:r>
      <w:r>
        <w:rPr>
          <w:rFonts w:hint="eastAsia" w:ascii="微软雅黑" w:hAnsi="微软雅黑" w:eastAsia="微软雅黑" w:cs="宋体"/>
          <w:color w:val="404040"/>
          <w:kern w:val="0"/>
          <w:sz w:val="24"/>
          <w:highlight w:val="none"/>
        </w:rPr>
        <w:t>　</w:t>
      </w:r>
      <w:r>
        <w:rPr>
          <w:rFonts w:hint="eastAsia" w:ascii="微软雅黑" w:hAnsi="微软雅黑" w:eastAsia="微软雅黑" w:cs="宋体"/>
          <w:color w:val="404040"/>
          <w:kern w:val="0"/>
          <w:sz w:val="32"/>
          <w:szCs w:val="32"/>
          <w:highlight w:val="none"/>
        </w:rPr>
        <w:t xml:space="preserve"> </w:t>
      </w:r>
      <w:r>
        <w:rPr>
          <w:rFonts w:ascii="微软雅黑" w:hAnsi="微软雅黑" w:eastAsia="微软雅黑" w:cs="宋体"/>
          <w:color w:val="404040"/>
          <w:kern w:val="0"/>
          <w:sz w:val="32"/>
          <w:szCs w:val="32"/>
          <w:highlight w:val="none"/>
        </w:rPr>
        <w:t xml:space="preserve"> </w:t>
      </w:r>
    </w:p>
    <w:p w14:paraId="087507D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</w:pPr>
    </w:p>
    <w:p w14:paraId="76E58F1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依据《中华人民共和国政府信息公开条例》(以下简称《政府信息公开条例》)第五十条规定，编制本报告。</w:t>
      </w:r>
    </w:p>
    <w:p w14:paraId="52E58F1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一、总体情况</w:t>
      </w:r>
    </w:p>
    <w:p w14:paraId="07CA745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2024年，大峪街道坚定不移地以习近平新时代中国特色社会主义思想为引领，全面贯彻党的二十大精神，以习近平总书记亲临我区视察为激励，紧扣区委“12345”发展思路。积极响应党中央、国务院关于深化政务公开的号召，严格遵循《政府信息公开条例》的规定，紧密围绕市、区的核心工作任务以及居民群众的迫切需求，不断深化信息公开公示机制。视政府信息公开为强化党风廉政建设、规范行业风气、促进依法行政的关键手段，扎实推动信息公开工作，不断拓展其广度、深度和细致度，致力于实现政府决策与管理服务的规范化、透明化。</w:t>
      </w:r>
    </w:p>
    <w:p w14:paraId="2D83C7E1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72" w:firstLineChars="200"/>
        <w:jc w:val="both"/>
        <w:textAlignment w:val="auto"/>
        <w:outlineLvl w:val="9"/>
        <w:rPr>
          <w:rFonts w:hint="eastAsia" w:ascii="楷体" w:hAnsi="楷体" w:eastAsia="楷体" w:cs="楷体"/>
          <w:b w:val="0"/>
          <w:bCs w:val="0"/>
          <w:spacing w:val="8"/>
          <w:kern w:val="0"/>
          <w:sz w:val="32"/>
          <w:szCs w:val="32"/>
          <w:lang w:val="en-US" w:eastAsia="zh-CN" w:bidi="ar"/>
        </w:rPr>
      </w:pPr>
      <w:r>
        <w:rPr>
          <w:rFonts w:hint="eastAsia" w:ascii="楷体" w:hAnsi="楷体" w:eastAsia="楷体" w:cs="楷体"/>
          <w:b w:val="0"/>
          <w:bCs w:val="0"/>
          <w:spacing w:val="8"/>
          <w:kern w:val="0"/>
          <w:sz w:val="32"/>
          <w:szCs w:val="32"/>
          <w:lang w:val="en-US" w:eastAsia="zh-CN" w:bidi="ar"/>
        </w:rPr>
        <w:t>（一）主动公开情况</w:t>
      </w:r>
    </w:p>
    <w:p w14:paraId="16048B2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本年度，在门户网站及政府信息公开平台上主动发布政务信息达54条，其中包括预算决算信息2条。此外，通过政务新媒体渠道，坚持每日更新，共发布了1315条信息，确保信息的广泛传播。</w:t>
      </w:r>
    </w:p>
    <w:p w14:paraId="6CEC64DA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72" w:firstLineChars="200"/>
        <w:jc w:val="both"/>
        <w:textAlignment w:val="auto"/>
        <w:outlineLvl w:val="9"/>
        <w:rPr>
          <w:rFonts w:hint="eastAsia" w:ascii="楷体" w:hAnsi="楷体" w:eastAsia="楷体" w:cs="楷体"/>
          <w:b w:val="0"/>
          <w:bCs w:val="0"/>
          <w:spacing w:val="8"/>
          <w:kern w:val="0"/>
          <w:sz w:val="32"/>
          <w:szCs w:val="32"/>
          <w:lang w:val="en-US" w:eastAsia="zh-CN" w:bidi="ar"/>
        </w:rPr>
      </w:pPr>
      <w:r>
        <w:rPr>
          <w:rFonts w:hint="eastAsia" w:ascii="楷体" w:hAnsi="楷体" w:eastAsia="楷体" w:cs="楷体"/>
          <w:b w:val="0"/>
          <w:bCs w:val="0"/>
          <w:spacing w:val="8"/>
          <w:kern w:val="0"/>
          <w:sz w:val="32"/>
          <w:szCs w:val="32"/>
          <w:lang w:val="en-US" w:eastAsia="zh-CN" w:bidi="ar"/>
        </w:rPr>
        <w:t>（二）依申请公开办理情况</w:t>
      </w:r>
    </w:p>
    <w:p w14:paraId="1878B9B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2024年，收到1封申请公开的信件，并已严格按照相关规定进行了妥善处理。</w:t>
      </w:r>
    </w:p>
    <w:p w14:paraId="010DECF7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72" w:firstLineChars="200"/>
        <w:jc w:val="both"/>
        <w:textAlignment w:val="auto"/>
        <w:outlineLvl w:val="9"/>
        <w:rPr>
          <w:rFonts w:hint="eastAsia" w:ascii="楷体" w:hAnsi="楷体" w:eastAsia="楷体" w:cs="楷体"/>
          <w:b w:val="0"/>
          <w:bCs w:val="0"/>
          <w:spacing w:val="8"/>
          <w:kern w:val="0"/>
          <w:sz w:val="32"/>
          <w:szCs w:val="32"/>
          <w:lang w:val="en-US" w:eastAsia="zh-CN" w:bidi="ar"/>
        </w:rPr>
      </w:pPr>
      <w:r>
        <w:rPr>
          <w:rFonts w:hint="eastAsia" w:ascii="楷体" w:hAnsi="楷体" w:eastAsia="楷体" w:cs="楷体"/>
          <w:b w:val="0"/>
          <w:bCs w:val="0"/>
          <w:spacing w:val="8"/>
          <w:kern w:val="0"/>
          <w:sz w:val="32"/>
          <w:szCs w:val="32"/>
          <w:lang w:val="en-US" w:eastAsia="zh-CN" w:bidi="ar"/>
        </w:rPr>
        <w:t>（三）政府信息资源管理标准化</w:t>
      </w:r>
    </w:p>
    <w:p w14:paraId="4D7A6E7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针对与公众利益密切相关、需广泛知晓的重大行政决策，在公开基本内容的同时，特别注重公开与群众利益紧密相连的事项，以及社会关注的焦点、热点问题。加强了执法信息的公开，实施了“双随机、一公开”机制，对行政许可和行政处罚进行了“双公示”，并及时通过网站向社会公布。此外，进一步落实了行政执法公示制度，依法公开了执法职责、依据、程序、监督途径和结果等信息。</w:t>
      </w:r>
    </w:p>
    <w:p w14:paraId="06D8A241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72" w:firstLineChars="200"/>
        <w:jc w:val="both"/>
        <w:textAlignment w:val="auto"/>
        <w:outlineLvl w:val="9"/>
        <w:rPr>
          <w:rFonts w:hint="eastAsia" w:ascii="楷体" w:hAnsi="楷体" w:eastAsia="楷体" w:cs="楷体"/>
          <w:b w:val="0"/>
          <w:bCs w:val="0"/>
          <w:spacing w:val="8"/>
          <w:kern w:val="0"/>
          <w:sz w:val="32"/>
          <w:szCs w:val="32"/>
          <w:lang w:val="en-US" w:eastAsia="zh-CN" w:bidi="ar"/>
        </w:rPr>
      </w:pPr>
      <w:r>
        <w:rPr>
          <w:rFonts w:hint="eastAsia" w:ascii="楷体" w:hAnsi="楷体" w:eastAsia="楷体" w:cs="楷体"/>
          <w:b w:val="0"/>
          <w:bCs w:val="0"/>
          <w:spacing w:val="8"/>
          <w:kern w:val="0"/>
          <w:sz w:val="32"/>
          <w:szCs w:val="32"/>
          <w:lang w:val="en-US" w:eastAsia="zh-CN" w:bidi="ar"/>
        </w:rPr>
        <w:t>（四）政府信息公开平台建设</w:t>
      </w:r>
    </w:p>
    <w:p w14:paraId="7A65F85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依托政务新媒体平台，将微信公众号更名为“峪见幸福”，及时传达上级指示和会议精神，同时积极回应群众关切的问题。建立了完善的审核监督机制，对发布内容进行严格筛选和把关，确保信息的权威性、有效性和准确性。</w:t>
      </w:r>
    </w:p>
    <w:p w14:paraId="5E7E18A4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72" w:firstLineChars="200"/>
        <w:jc w:val="both"/>
        <w:textAlignment w:val="auto"/>
        <w:outlineLvl w:val="9"/>
        <w:rPr>
          <w:rFonts w:hint="eastAsia" w:ascii="楷体" w:hAnsi="楷体" w:eastAsia="楷体" w:cs="楷体"/>
          <w:b w:val="0"/>
          <w:bCs w:val="0"/>
          <w:spacing w:val="8"/>
          <w:kern w:val="0"/>
          <w:sz w:val="32"/>
          <w:szCs w:val="32"/>
          <w:lang w:val="en-US" w:eastAsia="zh-CN" w:bidi="ar"/>
        </w:rPr>
      </w:pPr>
      <w:r>
        <w:rPr>
          <w:rFonts w:hint="eastAsia" w:ascii="楷体" w:hAnsi="楷体" w:eastAsia="楷体" w:cs="楷体"/>
          <w:b w:val="0"/>
          <w:bCs w:val="0"/>
          <w:spacing w:val="8"/>
          <w:kern w:val="0"/>
          <w:sz w:val="32"/>
          <w:szCs w:val="32"/>
          <w:lang w:val="en-US" w:eastAsia="zh-CN" w:bidi="ar"/>
        </w:rPr>
        <w:t>（五）监督保障与教育培训</w:t>
      </w:r>
    </w:p>
    <w:p w14:paraId="7B3AAF5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积极响应上级部门要求，对首都之窗及门户网站进行了自查，确保平台建设的高质量和高效能。年内，组织了5次政务公开相关培训，不断提升工作人员的专业水平和履职能力。同时，对信息公开制度的职责定位与分工进行了自查、监督指导，并立即整改发现的问题。</w:t>
      </w:r>
    </w:p>
    <w:p w14:paraId="6C44A9D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二、主动公开政府信息情况</w:t>
      </w:r>
    </w:p>
    <w:p w14:paraId="20C07A7A">
      <w:pPr>
        <w:pStyle w:val="2"/>
        <w:numPr>
          <w:ilvl w:val="0"/>
          <w:numId w:val="0"/>
        </w:numPr>
        <w:rPr>
          <w:rFonts w:hint="eastAsia"/>
        </w:rPr>
      </w:pPr>
    </w:p>
    <w:tbl>
      <w:tblPr>
        <w:tblStyle w:val="7"/>
        <w:tblW w:w="974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 w14:paraId="43A00C2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253019A0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第二十条第（一）项</w:t>
            </w:r>
          </w:p>
        </w:tc>
      </w:tr>
      <w:tr w14:paraId="041FB3B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34E6D4B1"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2012936E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4EDADAE4"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5EFF2E06"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现行有效件数</w:t>
            </w:r>
          </w:p>
        </w:tc>
      </w:tr>
      <w:tr w14:paraId="6596BB2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090A5159"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9B6221F"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788AC18"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42B4A24">
            <w:pPr>
              <w:widowControl/>
              <w:jc w:val="center"/>
            </w:pPr>
            <w:r>
              <w:rPr>
                <w:rFonts w:hint="eastAsia" w:cs="Calibri"/>
                <w:kern w:val="0"/>
                <w:szCs w:val="21"/>
                <w:lang w:val="en-US" w:eastAsia="zh-CN" w:bidi="ar"/>
              </w:rPr>
              <w:t>0</w:t>
            </w:r>
          </w:p>
        </w:tc>
      </w:tr>
      <w:tr w14:paraId="49F40A3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2741EE6B"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01BA69B"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11D1FCB"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DE292ED">
            <w:pPr>
              <w:widowControl/>
              <w:jc w:val="center"/>
            </w:pPr>
            <w:r>
              <w:rPr>
                <w:rFonts w:hint="eastAsia" w:cs="Calibri"/>
                <w:kern w:val="0"/>
                <w:szCs w:val="21"/>
                <w:lang w:val="en-US" w:eastAsia="zh-CN" w:bidi="ar"/>
              </w:rPr>
              <w:t>0</w:t>
            </w:r>
          </w:p>
        </w:tc>
      </w:tr>
      <w:tr w14:paraId="7F574E8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206E8F8A"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第二十条第（五）项</w:t>
            </w:r>
          </w:p>
        </w:tc>
      </w:tr>
      <w:tr w14:paraId="7B62F35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515849FC"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57076079"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本年处理决定数量</w:t>
            </w:r>
          </w:p>
        </w:tc>
      </w:tr>
      <w:tr w14:paraId="1498009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369F54CD"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EAD369A"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49EA72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11F32746"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第二十条第（六）项</w:t>
            </w:r>
          </w:p>
        </w:tc>
      </w:tr>
      <w:tr w14:paraId="28F6517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116E565E"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1F2B8E34"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本年处理决定数量</w:t>
            </w:r>
          </w:p>
        </w:tc>
      </w:tr>
      <w:tr w14:paraId="51DFEA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76D2733E"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5634E4C">
            <w:pPr>
              <w:widowControl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1100</w:t>
            </w:r>
          </w:p>
        </w:tc>
      </w:tr>
      <w:tr w14:paraId="0CA4343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55941790"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60AA5CF"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666C3F9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512D6A6A"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第二十条第（八）项</w:t>
            </w:r>
          </w:p>
        </w:tc>
      </w:tr>
      <w:tr w14:paraId="5E6587C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50076323"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0C7F4FA9"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本年收费金额（单位：万元）</w:t>
            </w:r>
          </w:p>
        </w:tc>
      </w:tr>
      <w:tr w14:paraId="591B641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6CA6CEA1"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left w:w="57" w:type="dxa"/>
              <w:right w:w="57" w:type="dxa"/>
            </w:tcMar>
            <w:vAlign w:val="center"/>
          </w:tcPr>
          <w:p w14:paraId="773AA80E">
            <w:pPr>
              <w:jc w:val="center"/>
              <w:rPr>
                <w:rFonts w:hint="eastAsia" w:ascii="宋体" w:hAnsi="Times New Roman" w:cs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 w:hAnsi="Times New Roman" w:cs="宋体"/>
                <w:sz w:val="24"/>
                <w:lang w:val="en-US" w:eastAsia="zh-CN"/>
              </w:rPr>
              <w:t>0</w:t>
            </w:r>
          </w:p>
        </w:tc>
      </w:tr>
    </w:tbl>
    <w:p w14:paraId="3B80F894">
      <w:pPr>
        <w:pStyle w:val="2"/>
        <w:numPr>
          <w:ilvl w:val="0"/>
          <w:numId w:val="0"/>
        </w:numPr>
        <w:rPr>
          <w:rFonts w:hint="eastAsia"/>
        </w:rPr>
      </w:pPr>
    </w:p>
    <w:p w14:paraId="2217590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三、收到和处理政府信息公开申请情况</w:t>
      </w:r>
    </w:p>
    <w:p w14:paraId="083FCAAD">
      <w:pPr>
        <w:ind w:left="629"/>
        <w:rPr>
          <w:rFonts w:hint="eastAsia" w:ascii="黑体" w:hAnsi="宋体" w:eastAsia="黑体" w:cs="黑体"/>
          <w:sz w:val="24"/>
        </w:rPr>
      </w:pPr>
    </w:p>
    <w:tbl>
      <w:tblPr>
        <w:tblStyle w:val="7"/>
        <w:tblW w:w="974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8"/>
        <w:gridCol w:w="943"/>
        <w:gridCol w:w="3220"/>
        <w:gridCol w:w="688"/>
        <w:gridCol w:w="688"/>
        <w:gridCol w:w="688"/>
        <w:gridCol w:w="688"/>
        <w:gridCol w:w="688"/>
        <w:gridCol w:w="688"/>
        <w:gridCol w:w="689"/>
      </w:tblGrid>
      <w:tr w14:paraId="6056D2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 w14:paraId="2810B87D">
            <w:pPr>
              <w:widowControl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bidi="ar"/>
              </w:rPr>
              <w:t>（本列数据的勾稽关系为：第一项加第二项之和，等于第三项加第四项之和）</w:t>
            </w:r>
          </w:p>
        </w:tc>
        <w:tc>
          <w:tcPr>
            <w:tcW w:w="4817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4F72A5E3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申请人情况</w:t>
            </w:r>
          </w:p>
        </w:tc>
      </w:tr>
      <w:tr w14:paraId="18BE4B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 w14:paraId="3CF51F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vMerge w:val="restart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10FAE723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自然人</w:t>
            </w:r>
          </w:p>
        </w:tc>
        <w:tc>
          <w:tcPr>
            <w:tcW w:w="3440" w:type="dxa"/>
            <w:gridSpan w:val="5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2FDC1BF7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法人或其他组织</w:t>
            </w:r>
          </w:p>
        </w:tc>
        <w:tc>
          <w:tcPr>
            <w:tcW w:w="689" w:type="dxa"/>
            <w:vMerge w:val="restart"/>
            <w:tcBorders>
              <w:top w:val="single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2E771F17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总计</w:t>
            </w:r>
          </w:p>
        </w:tc>
      </w:tr>
      <w:tr w14:paraId="286942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 w14:paraId="59578D0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vMerge w:val="continue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786D18C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6DA5322A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商业</w:t>
            </w:r>
          </w:p>
          <w:p w14:paraId="139CFB35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企业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1ED0F28C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科研</w:t>
            </w:r>
          </w:p>
          <w:p w14:paraId="5683D34E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机构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54C11408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社会公益组织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22DA96F8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法律服务机构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5F922528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</w:p>
        </w:tc>
        <w:tc>
          <w:tcPr>
            <w:tcW w:w="689" w:type="dxa"/>
            <w:vMerge w:val="continue"/>
            <w:tcBorders>
              <w:top w:val="single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7E847BE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14:paraId="2465A1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2C3426EC"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一、本年新收政府信息公开申请数量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3A69BD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1C895F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F0B92B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8CD6DE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139079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597947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7A21901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 w14:paraId="7370FA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36384FAA"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二、上年结转政府信息公开申请数量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CBC803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E10C24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D9FCBC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642B10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A02321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93FA13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65524F2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3E6610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restart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4DE591DB"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三、本年度办理结果</w:t>
            </w: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0CFC155A"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（一）予以公开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53423B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5D3C2B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2D01C8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43C74E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D12F8F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A7BE8F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26B1CD5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1BEBBD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64915A8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14DA841E"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（二）部分公开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bidi="ar"/>
              </w:rPr>
              <w:t>（区分处理的，只计这一情形，不计其他情形）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D6CE44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E7FB73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9D1839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63266D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B03425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6F114E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232540E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6BB966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2CDD562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4CA20B78"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（三）不予公开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1015AA06"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1.属于国家秘密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A3CECF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973098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BD32FE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6161CB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5EC237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64E74F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1839E9D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6F533F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1D12726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17F64D2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11BA7EA5"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2.其他法律行政法规禁止公开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1DA934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4085F8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8C98BD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EE630F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09124D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88504C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2B92C49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58C283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17FD5FA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3E60E66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12BE98DA"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3.危及“三安全一稳定”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447EA5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C4BDA6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CF0161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4452BC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9D0D18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BCBAC6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38C802E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125E9D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555C4A93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72F139C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2A45B229"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4.保护第三方合法权益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73EF46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645FFA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D85574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E8460E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AB9F70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2F3A7E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7AC7E78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10C862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7E0C1E72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7F0E893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37C55102"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5.属于三类内部事务信息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BD4D7B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25D7DF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E36351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C02B0C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4DA97B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A6835E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37F5F01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06A88B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2A10B1D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158B456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7758A9B9"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6.属于四类过程性信息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92EC02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39DF8C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C4DA31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DB2E5C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14C2B7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407250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58D2DEC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01E976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399E09E2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36EAA25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374B517B"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7.属于行政执法案卷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663956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F820DE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A087C7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732046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D6737A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9FEFF4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12E7D81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554785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4F2D80B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0638F502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33E28760"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8.属于行政查询事项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EB19F3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2BF2F8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923BB1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79F839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EECA34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B88467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0C3EC35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3F85FA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61D456E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5F0FBE03"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（四）无法提供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43DB871E"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1.本机关不掌握相关政府信息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9A6A8E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55DA04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A396DA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D48239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7A7249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23840E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7A1867A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 w14:paraId="30934B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6FAA4A1A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38198E1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19DABC5A"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2.没有现成信息需要另行制作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0EB255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1D7D16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AA72AC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5C0DA1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A73E0F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441D3F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712F9CA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63C116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72696B0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40D8F8A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00EE2E59"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3.补正后申请内容仍不明确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D60D99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BA07BA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C21D81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721FB5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F5355E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571D65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314B7A5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23A033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0A5EF46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0B737823"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（五）不予处理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2F475402"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1.信访举报投诉类申请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84F5E3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32E98B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D984B6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801180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CFDD55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D2B9A7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0CAC47D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665AF3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3FAF3653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49414EE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451B55E9"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F6E10C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3763C3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5D2591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033285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5852D7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5096A4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0800DF7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04979A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1C0D8B3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4884F55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34BC587E"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3.要求提供公开出版物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12236B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0BCC26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7DD5DB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3FF19A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1391B5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B1F714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7705F0D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75DF9B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305124D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51C871C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0D64CD1C"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4.无正当理由大量反复申请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D9B24D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E3FBF2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12BA15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4A79ED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EAFE9E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34B5E2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2F44E28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23E62E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22CDE693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6612B5E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42635A91">
            <w:pPr>
              <w:widowControl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5.要求行政机关确认或重新出具已获取信息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5C1363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2A3100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2E15D8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B39AD1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9B2656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E9F157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1AE6C2F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47E95E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085F62F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inset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49D32D9E"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（六）其他处理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15D79680">
            <w:pPr>
              <w:widowControl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1.申请人无正当理由逾期不补正、行政机关不再处理其政府信息公开申请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E4CFD2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3BC5E4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21856D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FB9CAD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71D4C1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47BE2F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52BE9AB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/>
                <w:lang w:val="en-US" w:eastAsia="zh-CN"/>
              </w:rPr>
            </w:pPr>
          </w:p>
          <w:p w14:paraId="610C3C21">
            <w:pPr>
              <w:ind w:firstLine="271" w:firstLineChars="0"/>
              <w:jc w:val="lef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lang w:val="en-US" w:eastAsia="zh-CN" w:bidi="ar-SA"/>
              </w:rPr>
              <w:t>0</w:t>
            </w:r>
          </w:p>
        </w:tc>
      </w:tr>
      <w:tr w14:paraId="0B4F5F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46A1A1DE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inset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4ED693DA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5D267CD1">
            <w:pPr>
              <w:widowControl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3936F2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CF640B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FD668C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C30348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AF1148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C7C351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35B49C7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both"/>
            </w:pPr>
          </w:p>
          <w:p w14:paraId="7D396785"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lang w:val="en-US" w:eastAsia="zh-CN" w:bidi="ar-SA"/>
              </w:rPr>
              <w:t>0</w:t>
            </w:r>
          </w:p>
        </w:tc>
      </w:tr>
      <w:tr w14:paraId="66A5FB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63FE9292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inset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35A004F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63A14618"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3.其他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C4EE3A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34B64B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428394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7246CF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647C5B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309D21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68E1504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341A7D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44F113D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409DC9BB"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（七）总计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FC6B47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D5C1D9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844534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5E98F1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496223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D6078F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670FCCD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 w14:paraId="345A1A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single" w:color="auto" w:sz="0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2A95639C"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四、结转下年度继续办理</w:t>
            </w:r>
          </w:p>
        </w:tc>
        <w:tc>
          <w:tcPr>
            <w:tcW w:w="688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 w14:paraId="7ADD1C1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Times New Roman" w:cs="宋体"/>
                <w:sz w:val="24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 w14:paraId="027C46A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Times New Roman" w:cs="宋体"/>
                <w:sz w:val="24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 w14:paraId="34974EA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Times New Roman" w:cs="宋体"/>
                <w:sz w:val="24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 w14:paraId="3A34EFE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Times New Roman" w:cs="宋体"/>
                <w:sz w:val="24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 w14:paraId="42515DE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Times New Roman" w:cs="宋体"/>
                <w:sz w:val="24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 w14:paraId="4425DCC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top"/>
          </w:tcPr>
          <w:p w14:paraId="7E5B99C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</w:tbl>
    <w:p w14:paraId="7997FA03">
      <w:pPr>
        <w:pStyle w:val="2"/>
        <w:widowControl/>
        <w:ind w:left="420" w:leftChars="200"/>
      </w:pPr>
    </w:p>
    <w:p w14:paraId="47C587CE">
      <w:pPr>
        <w:pStyle w:val="2"/>
        <w:widowControl/>
        <w:ind w:left="420" w:leftChars="200"/>
      </w:pPr>
      <w:bookmarkStart w:id="0" w:name="_GoBack"/>
      <w:bookmarkEnd w:id="0"/>
    </w:p>
    <w:p w14:paraId="2BDA060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四、政府信息公开行政复议、行政诉讼情况</w:t>
      </w:r>
    </w:p>
    <w:p w14:paraId="6F57C791">
      <w:pPr>
        <w:widowControl/>
        <w:jc w:val="center"/>
      </w:pPr>
    </w:p>
    <w:tbl>
      <w:tblPr>
        <w:tblStyle w:val="7"/>
        <w:tblW w:w="974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 w14:paraId="028B65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324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108" w:type="dxa"/>
              <w:right w:w="108" w:type="dxa"/>
            </w:tcMar>
            <w:vAlign w:val="center"/>
          </w:tcPr>
          <w:p w14:paraId="2089E012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行政复议</w:t>
            </w:r>
          </w:p>
        </w:tc>
        <w:tc>
          <w:tcPr>
            <w:tcW w:w="6503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108" w:type="dxa"/>
              <w:right w:w="108" w:type="dxa"/>
            </w:tcMar>
            <w:vAlign w:val="center"/>
          </w:tcPr>
          <w:p w14:paraId="27A98AEA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行政诉讼</w:t>
            </w:r>
          </w:p>
        </w:tc>
      </w:tr>
      <w:tr w14:paraId="58D752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40AC9E1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结果维持</w:t>
            </w:r>
          </w:p>
        </w:tc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F28DB49"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  <w:p w14:paraId="55064F80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EFD5F86"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</w:p>
          <w:p w14:paraId="1D9749E7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465ECC1"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尚未</w:t>
            </w:r>
          </w:p>
          <w:p w14:paraId="6C493764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0BADCFC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108" w:type="dxa"/>
              <w:right w:w="108" w:type="dxa"/>
            </w:tcMar>
            <w:vAlign w:val="center"/>
          </w:tcPr>
          <w:p w14:paraId="30652F83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未经复议直接起诉</w:t>
            </w:r>
          </w:p>
        </w:tc>
        <w:tc>
          <w:tcPr>
            <w:tcW w:w="325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108" w:type="dxa"/>
              <w:right w:w="108" w:type="dxa"/>
            </w:tcMar>
            <w:vAlign w:val="center"/>
          </w:tcPr>
          <w:p w14:paraId="354FD122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复议后起诉</w:t>
            </w:r>
          </w:p>
        </w:tc>
      </w:tr>
      <w:tr w14:paraId="5D2F05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  <w:jc w:val="center"/>
        </w:trPr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C5D01B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3F4BFB2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01B63C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33AA28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5B55D3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4D2544AB"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  <w:p w14:paraId="2165C243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维持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5C8107D"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  <w:p w14:paraId="30B97B86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6E5F401"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</w:p>
          <w:p w14:paraId="75F4E988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40C872D2"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尚未</w:t>
            </w:r>
          </w:p>
          <w:p w14:paraId="088B8E2B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84561EE"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总计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950B1CE"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  <w:p w14:paraId="7DFAF751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维持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2081AAD"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  <w:p w14:paraId="18EBC556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1809F65">
            <w:pPr>
              <w:widowControl/>
              <w:jc w:val="center"/>
              <w:rPr>
                <w:rFonts w:hint="eastAsia" w:ascii="宋体" w:hAnsi="宋体" w:cs="宋体" w:eastAsiaTheme="minorEastAsia"/>
                <w:color w:val="000000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其他</w:t>
            </w:r>
          </w:p>
          <w:p w14:paraId="40C36FA5"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69425CD"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尚未</w:t>
            </w:r>
          </w:p>
          <w:p w14:paraId="52A75C74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EA96FE9"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总计</w:t>
            </w:r>
          </w:p>
        </w:tc>
      </w:tr>
      <w:tr w14:paraId="503A73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365C29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F70CBE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E531A5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C1EECE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50ED14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EC6458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C6F287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6A947F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2F273D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A3A8C5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C8BA7B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EAB1CD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D6B53C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90E3DA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96B75B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</w:tbl>
    <w:p w14:paraId="14A09F15">
      <w:pPr>
        <w:widowControl/>
        <w:jc w:val="left"/>
      </w:pPr>
    </w:p>
    <w:p w14:paraId="45D24AA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五、存在的主要问题及改进情况</w:t>
      </w:r>
    </w:p>
    <w:p w14:paraId="6091EEB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在2024年，在推进政务公开工作上取得了一定进展和成效，但同时也面临着一些挑战与不足。具体而言，一是重要政策的解读工作尚待深化，其解读的深度与质量仍有提升空间；二是政务公开的互动性和参与性有待提升；三是政务公开的技术支撑和创新能力需要加强。</w:t>
      </w:r>
    </w:p>
    <w:p w14:paraId="758F058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针对这些不足，规划了以下改进措施：</w:t>
      </w:r>
    </w:p>
    <w:p w14:paraId="59AAC62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首先，将深化政策发布与解读回应机制。为此，将加强制度建设，完善政策解读工作的管理规范，致力于实现多元化、全方位、立体式的解读模式。同时，还将积极拓宽推广渠道，以提升政策解读的整体质量和影响力。</w:t>
      </w:r>
    </w:p>
    <w:p w14:paraId="5BF3674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其次，加强政务公开的互动性和参与性，建立更加畅通的民众反馈和建议渠道，鼓励民众积极参与政务公开工作，提出宝贵意见和建议。同时，定期组织政务公开座谈会、听证会等活动，与民众进行面对面交流，深入了解民众的需求和关切，并及时回应和解决。</w:t>
      </w:r>
    </w:p>
    <w:p w14:paraId="0BFF704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最后，将加强政务公开的技术支撑和创新能力，积极引入新技术手段，如大数据、人工智能等，来提升政务公开的效率和便捷性。同时，还将加强政务公开人员的培训和学习，提升技术素养和创新能力，为政务公开工作的持续发展提供有力保障。</w:t>
      </w:r>
    </w:p>
    <w:p w14:paraId="4F0150F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六、其他需要报告的事项</w:t>
      </w:r>
    </w:p>
    <w:p w14:paraId="0E29C18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根据《政府信息公开信息处理费管理办法》(国办函〔2020〕109号)，2024年度大峪街道收取信息处理费情况为：发出收费通知的件数为0件，总金额为0元，实际收取的总金额为0元。</w:t>
      </w:r>
    </w:p>
    <w:p w14:paraId="7FC34FFC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北京市门头沟区人民政府网站网址为https://www.bjmtg.gov.cn/，如需了解更多政府信息，请登录查询。</w:t>
      </w:r>
    </w:p>
    <w:p w14:paraId="63BF9C0C">
      <w:pPr>
        <w:widowControl/>
        <w:spacing w:line="560" w:lineRule="exact"/>
        <w:jc w:val="left"/>
        <w:rPr>
          <w:rFonts w:hint="eastAsia" w:ascii="仿宋_GB2312" w:hAnsi="宋体" w:eastAsia="仿宋_GB2312" w:cs="宋体"/>
          <w:color w:val="9BC2E6"/>
          <w:spacing w:val="8"/>
          <w:kern w:val="0"/>
          <w:sz w:val="32"/>
          <w:szCs w:val="32"/>
        </w:rPr>
      </w:pPr>
    </w:p>
    <w:p w14:paraId="6DAB97FC">
      <w:pPr>
        <w:pStyle w:val="2"/>
        <w:widowControl/>
        <w:spacing w:line="560" w:lineRule="exact"/>
      </w:pPr>
      <w:r>
        <w:rPr>
          <w:rFonts w:ascii="微软雅黑" w:hAnsi="微软雅黑" w:eastAsia="微软雅黑" w:cs="宋体"/>
          <w:color w:val="404040"/>
          <w:kern w:val="0"/>
          <w:sz w:val="32"/>
          <w:szCs w:val="32"/>
        </w:rPr>
        <w:t xml:space="preserve"> </w:t>
      </w:r>
    </w:p>
    <w:p w14:paraId="7F82542E">
      <w:pPr>
        <w:pStyle w:val="2"/>
        <w:numPr>
          <w:ilvl w:val="0"/>
          <w:numId w:val="0"/>
        </w:numPr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E920E2F-BE90-4211-8FF4-01FA0D7A4F59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1C1ED97F-AEEC-4658-8767-8306BD528B21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9CE1D519-5F5E-4E1B-A456-595AB293D99B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4" w:fontKey="{750992E3-83CE-4C3F-AFA1-08B313AF72F1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778FE756-6A57-4EE6-B331-04FE1543C541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6" w:fontKey="{B4B16F0A-5D2D-429F-A5A6-369517CA6095}"/>
  </w:font>
  <w:font w:name="华康行楷体 W5">
    <w:panose1 w:val="03000509000000000000"/>
    <w:charset w:val="86"/>
    <w:family w:val="auto"/>
    <w:pitch w:val="default"/>
    <w:sig w:usb0="A00002BF" w:usb1="3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dmNjUwM2Y1NDNmOWE2YzU2MTgyNGU5OGRlNTRlMDcifQ=="/>
  </w:docVars>
  <w:rsids>
    <w:rsidRoot w:val="12EB65A5"/>
    <w:rsid w:val="01E435BA"/>
    <w:rsid w:val="0208294C"/>
    <w:rsid w:val="0339544E"/>
    <w:rsid w:val="03CA0232"/>
    <w:rsid w:val="08F90BA4"/>
    <w:rsid w:val="0BA83D75"/>
    <w:rsid w:val="0C173769"/>
    <w:rsid w:val="12EB65A5"/>
    <w:rsid w:val="13883146"/>
    <w:rsid w:val="17371930"/>
    <w:rsid w:val="174D5C54"/>
    <w:rsid w:val="1D5D6E24"/>
    <w:rsid w:val="1E7211D9"/>
    <w:rsid w:val="20977EB3"/>
    <w:rsid w:val="213E0B73"/>
    <w:rsid w:val="21AD09D2"/>
    <w:rsid w:val="25871C98"/>
    <w:rsid w:val="25B25B45"/>
    <w:rsid w:val="2E1B49FC"/>
    <w:rsid w:val="2EB35BD6"/>
    <w:rsid w:val="2EEE1E6F"/>
    <w:rsid w:val="2F250DF6"/>
    <w:rsid w:val="2F2D192B"/>
    <w:rsid w:val="305D48EB"/>
    <w:rsid w:val="325B56DA"/>
    <w:rsid w:val="3330627F"/>
    <w:rsid w:val="356D3434"/>
    <w:rsid w:val="37643766"/>
    <w:rsid w:val="3BFB543D"/>
    <w:rsid w:val="3C1E4DC9"/>
    <w:rsid w:val="3EAB7648"/>
    <w:rsid w:val="46322CD4"/>
    <w:rsid w:val="4747483B"/>
    <w:rsid w:val="48475164"/>
    <w:rsid w:val="4D951DA7"/>
    <w:rsid w:val="4DC23FB1"/>
    <w:rsid w:val="51F9303D"/>
    <w:rsid w:val="526A6404"/>
    <w:rsid w:val="54F75A68"/>
    <w:rsid w:val="5A5A76D8"/>
    <w:rsid w:val="5C0C7AF3"/>
    <w:rsid w:val="5FD760D2"/>
    <w:rsid w:val="60BC260E"/>
    <w:rsid w:val="61723263"/>
    <w:rsid w:val="61E93C4F"/>
    <w:rsid w:val="643F20FC"/>
    <w:rsid w:val="69A90C16"/>
    <w:rsid w:val="71C61094"/>
    <w:rsid w:val="72B853F5"/>
    <w:rsid w:val="7B727A67"/>
    <w:rsid w:val="7B952905"/>
    <w:rsid w:val="7C792090"/>
    <w:rsid w:val="7DBD16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3"/>
    <w:basedOn w:val="1"/>
    <w:next w:val="1"/>
    <w:autoRedefine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autoRedefine/>
    <w:qFormat/>
    <w:uiPriority w:val="0"/>
    <w:rPr>
      <w:rFonts w:ascii="宋体" w:hAnsi="Courier New"/>
    </w:rPr>
  </w:style>
  <w:style w:type="paragraph" w:styleId="4">
    <w:name w:val="annotation text"/>
    <w:basedOn w:val="1"/>
    <w:autoRedefine/>
    <w:qFormat/>
    <w:uiPriority w:val="0"/>
    <w:pPr>
      <w:jc w:val="left"/>
    </w:p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Normal (Web)"/>
    <w:basedOn w:val="1"/>
    <w:autoRedefine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basedOn w:val="8"/>
    <w:autoRedefine/>
    <w:qFormat/>
    <w:uiPriority w:val="0"/>
    <w:rPr>
      <w:b/>
    </w:rPr>
  </w:style>
  <w:style w:type="character" w:styleId="10">
    <w:name w:val="Hyperlink"/>
    <w:basedOn w:val="8"/>
    <w:autoRedefine/>
    <w:qFormat/>
    <w:uiPriority w:val="0"/>
    <w:rPr>
      <w:color w:val="0000FF"/>
      <w:u w:val="single"/>
    </w:rPr>
  </w:style>
  <w:style w:type="paragraph" w:customStyle="1" w:styleId="11">
    <w:name w:val="列出段落1"/>
    <w:basedOn w:val="1"/>
    <w:autoRedefine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区委办公室</Company>
  <Pages>5</Pages>
  <Words>1349</Words>
  <Characters>1381</Characters>
  <Lines>0</Lines>
  <Paragraphs>0</Paragraphs>
  <TotalTime>3</TotalTime>
  <ScaleCrop>false</ScaleCrop>
  <LinksUpToDate>false</LinksUpToDate>
  <CharactersWithSpaces>1389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2022-12-28T12:05:00Z</dcterms:created>
  <dc:creator>MRX</dc:creator>
  <cp:lastModifiedBy>Mint1398171869</cp:lastModifiedBy>
  <cp:lastPrinted>2023-12-27T01:26:00Z</cp:lastPrinted>
  <dcterms:modified xsi:type="dcterms:W3CDTF">2025-01-20T10:26:48Z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8C4A871835C344618525E9DAA5A2F645_13</vt:lpwstr>
  </property>
  <property fmtid="{D5CDD505-2E9C-101B-9397-08002B2CF9AE}" pid="4" name="KSOTemplateDocerSaveRecord">
    <vt:lpwstr>eyJoZGlkIjoiMDdmNjUwM2Y1NDNmOWE2YzU2MTgyNGU5OGRlNTRlMDciLCJ1c2VySWQiOiIxNDYxNjAxNCJ9</vt:lpwstr>
  </property>
</Properties>
</file>