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sz w:val="44"/>
          <w:szCs w:val="44"/>
        </w:rPr>
      </w:pPr>
      <w:bookmarkStart w:id="0" w:name="_GoBack"/>
      <w:r>
        <w:rPr>
          <w:rFonts w:hint="eastAsia" w:ascii="华文中宋" w:hAnsi="华文中宋" w:eastAsia="华文中宋"/>
          <w:sz w:val="44"/>
          <w:szCs w:val="44"/>
        </w:rPr>
        <w:t>北京市门头沟区人民政府大台街道办事处</w:t>
      </w:r>
    </w:p>
    <w:p>
      <w:pPr>
        <w:spacing w:line="560" w:lineRule="exact"/>
        <w:jc w:val="center"/>
        <w:rPr>
          <w:rFonts w:hint="eastAsia" w:ascii="华文中宋" w:hAnsi="华文中宋" w:eastAsia="华文中宋"/>
          <w:sz w:val="44"/>
          <w:szCs w:val="44"/>
        </w:rPr>
      </w:pPr>
      <w:r>
        <w:rPr>
          <w:rFonts w:hint="eastAsia" w:ascii="华文中宋" w:hAnsi="华文中宋" w:eastAsia="华文中宋"/>
          <w:sz w:val="44"/>
          <w:szCs w:val="44"/>
        </w:rPr>
        <w:t>2017年度部门决算</w:t>
      </w:r>
      <w:r>
        <w:rPr>
          <w:rFonts w:ascii="华文中宋" w:hAnsi="华文中宋" w:eastAsia="华文中宋"/>
          <w:sz w:val="44"/>
          <w:szCs w:val="44"/>
        </w:rPr>
        <w:t>公开说明</w:t>
      </w:r>
    </w:p>
    <w:bookmarkEnd w:id="0"/>
    <w:p>
      <w:pPr>
        <w:tabs>
          <w:tab w:val="center" w:pos="6979"/>
        </w:tabs>
        <w:spacing w:line="560" w:lineRule="exact"/>
        <w:rPr>
          <w:rFonts w:ascii="仿宋_GB2312" w:eastAsia="仿宋_GB2312"/>
          <w:sz w:val="48"/>
          <w:szCs w:val="48"/>
        </w:rPr>
      </w:pPr>
    </w:p>
    <w:p>
      <w:pPr>
        <w:tabs>
          <w:tab w:val="center" w:pos="6979"/>
        </w:tabs>
        <w:spacing w:line="560" w:lineRule="exact"/>
        <w:jc w:val="center"/>
        <w:rPr>
          <w:rFonts w:ascii="华文中宋" w:hAnsi="华文中宋" w:eastAsia="华文中宋"/>
          <w:sz w:val="36"/>
          <w:szCs w:val="36"/>
        </w:rPr>
      </w:pPr>
      <w:r>
        <w:rPr>
          <w:rFonts w:hint="eastAsia" w:ascii="华文中宋" w:hAnsi="华文中宋" w:eastAsia="华文中宋"/>
          <w:sz w:val="36"/>
          <w:szCs w:val="36"/>
        </w:rPr>
        <w:t>第一部分 2017年度</w:t>
      </w:r>
      <w:r>
        <w:rPr>
          <w:rFonts w:ascii="华文中宋" w:hAnsi="华文中宋" w:eastAsia="华文中宋"/>
          <w:sz w:val="36"/>
          <w:szCs w:val="36"/>
        </w:rPr>
        <w:t>部门决算</w:t>
      </w:r>
      <w:r>
        <w:rPr>
          <w:rFonts w:hint="eastAsia" w:ascii="华文中宋" w:hAnsi="华文中宋" w:eastAsia="华文中宋"/>
          <w:sz w:val="36"/>
          <w:szCs w:val="36"/>
        </w:rPr>
        <w:t>报表的</w:t>
      </w:r>
      <w:r>
        <w:rPr>
          <w:rFonts w:ascii="华文中宋" w:hAnsi="华文中宋" w:eastAsia="华文中宋"/>
          <w:sz w:val="36"/>
          <w:szCs w:val="36"/>
        </w:rPr>
        <w:t>情况说明</w:t>
      </w:r>
    </w:p>
    <w:p>
      <w:pPr>
        <w:spacing w:line="560" w:lineRule="exact"/>
        <w:jc w:val="center"/>
        <w:rPr>
          <w:rFonts w:ascii="宋体" w:hAnsi="宋体" w:cs="宋体"/>
          <w:b/>
          <w:bCs/>
          <w:kern w:val="0"/>
          <w:sz w:val="48"/>
          <w:szCs w:val="48"/>
        </w:rPr>
      </w:pPr>
    </w:p>
    <w:p>
      <w:pPr>
        <w:tabs>
          <w:tab w:val="center" w:pos="6979"/>
        </w:tabs>
        <w:spacing w:line="560" w:lineRule="exact"/>
        <w:ind w:firstLine="627" w:firstLineChars="196"/>
        <w:rPr>
          <w:rFonts w:hint="eastAsia" w:ascii="黑体" w:hAnsi="黑体" w:eastAsia="黑体"/>
          <w:sz w:val="32"/>
          <w:szCs w:val="32"/>
        </w:rPr>
      </w:pPr>
      <w:r>
        <w:rPr>
          <w:rFonts w:hint="eastAsia" w:ascii="黑体" w:hAnsi="黑体" w:eastAsia="黑体"/>
          <w:sz w:val="32"/>
          <w:szCs w:val="32"/>
        </w:rPr>
        <w:t>一、部门基本情况</w:t>
      </w:r>
    </w:p>
    <w:p>
      <w:pPr>
        <w:tabs>
          <w:tab w:val="center" w:pos="6979"/>
        </w:tabs>
        <w:spacing w:line="560" w:lineRule="exact"/>
        <w:ind w:firstLine="480" w:firstLineChars="150"/>
        <w:rPr>
          <w:rFonts w:hint="eastAsia" w:ascii="仿宋_GB2312" w:eastAsia="仿宋_GB2312"/>
          <w:sz w:val="32"/>
          <w:szCs w:val="32"/>
        </w:rPr>
      </w:pPr>
      <w:r>
        <w:rPr>
          <w:rFonts w:hint="eastAsia" w:ascii="仿宋_GB2312" w:eastAsia="仿宋_GB2312"/>
          <w:sz w:val="32"/>
          <w:szCs w:val="32"/>
        </w:rPr>
        <w:t>（一）部门职责</w:t>
      </w:r>
    </w:p>
    <w:p>
      <w:pPr>
        <w:tabs>
          <w:tab w:val="center" w:pos="6979"/>
        </w:tabs>
        <w:spacing w:line="560" w:lineRule="exact"/>
        <w:ind w:firstLine="729" w:firstLineChars="228"/>
        <w:rPr>
          <w:rFonts w:hint="eastAsia" w:ascii="仿宋_GB2312" w:eastAsia="仿宋_GB2312"/>
          <w:sz w:val="32"/>
          <w:szCs w:val="32"/>
        </w:rPr>
      </w:pPr>
      <w:r>
        <w:rPr>
          <w:rFonts w:hint="eastAsia" w:ascii="仿宋_GB2312" w:eastAsia="仿宋_GB2312"/>
          <w:sz w:val="32"/>
          <w:szCs w:val="32"/>
        </w:rPr>
        <w:t>作为区人民政府的派出机构，受区人民政府领导，依照法律法规的规定，在本辖区内行使政府管理职能，对辖区内的地区性、社区性和群众性工作负总责，承担制定本辖区社区建设总体规划以及组织、指导和协调的职能。</w:t>
      </w:r>
    </w:p>
    <w:p>
      <w:pPr>
        <w:numPr>
          <w:ilvl w:val="0"/>
          <w:numId w:val="1"/>
        </w:numPr>
        <w:tabs>
          <w:tab w:val="center" w:pos="6979"/>
        </w:tabs>
        <w:spacing w:line="560" w:lineRule="exact"/>
        <w:ind w:firstLine="480" w:firstLineChars="150"/>
        <w:rPr>
          <w:rFonts w:hint="eastAsia" w:ascii="仿宋_GB2312" w:eastAsia="仿宋_GB2312"/>
          <w:sz w:val="32"/>
          <w:szCs w:val="32"/>
        </w:rPr>
      </w:pPr>
      <w:r>
        <w:rPr>
          <w:rFonts w:hint="eastAsia" w:ascii="仿宋_GB2312" w:eastAsia="仿宋_GB2312"/>
          <w:sz w:val="32"/>
          <w:szCs w:val="32"/>
        </w:rPr>
        <w:t>部门决算单位构成</w:t>
      </w:r>
    </w:p>
    <w:p>
      <w:pPr>
        <w:tabs>
          <w:tab w:val="center" w:pos="6979"/>
        </w:tabs>
        <w:spacing w:line="560" w:lineRule="exact"/>
        <w:ind w:firstLine="640" w:firstLineChars="200"/>
        <w:rPr>
          <w:rFonts w:hint="eastAsia" w:ascii="仿宋" w:hAnsi="仿宋" w:eastAsia="仿宋" w:cs="仿宋"/>
          <w:sz w:val="30"/>
          <w:szCs w:val="30"/>
        </w:rPr>
      </w:pPr>
      <w:r>
        <w:rPr>
          <w:rFonts w:hint="eastAsia" w:ascii="仿宋_GB2312" w:eastAsia="仿宋_GB2312"/>
          <w:sz w:val="32"/>
          <w:szCs w:val="32"/>
        </w:rPr>
        <w:t>年度部门决算独立核算单位2家：其中行政单位1家，即北京市门头沟区人民政府大台街道办事处本级；下辖全额拨款事业单位1家，即北京市门头沟区大台街道办事处社会保障事务所,上述2家单位，全部纳入2017年编报范围</w:t>
      </w:r>
      <w:r>
        <w:rPr>
          <w:rFonts w:hint="eastAsia" w:ascii="仿宋" w:hAnsi="仿宋" w:eastAsia="仿宋" w:cs="仿宋"/>
          <w:sz w:val="30"/>
          <w:szCs w:val="30"/>
        </w:rPr>
        <w:t>。</w:t>
      </w:r>
    </w:p>
    <w:p>
      <w:pPr>
        <w:tabs>
          <w:tab w:val="center" w:pos="6979"/>
        </w:tabs>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二、201</w:t>
      </w:r>
      <w:r>
        <w:rPr>
          <w:rFonts w:ascii="黑体" w:hAnsi="黑体" w:eastAsia="黑体"/>
          <w:sz w:val="32"/>
          <w:szCs w:val="32"/>
        </w:rPr>
        <w:t>7</w:t>
      </w:r>
      <w:r>
        <w:rPr>
          <w:rFonts w:hint="eastAsia" w:ascii="黑体" w:hAnsi="黑体" w:eastAsia="黑体"/>
          <w:sz w:val="32"/>
          <w:szCs w:val="32"/>
        </w:rPr>
        <w:t>年收入支出决算总体情况</w:t>
      </w:r>
    </w:p>
    <w:p>
      <w:pPr>
        <w:tabs>
          <w:tab w:val="center" w:pos="6979"/>
        </w:tabs>
        <w:spacing w:line="560" w:lineRule="exact"/>
        <w:ind w:firstLine="729" w:firstLineChars="228"/>
        <w:rPr>
          <w:rFonts w:ascii="仿宋_GB2312" w:eastAsia="仿宋_GB2312"/>
          <w:sz w:val="32"/>
          <w:szCs w:val="32"/>
        </w:rPr>
      </w:pPr>
      <w:r>
        <w:rPr>
          <w:rFonts w:hint="eastAsia" w:ascii="仿宋_GB2312" w:eastAsia="仿宋_GB2312"/>
          <w:sz w:val="32"/>
          <w:szCs w:val="32"/>
        </w:rPr>
        <w:t>2017年度收入总计4552.02万元，其中：本年收入4083.47万元，用事业基金弥补收支差额  0 万元，年初结转和结余468.56万元。在本年收入中，财政拨款收入4083.47万元，占收入合计的 100%;上级补助收入 0  万元，占收入合计的  0 %；事业收入  0 万元，占收入合计的 0  %；经营收入  0 万元，占收入合计的 0  %；附属单位上缴收入   万元，占收入合计的  0 %；其他收入 0  万元，占收入合计的  0 %。</w:t>
      </w:r>
    </w:p>
    <w:p>
      <w:pPr>
        <w:tabs>
          <w:tab w:val="center" w:pos="6979"/>
        </w:tabs>
        <w:spacing w:line="560" w:lineRule="exact"/>
        <w:ind w:firstLine="729" w:firstLineChars="228"/>
        <w:rPr>
          <w:rFonts w:ascii="仿宋_GB2312" w:eastAsia="仿宋_GB2312"/>
          <w:sz w:val="32"/>
          <w:szCs w:val="32"/>
        </w:rPr>
      </w:pPr>
    </w:p>
    <w:p>
      <w:pPr>
        <w:tabs>
          <w:tab w:val="center" w:pos="6979"/>
        </w:tabs>
        <w:spacing w:line="560" w:lineRule="exact"/>
        <w:ind w:firstLine="729" w:firstLineChars="228"/>
        <w:rPr>
          <w:rFonts w:ascii="仿宋_GB2312" w:eastAsia="仿宋_GB2312"/>
          <w:sz w:val="32"/>
          <w:szCs w:val="32"/>
        </w:rPr>
      </w:pPr>
      <w:r>
        <w:rPr>
          <w:rFonts w:hint="eastAsia" w:ascii="仿宋_GB2312" w:eastAsia="仿宋_GB2312"/>
          <w:sz w:val="32"/>
          <w:szCs w:val="32"/>
        </w:rPr>
        <w:t>2017年度本年支出合计3903.46万元，其中：基本支出 1456.90万元，占支出合计的 37.32%；项目支出2446.57万元，占支出合计的 62.68 %。上缴上级支出0  万元，占支出合计的 0  %；经营支出 0  万元，占支出合计的  0 %；对附属单位补助支出  0 万元，占支出合计的 0  %。</w:t>
      </w:r>
    </w:p>
    <w:p>
      <w:pPr>
        <w:tabs>
          <w:tab w:val="center" w:pos="6979"/>
        </w:tabs>
        <w:spacing w:line="560" w:lineRule="exact"/>
        <w:ind w:firstLine="729" w:firstLineChars="228"/>
        <w:rPr>
          <w:rFonts w:ascii="仿宋_GB2312" w:eastAsia="仿宋_GB2312"/>
          <w:sz w:val="32"/>
          <w:szCs w:val="32"/>
        </w:rPr>
      </w:pPr>
      <w:r>
        <w:rPr>
          <w:rFonts w:hint="eastAsia" w:ascii="仿宋_GB2312" w:eastAsia="仿宋_GB2312"/>
          <w:sz w:val="32"/>
          <w:szCs w:val="32"/>
        </w:rPr>
        <w:t>2017年结余分配 0 万元，年末结转和结余648.56万元。</w:t>
      </w:r>
    </w:p>
    <w:p>
      <w:pPr>
        <w:spacing w:line="560" w:lineRule="exact"/>
        <w:ind w:firstLine="640" w:firstLineChars="200"/>
        <w:rPr>
          <w:rFonts w:hint="eastAsia" w:ascii="仿宋_GB2312" w:eastAsia="仿宋_GB2312"/>
          <w:sz w:val="32"/>
          <w:szCs w:val="32"/>
        </w:rPr>
      </w:pPr>
    </w:p>
    <w:p>
      <w:pPr>
        <w:tabs>
          <w:tab w:val="center" w:pos="6979"/>
        </w:tabs>
        <w:spacing w:line="560" w:lineRule="exact"/>
        <w:ind w:firstLine="570"/>
        <w:rPr>
          <w:rFonts w:ascii="黑体" w:hAnsi="黑体" w:eastAsia="黑体"/>
          <w:sz w:val="32"/>
          <w:szCs w:val="32"/>
        </w:rPr>
      </w:pPr>
      <w:r>
        <w:rPr>
          <w:rFonts w:hint="eastAsia" w:ascii="黑体" w:hAnsi="黑体" w:eastAsia="黑体"/>
          <w:sz w:val="32"/>
          <w:szCs w:val="32"/>
        </w:rPr>
        <w:t>三、2017年度一般公共预算财政拨款支出决算情况</w:t>
      </w:r>
    </w:p>
    <w:p>
      <w:pPr>
        <w:tabs>
          <w:tab w:val="center" w:pos="6979"/>
        </w:tabs>
        <w:spacing w:line="560" w:lineRule="exact"/>
        <w:ind w:firstLine="570"/>
        <w:rPr>
          <w:rFonts w:hint="eastAsia" w:ascii="华文楷体" w:hAnsi="华文楷体" w:eastAsia="华文楷体"/>
          <w:b/>
          <w:sz w:val="32"/>
          <w:szCs w:val="32"/>
        </w:rPr>
      </w:pPr>
      <w:r>
        <w:rPr>
          <w:rFonts w:hint="eastAsia" w:ascii="华文楷体" w:hAnsi="华文楷体" w:eastAsia="华文楷体"/>
          <w:sz w:val="32"/>
          <w:szCs w:val="32"/>
        </w:rPr>
        <w:t>（一）一般公共预算财政拨款支出决算总体情况</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201</w:t>
      </w:r>
      <w:r>
        <w:rPr>
          <w:rFonts w:ascii="仿宋_GB2312" w:eastAsia="仿宋_GB2312"/>
          <w:sz w:val="30"/>
          <w:szCs w:val="30"/>
        </w:rPr>
        <w:t>7</w:t>
      </w:r>
      <w:r>
        <w:rPr>
          <w:rFonts w:hint="eastAsia" w:ascii="仿宋_GB2312" w:eastAsia="仿宋_GB2312"/>
          <w:sz w:val="30"/>
          <w:szCs w:val="30"/>
        </w:rPr>
        <w:t>年度一般公共预算财政拨款支出</w:t>
      </w:r>
      <w:r>
        <w:rPr>
          <w:rFonts w:hint="eastAsia" w:ascii="仿宋_GB2312" w:eastAsia="仿宋_GB2312"/>
          <w:sz w:val="32"/>
          <w:szCs w:val="32"/>
        </w:rPr>
        <w:t>3903.46</w:t>
      </w:r>
      <w:r>
        <w:rPr>
          <w:rFonts w:hint="eastAsia" w:ascii="仿宋_GB2312" w:eastAsia="仿宋_GB2312"/>
          <w:sz w:val="30"/>
          <w:szCs w:val="30"/>
        </w:rPr>
        <w:t>万元，主要用于以下方面（按大类）：</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一般公共服务支出917.26万元，占本年财政拨款支出 23.50%；</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文化体育与传媒支出18.83万元，占本年财政拨款支出 0.48 %；</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社会保障和就业支出1220.07万元，占本年财政拨款支出 31.26%；</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医疗卫生与计划生育支出12.31万元，占本年财政拨款支出 0.32%；</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节能环保支出153.37万元，占本年财政拨款支出3.93%；</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城乡社区支出1421.14万元，占本年财政拨款支出36.41%；</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农林水支出142.03万元，占本年财政拨款支出3.64%；</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交通运输支出15.22万元，占本年财政拨款支出0.39%；</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商业服务等支出1.00万元，占本年财政拨款支出0.03%</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国土海洋气象等支出2.24万元，占本年财政拨款支出0.06%。</w:t>
      </w:r>
    </w:p>
    <w:p>
      <w:pPr>
        <w:autoSpaceDE w:val="0"/>
        <w:autoSpaceDN w:val="0"/>
        <w:adjustRightInd w:val="0"/>
        <w:spacing w:line="560" w:lineRule="exact"/>
        <w:ind w:firstLine="640" w:firstLineChars="200"/>
        <w:rPr>
          <w:rFonts w:hint="eastAsia" w:ascii="华文楷体" w:hAnsi="华文楷体" w:eastAsia="华文楷体"/>
          <w:sz w:val="32"/>
          <w:szCs w:val="32"/>
        </w:rPr>
      </w:pPr>
      <w:r>
        <w:rPr>
          <w:rFonts w:hint="eastAsia" w:ascii="华文楷体" w:hAnsi="华文楷体" w:eastAsia="华文楷体"/>
          <w:sz w:val="32"/>
          <w:szCs w:val="32"/>
        </w:rPr>
        <w:t>（二）一般公共预算财政拨款支出决算具体情况</w:t>
      </w:r>
    </w:p>
    <w:p>
      <w:pPr>
        <w:numPr>
          <w:ilvl w:val="0"/>
          <w:numId w:val="2"/>
        </w:num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“一般公共服务支出”2017年度决算917.27万元，比2017年年初预算减少740.39万元，下降44.67%。其中：</w:t>
      </w:r>
    </w:p>
    <w:p>
      <w:pPr>
        <w:autoSpaceDE w:val="0"/>
        <w:autoSpaceDN w:val="0"/>
        <w:adjustRightInd w:val="0"/>
        <w:spacing w:line="560" w:lineRule="exact"/>
        <w:ind w:firstLine="6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政府办公厅（室）及相关机构事务</w:t>
      </w:r>
      <w:r>
        <w:rPr>
          <w:rFonts w:hint="eastAsia" w:ascii="仿宋_GB2312" w:eastAsia="仿宋_GB2312"/>
          <w:sz w:val="30"/>
          <w:szCs w:val="30"/>
        </w:rPr>
        <w:t>”201</w:t>
      </w:r>
      <w:r>
        <w:rPr>
          <w:rFonts w:ascii="仿宋_GB2312" w:eastAsia="仿宋_GB2312"/>
          <w:sz w:val="30"/>
          <w:szCs w:val="30"/>
        </w:rPr>
        <w:t>7</w:t>
      </w:r>
      <w:r>
        <w:rPr>
          <w:rFonts w:hint="eastAsia" w:ascii="仿宋_GB2312" w:eastAsia="仿宋_GB2312"/>
          <w:sz w:val="30"/>
          <w:szCs w:val="30"/>
        </w:rPr>
        <w:t>年度决算 714.61万元，比201</w:t>
      </w:r>
      <w:r>
        <w:rPr>
          <w:rFonts w:ascii="仿宋_GB2312" w:eastAsia="仿宋_GB2312"/>
          <w:sz w:val="30"/>
          <w:szCs w:val="30"/>
        </w:rPr>
        <w:t>7</w:t>
      </w:r>
      <w:r>
        <w:rPr>
          <w:rFonts w:hint="eastAsia" w:ascii="仿宋_GB2312" w:eastAsia="仿宋_GB2312"/>
          <w:sz w:val="30"/>
          <w:szCs w:val="30"/>
        </w:rPr>
        <w:t>年年初预算减少703.04万元，下降49.59 %，主要原因：年初预算指标错误，已于年中调减756万元；</w:t>
      </w:r>
    </w:p>
    <w:p>
      <w:pPr>
        <w:autoSpaceDE w:val="0"/>
        <w:autoSpaceDN w:val="0"/>
        <w:adjustRightInd w:val="0"/>
        <w:spacing w:line="560" w:lineRule="exact"/>
        <w:ind w:firstLine="6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统计信息事务</w:t>
      </w:r>
      <w:r>
        <w:rPr>
          <w:rFonts w:hint="eastAsia" w:ascii="仿宋_GB2312" w:eastAsia="仿宋_GB2312"/>
          <w:sz w:val="30"/>
          <w:szCs w:val="30"/>
        </w:rPr>
        <w:t>”2017年决算3.6万元，与2017年年初预算数一致；</w:t>
      </w:r>
    </w:p>
    <w:p>
      <w:pPr>
        <w:autoSpaceDE w:val="0"/>
        <w:autoSpaceDN w:val="0"/>
        <w:adjustRightInd w:val="0"/>
        <w:spacing w:line="560" w:lineRule="exact"/>
        <w:ind w:firstLine="6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群众团体事务</w:t>
      </w:r>
      <w:r>
        <w:rPr>
          <w:rFonts w:hint="eastAsia" w:ascii="仿宋_GB2312" w:eastAsia="仿宋_GB2312"/>
          <w:sz w:val="30"/>
          <w:szCs w:val="30"/>
        </w:rPr>
        <w:t>”2017年度决算 0.64万元，比2017年年初预算减少2.00万元，下降75.67%，主要原因：因人员变动未能及时开展相关工作；</w:t>
      </w:r>
    </w:p>
    <w:p>
      <w:pPr>
        <w:autoSpaceDE w:val="0"/>
        <w:autoSpaceDN w:val="0"/>
        <w:adjustRightInd w:val="0"/>
        <w:spacing w:line="560" w:lineRule="exact"/>
        <w:ind w:firstLine="6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组织事务</w:t>
      </w:r>
      <w:r>
        <w:rPr>
          <w:rFonts w:hint="eastAsia" w:ascii="仿宋_GB2312" w:eastAsia="仿宋_GB2312"/>
          <w:sz w:val="30"/>
          <w:szCs w:val="30"/>
        </w:rPr>
        <w:t>”2017年决算180.00万元，与2017年年初预算数一致；</w:t>
      </w:r>
    </w:p>
    <w:p>
      <w:pPr>
        <w:autoSpaceDE w:val="0"/>
        <w:autoSpaceDN w:val="0"/>
        <w:adjustRightInd w:val="0"/>
        <w:spacing w:line="560" w:lineRule="exact"/>
        <w:ind w:firstLine="6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其他一般公共服务支出</w:t>
      </w:r>
      <w:r>
        <w:rPr>
          <w:rFonts w:hint="eastAsia" w:ascii="仿宋_GB2312" w:eastAsia="仿宋_GB2312"/>
          <w:sz w:val="30"/>
          <w:szCs w:val="30"/>
        </w:rPr>
        <w:t>”2017年度决算18.42万元，比2017年年初预算减少18.98万元，下降50.76%，主要原因：维稳专项工作未发生突发情况，故预备资金未发生支出；</w:t>
      </w:r>
    </w:p>
    <w:p>
      <w:pPr>
        <w:autoSpaceDE w:val="0"/>
        <w:autoSpaceDN w:val="0"/>
        <w:adjustRightInd w:val="0"/>
        <w:spacing w:line="560" w:lineRule="exact"/>
        <w:ind w:firstLine="600"/>
        <w:rPr>
          <w:rFonts w:ascii="仿宋_GB2312" w:eastAsia="仿宋_GB2312"/>
          <w:sz w:val="30"/>
          <w:szCs w:val="30"/>
        </w:rPr>
      </w:pP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2、“文化体育与传媒支出”2017年度决算18.82万元，比2017年年初预算增加0.10万元，增长0.51%。其中：</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文化</w:t>
      </w:r>
      <w:r>
        <w:rPr>
          <w:rFonts w:hint="eastAsia" w:ascii="仿宋_GB2312" w:eastAsia="仿宋_GB2312"/>
          <w:sz w:val="30"/>
          <w:szCs w:val="30"/>
        </w:rPr>
        <w:t>”2017年度决算18.82万元，比2017年年初预算增加0.10万元，增长0.51%，主要原因：使用上年结余资金支出。</w:t>
      </w:r>
    </w:p>
    <w:p>
      <w:pPr>
        <w:autoSpaceDE w:val="0"/>
        <w:autoSpaceDN w:val="0"/>
        <w:adjustRightInd w:val="0"/>
        <w:spacing w:line="560" w:lineRule="exact"/>
        <w:ind w:firstLine="600" w:firstLineChars="200"/>
        <w:rPr>
          <w:rFonts w:ascii="仿宋_GB2312" w:eastAsia="仿宋_GB2312"/>
          <w:sz w:val="30"/>
          <w:szCs w:val="30"/>
        </w:rPr>
      </w:pP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3、“社会保障和就业支出”2017年度决算1220.06万元，比2017年年初预算增加972.70万元，增长393.23% 。其中：</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人力资源和社会保障管理事务</w:t>
      </w:r>
      <w:r>
        <w:rPr>
          <w:rFonts w:hint="eastAsia" w:ascii="仿宋_GB2312" w:eastAsia="仿宋_GB2312"/>
          <w:sz w:val="30"/>
          <w:szCs w:val="30"/>
        </w:rPr>
        <w:t>”2017年度决算184.26万元，比2017年年初预算增加8.46万元，增长4.81%，主要原因：事业人员保险调整。</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民政管理事务</w:t>
      </w:r>
      <w:r>
        <w:rPr>
          <w:rFonts w:hint="eastAsia" w:ascii="仿宋_GB2312" w:eastAsia="仿宋_GB2312"/>
          <w:sz w:val="30"/>
          <w:szCs w:val="30"/>
        </w:rPr>
        <w:t>”2017年度决算781.19万元，比2017年初预算增加740.43万元，增长1816.55%，主要原因：年初预算指标错误，已于年中调增756万元。</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行政事业单位离退休</w:t>
      </w:r>
      <w:r>
        <w:rPr>
          <w:rFonts w:hint="eastAsia" w:ascii="仿宋_GB2312" w:eastAsia="仿宋_GB2312"/>
          <w:sz w:val="30"/>
          <w:szCs w:val="30"/>
        </w:rPr>
        <w:t>”2017年度决算9.83万元，比2017年年初预算减少6.87万元，下降 41.13%，主要原因：保险并轨改由养老保险支付相关费用；</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就业补助</w:t>
      </w:r>
      <w:r>
        <w:rPr>
          <w:rFonts w:hint="eastAsia" w:ascii="仿宋_GB2312" w:eastAsia="仿宋_GB2312"/>
          <w:sz w:val="30"/>
          <w:szCs w:val="30"/>
        </w:rPr>
        <w:t>”2017年度决算244.78万元，比2017年年初预算增加230.69万元，增长1636.74% ，主要原因：追加区级公益性就业岗位补贴。</w:t>
      </w:r>
    </w:p>
    <w:p>
      <w:pPr>
        <w:autoSpaceDE w:val="0"/>
        <w:autoSpaceDN w:val="0"/>
        <w:adjustRightInd w:val="0"/>
        <w:spacing w:line="560" w:lineRule="exact"/>
        <w:ind w:firstLine="600" w:firstLineChars="200"/>
        <w:rPr>
          <w:rFonts w:ascii="仿宋_GB2312" w:eastAsia="仿宋_GB2312"/>
          <w:sz w:val="30"/>
          <w:szCs w:val="30"/>
        </w:rPr>
      </w:pP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4、“医疗卫生与计划生育支出”2017年度决算 12.31万元，比2017年年初预算减少11.39万元，下降48.06%。其中：</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w:t>
      </w:r>
      <w:r>
        <w:rPr>
          <w:rFonts w:hint="eastAsia" w:ascii="仿宋_GB2312" w:eastAsia="仿宋_GB2312"/>
          <w:b/>
          <w:bCs/>
          <w:sz w:val="30"/>
          <w:szCs w:val="30"/>
        </w:rPr>
        <w:t>公共卫生</w:t>
      </w:r>
      <w:r>
        <w:rPr>
          <w:rFonts w:hint="eastAsia" w:ascii="仿宋_GB2312" w:eastAsia="仿宋_GB2312"/>
          <w:sz w:val="30"/>
          <w:szCs w:val="30"/>
        </w:rPr>
        <w:t>” 2017年度决算5.80万元，比2017年年初预算减少 10.28万元，下降63.93%，主要原因：因工作需要，该项目需跨年度支付，第二年支付另一部分资金；</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计划生育事务</w:t>
      </w:r>
      <w:r>
        <w:rPr>
          <w:rFonts w:hint="eastAsia" w:ascii="仿宋_GB2312" w:eastAsia="仿宋_GB2312"/>
          <w:sz w:val="30"/>
          <w:szCs w:val="30"/>
        </w:rPr>
        <w:t>”2017年度决算 5.91万元，比2017年年初预算减少1.11万元，下降15.82%，主要原因：一次性生育补助预算与实际支出存在差异；</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食品和药品监督管理事务</w:t>
      </w:r>
      <w:r>
        <w:rPr>
          <w:rFonts w:hint="eastAsia" w:ascii="仿宋_GB2312" w:eastAsia="仿宋_GB2312"/>
          <w:sz w:val="30"/>
          <w:szCs w:val="30"/>
        </w:rPr>
        <w:t>”2017年度决算 0.60万元，与2017年年初预算一致。</w:t>
      </w:r>
    </w:p>
    <w:p>
      <w:pPr>
        <w:autoSpaceDE w:val="0"/>
        <w:autoSpaceDN w:val="0"/>
        <w:adjustRightInd w:val="0"/>
        <w:spacing w:line="560" w:lineRule="exact"/>
        <w:ind w:firstLine="600" w:firstLineChars="200"/>
        <w:rPr>
          <w:rFonts w:ascii="仿宋_GB2312" w:eastAsia="仿宋_GB2312"/>
          <w:sz w:val="30"/>
          <w:szCs w:val="30"/>
          <w:highlight w:val="yellow"/>
        </w:rPr>
      </w:pPr>
    </w:p>
    <w:p>
      <w:pPr>
        <w:autoSpaceDE w:val="0"/>
        <w:autoSpaceDN w:val="0"/>
        <w:adjustRightInd w:val="0"/>
        <w:spacing w:line="560" w:lineRule="exact"/>
        <w:rPr>
          <w:rFonts w:ascii="仿宋_GB2312" w:eastAsia="仿宋_GB2312"/>
          <w:sz w:val="30"/>
          <w:szCs w:val="30"/>
        </w:rPr>
      </w:pPr>
      <w:r>
        <w:rPr>
          <w:rFonts w:hint="eastAsia" w:ascii="仿宋_GB2312" w:eastAsia="仿宋_GB2312"/>
          <w:sz w:val="30"/>
          <w:szCs w:val="30"/>
        </w:rPr>
        <w:t xml:space="preserve">   5、“节能环保支出”2017年度决算153.37万元，比2017年年初预算增加103.37万元，增长206.75%。其中：</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污染防治</w:t>
      </w:r>
      <w:r>
        <w:rPr>
          <w:rFonts w:hint="eastAsia" w:ascii="仿宋_GB2312" w:eastAsia="仿宋_GB2312"/>
          <w:sz w:val="30"/>
          <w:szCs w:val="30"/>
        </w:rPr>
        <w:t>”2017年度决算15.00万元，比2017年年初预算增加15.00万元，增加100%，主要原因：新追加专项经费；</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自然生态保护</w:t>
      </w:r>
      <w:r>
        <w:rPr>
          <w:rFonts w:hint="eastAsia" w:ascii="仿宋_GB2312" w:eastAsia="仿宋_GB2312"/>
          <w:sz w:val="30"/>
          <w:szCs w:val="30"/>
        </w:rPr>
        <w:t>”2017年度决算112.32万元，比2017年年初预算增加112.32万元，增加100%，主要原因：新追加专项经费；</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其他节能环保支出</w:t>
      </w:r>
      <w:r>
        <w:rPr>
          <w:rFonts w:hint="eastAsia" w:ascii="仿宋_GB2312" w:eastAsia="仿宋_GB2312"/>
          <w:sz w:val="30"/>
          <w:szCs w:val="30"/>
        </w:rPr>
        <w:t>”2017年度决算26.05万元，比2017年年初预算减少23.95万元，下降47.89%，主要原因：打击非法盗采工作未放生突发状况，故预备经费未放生支出；</w:t>
      </w:r>
    </w:p>
    <w:p>
      <w:pPr>
        <w:autoSpaceDE w:val="0"/>
        <w:autoSpaceDN w:val="0"/>
        <w:adjustRightInd w:val="0"/>
        <w:spacing w:line="560" w:lineRule="exact"/>
        <w:ind w:firstLine="600" w:firstLineChars="200"/>
        <w:rPr>
          <w:rFonts w:ascii="仿宋_GB2312" w:eastAsia="仿宋_GB2312"/>
          <w:sz w:val="30"/>
          <w:szCs w:val="30"/>
        </w:rPr>
      </w:pPr>
    </w:p>
    <w:p>
      <w:pPr>
        <w:autoSpaceDE w:val="0"/>
        <w:autoSpaceDN w:val="0"/>
        <w:adjustRightInd w:val="0"/>
        <w:spacing w:line="560" w:lineRule="exact"/>
        <w:ind w:firstLine="450" w:firstLineChars="150"/>
        <w:rPr>
          <w:rFonts w:ascii="仿宋_GB2312" w:eastAsia="仿宋_GB2312"/>
          <w:sz w:val="30"/>
          <w:szCs w:val="30"/>
        </w:rPr>
      </w:pPr>
      <w:r>
        <w:rPr>
          <w:rFonts w:hint="eastAsia" w:ascii="仿宋_GB2312" w:eastAsia="仿宋_GB2312"/>
          <w:sz w:val="30"/>
          <w:szCs w:val="30"/>
        </w:rPr>
        <w:t>6、“城乡社区支出”2017年度决算1421.14万元，比2017年年初预算增加513.79万元，增长56.63%。其中：</w:t>
      </w:r>
    </w:p>
    <w:p>
      <w:pPr>
        <w:autoSpaceDE w:val="0"/>
        <w:autoSpaceDN w:val="0"/>
        <w:adjustRightInd w:val="0"/>
        <w:spacing w:line="560" w:lineRule="exact"/>
        <w:rPr>
          <w:rFonts w:ascii="仿宋_GB2312" w:eastAsia="仿宋_GB2312"/>
          <w:sz w:val="30"/>
          <w:szCs w:val="30"/>
        </w:rPr>
      </w:pP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城乡社区管理事务</w:t>
      </w:r>
      <w:r>
        <w:rPr>
          <w:rFonts w:hint="eastAsia" w:ascii="仿宋_GB2312" w:eastAsia="仿宋_GB2312"/>
          <w:sz w:val="30"/>
          <w:szCs w:val="30"/>
        </w:rPr>
        <w:t>”2017年度决算 269.35万元，比2017年年初预算增加269.35万元，增长100%，主要原因：新追加专项经费；</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城乡社区规划与管理</w:t>
      </w:r>
      <w:r>
        <w:rPr>
          <w:rFonts w:hint="eastAsia" w:ascii="仿宋_GB2312" w:eastAsia="仿宋_GB2312"/>
          <w:sz w:val="30"/>
          <w:szCs w:val="30"/>
        </w:rPr>
        <w:t>”2017年度决算40.00万元，比2017年年初预算增加40.00万元，增长100%，主要原因：往年专项结余支出；</w:t>
      </w:r>
    </w:p>
    <w:p>
      <w:pPr>
        <w:autoSpaceDE w:val="0"/>
        <w:autoSpaceDN w:val="0"/>
        <w:adjustRightInd w:val="0"/>
        <w:spacing w:line="560" w:lineRule="exact"/>
        <w:ind w:firstLine="450" w:firstLineChars="150"/>
        <w:rPr>
          <w:rFonts w:ascii="仿宋_GB2312" w:eastAsia="仿宋_GB2312"/>
          <w:sz w:val="30"/>
          <w:szCs w:val="30"/>
        </w:rPr>
      </w:pPr>
      <w:r>
        <w:rPr>
          <w:rFonts w:hint="eastAsia" w:ascii="仿宋_GB2312" w:eastAsia="仿宋_GB2312"/>
          <w:sz w:val="30"/>
          <w:szCs w:val="30"/>
        </w:rPr>
        <w:t xml:space="preserve"> “</w:t>
      </w:r>
      <w:r>
        <w:rPr>
          <w:rFonts w:hint="eastAsia" w:ascii="仿宋_GB2312" w:eastAsia="仿宋_GB2312"/>
          <w:b/>
          <w:bCs/>
          <w:sz w:val="30"/>
          <w:szCs w:val="30"/>
        </w:rPr>
        <w:t xml:space="preserve"> 城乡社区环境卫生</w:t>
      </w:r>
      <w:r>
        <w:rPr>
          <w:rFonts w:hint="eastAsia" w:ascii="仿宋_GB2312" w:eastAsia="仿宋_GB2312"/>
          <w:sz w:val="30"/>
          <w:szCs w:val="30"/>
        </w:rPr>
        <w:t>”2017年度决算171.57万元，比2017年年初预算减少15.78万元，下降8.42%，主要原因：专项工程预算价格与最终评审价格有出入；</w:t>
      </w:r>
    </w:p>
    <w:p>
      <w:pPr>
        <w:autoSpaceDE w:val="0"/>
        <w:autoSpaceDN w:val="0"/>
        <w:adjustRightInd w:val="0"/>
        <w:spacing w:line="560" w:lineRule="exact"/>
        <w:ind w:firstLine="450" w:firstLineChars="15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其他城乡社区支出</w:t>
      </w:r>
      <w:r>
        <w:rPr>
          <w:rFonts w:hint="eastAsia" w:ascii="仿宋_GB2312" w:eastAsia="仿宋_GB2312"/>
          <w:sz w:val="30"/>
          <w:szCs w:val="30"/>
        </w:rPr>
        <w:t>”2017年度决算940.22万元，比2017年年初预算增加220.22万元，增长30.59%，主要原因：追加疏解整治等专项资金。</w:t>
      </w:r>
    </w:p>
    <w:p>
      <w:pPr>
        <w:autoSpaceDE w:val="0"/>
        <w:autoSpaceDN w:val="0"/>
        <w:adjustRightInd w:val="0"/>
        <w:spacing w:line="560" w:lineRule="exact"/>
        <w:ind w:firstLine="450" w:firstLineChars="150"/>
        <w:rPr>
          <w:rFonts w:ascii="仿宋_GB2312" w:eastAsia="仿宋_GB2312"/>
          <w:sz w:val="30"/>
          <w:szCs w:val="30"/>
        </w:rPr>
      </w:pP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7、“农林水支出”2017年度决算142.03万元，比2017年年初预算增加142.03万元，增长100%。其中</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农业</w:t>
      </w:r>
      <w:r>
        <w:rPr>
          <w:rFonts w:hint="eastAsia" w:ascii="仿宋_GB2312" w:eastAsia="仿宋_GB2312"/>
          <w:sz w:val="30"/>
          <w:szCs w:val="30"/>
        </w:rPr>
        <w:t>”2017年度决算1.93万元，比2017年年初预算增加1.93万元，增长100%，主要原因：用上年专项结余资金支出。</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农村综合改革</w:t>
      </w:r>
      <w:r>
        <w:rPr>
          <w:rFonts w:hint="eastAsia" w:ascii="仿宋_GB2312" w:eastAsia="仿宋_GB2312"/>
          <w:sz w:val="30"/>
          <w:szCs w:val="30"/>
        </w:rPr>
        <w:t>”2017年度决算140.10万元，比2017年年初预算增加140.10万元，增长100%，主要原因：用上年专项结余资金支出。</w:t>
      </w:r>
    </w:p>
    <w:p>
      <w:pPr>
        <w:autoSpaceDE w:val="0"/>
        <w:autoSpaceDN w:val="0"/>
        <w:adjustRightInd w:val="0"/>
        <w:spacing w:line="560" w:lineRule="exact"/>
        <w:ind w:firstLine="600" w:firstLineChars="200"/>
        <w:rPr>
          <w:rFonts w:ascii="仿宋_GB2312" w:eastAsia="仿宋_GB2312"/>
          <w:sz w:val="30"/>
          <w:szCs w:val="30"/>
        </w:rPr>
      </w:pP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8、“交通运输支出”2017年度决算15.22万元，比2017年年初预算增加15.22万元，增长100%。其中</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铁路运输</w:t>
      </w:r>
      <w:r>
        <w:rPr>
          <w:rFonts w:hint="eastAsia" w:ascii="仿宋_GB2312" w:eastAsia="仿宋_GB2312"/>
          <w:sz w:val="30"/>
          <w:szCs w:val="30"/>
        </w:rPr>
        <w:t>”2017年度决算15.22万元，比2017年年初预算增加15.22万元，增长100%，主要原因：新追加专项经费。</w:t>
      </w:r>
    </w:p>
    <w:p>
      <w:pPr>
        <w:autoSpaceDE w:val="0"/>
        <w:autoSpaceDN w:val="0"/>
        <w:adjustRightInd w:val="0"/>
        <w:spacing w:line="560" w:lineRule="exact"/>
        <w:ind w:firstLine="600" w:firstLineChars="200"/>
        <w:rPr>
          <w:rFonts w:ascii="仿宋_GB2312" w:eastAsia="仿宋_GB2312"/>
          <w:sz w:val="30"/>
          <w:szCs w:val="30"/>
        </w:rPr>
      </w:pP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9、“商业服务等支出”2017年度决算1.00万元，比2017年年初预算增加1.00万元，增长100%。 其中：</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旅游业管理与服务支出</w:t>
      </w:r>
      <w:r>
        <w:rPr>
          <w:rFonts w:hint="eastAsia" w:ascii="仿宋_GB2312" w:eastAsia="仿宋_GB2312"/>
          <w:sz w:val="30"/>
          <w:szCs w:val="30"/>
        </w:rPr>
        <w:t>”2017年度决算1.00万元，比2017年年初预算增加 1.00万元，增长 100%，主要原因：新追加专项经费。</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10、“国土海洋气象等支出”2017年度决算2.24万元，比2017年年初预算增加1.40万元，增长166.67%。其中：</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b/>
          <w:bCs/>
          <w:sz w:val="30"/>
          <w:szCs w:val="30"/>
        </w:rPr>
        <w:t xml:space="preserve">地质灾害防治 </w:t>
      </w:r>
      <w:r>
        <w:rPr>
          <w:rFonts w:hint="eastAsia" w:ascii="仿宋_GB2312" w:eastAsia="仿宋_GB2312"/>
          <w:sz w:val="30"/>
          <w:szCs w:val="30"/>
        </w:rPr>
        <w:t>” 2017年度决算2.24万元，比2017年年初预算增长1.40万元，增长166.67%，主要原因：人员标准提高，追加相关资金。</w:t>
      </w:r>
    </w:p>
    <w:p>
      <w:pPr>
        <w:spacing w:line="560" w:lineRule="exact"/>
        <w:ind w:firstLine="640" w:firstLineChars="200"/>
        <w:rPr>
          <w:rFonts w:ascii="仿宋_GB2312" w:eastAsia="仿宋_GB2312"/>
          <w:sz w:val="30"/>
          <w:szCs w:val="30"/>
        </w:rPr>
      </w:pPr>
      <w:r>
        <w:rPr>
          <w:rFonts w:hint="eastAsia" w:ascii="仿宋_GB2312" w:eastAsia="仿宋_GB2312"/>
          <w:sz w:val="32"/>
          <w:szCs w:val="32"/>
        </w:rPr>
        <w:t>11、对年度安排项目资金量80%以上包括全部重点工程、为民办实事的项目进行简要说明 。</w:t>
      </w:r>
    </w:p>
    <w:p>
      <w:pPr>
        <w:numPr>
          <w:ilvl w:val="0"/>
          <w:numId w:val="3"/>
        </w:numPr>
        <w:tabs>
          <w:tab w:val="center" w:pos="6979"/>
        </w:tabs>
        <w:spacing w:line="560" w:lineRule="exact"/>
        <w:rPr>
          <w:rFonts w:ascii="仿宋_GB2312" w:eastAsia="仿宋_GB2312"/>
          <w:sz w:val="30"/>
          <w:szCs w:val="30"/>
        </w:rPr>
      </w:pPr>
      <w:r>
        <w:rPr>
          <w:rFonts w:hint="eastAsia" w:ascii="仿宋_GB2312" w:eastAsia="仿宋_GB2312"/>
          <w:sz w:val="30"/>
          <w:szCs w:val="30"/>
        </w:rPr>
        <w:t>“综治维稳经费”2017年度决算支出18.42万元，用于支付日常及重点时期地区综治维稳相关支出。</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（2）“城乡基层党组织服务群众经费”2017年度决算支出 180.00万元，用于各社区基层党组织为辖区内居民提供服务及组织相关活动等支出。</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（3）“公益性就业组织补贴资金”2017年度决算支出232.58万元，用于支付区级负担的公益性就业人员费用及补贴。</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（4）“千军台社区用房规范化工程”2017年度决算支出135.64万元，用于新建千军台社区办公用房。</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（5）“大台社区用房规范化工程”2017年度决算支出133.72万元，用于新建大台社区办公用房。</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（6）“疏解整治促提升专项行动资金”2017年度决算支出 100.00万元，用于桃园社区、玉皇庙社区、大台社区等违建拆除及标准化街改造等相关支出。</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（7）“千军台传统村落保护农村综合改革项目”2017年度决算支出140.10万元，用于千军台社区上下水改造及配套工程。</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（8）“微型消防站项目”2017年度决算支出 52.25万元，用于微型消防站改造工程。</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（9）“大台街道总体规划研究费用”2017年度决算支出 40.00万元，用于支付大台街道总体规划费用。</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（10）“城乡社区环境整治”2017年度决算支出54.16万元，用于支付环境整治相关工程款。</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（11）“2015年国传统村落补助资金”2017年度决算支出112.32万元，用于千军台社区上下水改造及配套工程。</w:t>
      </w:r>
    </w:p>
    <w:p>
      <w:pPr>
        <w:tabs>
          <w:tab w:val="center" w:pos="6979"/>
        </w:tabs>
        <w:spacing w:line="560" w:lineRule="exact"/>
        <w:rPr>
          <w:rFonts w:ascii="仿宋_GB2312" w:eastAsia="仿宋_GB2312"/>
          <w:sz w:val="30"/>
          <w:szCs w:val="30"/>
        </w:rPr>
      </w:pPr>
      <w:r>
        <w:rPr>
          <w:rFonts w:hint="eastAsia" w:ascii="仿宋_GB2312" w:eastAsia="仿宋_GB2312"/>
          <w:sz w:val="32"/>
          <w:szCs w:val="32"/>
        </w:rPr>
        <w:t xml:space="preserve">  </w:t>
      </w:r>
      <w:r>
        <w:rPr>
          <w:rFonts w:hint="eastAsia" w:ascii="仿宋_GB2312" w:eastAsia="仿宋_GB2312"/>
          <w:sz w:val="30"/>
          <w:szCs w:val="30"/>
        </w:rPr>
        <w:t>（12）“疏解整治促提升环境综合整治构建和谐社区”专项资金”2017年度决算支出186.69万元，用于辖区内违建拆除，留白增绿等相关工作。</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（13）“社区公益事业专项资金”2017年度决算支出72.00万元，用于各社区举办公益活动及维护公益性设施等支出。</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（14）“社区办公经费”2017年度决算支出22.65万元，用于各社区日常办公支出。</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（15）“2016年镇街本级结余资金”2017年度决算支出110.36万元，按照原资金用途用于相关各方面支出。</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（16）“公益性组织人员管理费”2017年度决算支出 12.20万元，用于公益性管理人员的工资及办公费用。</w:t>
      </w:r>
    </w:p>
    <w:p>
      <w:pPr>
        <w:tabs>
          <w:tab w:val="center" w:pos="6979"/>
        </w:tabs>
        <w:spacing w:line="560" w:lineRule="exact"/>
        <w:rPr>
          <w:rFonts w:ascii="仿宋_GB2312" w:eastAsia="仿宋_GB2312"/>
          <w:sz w:val="30"/>
          <w:szCs w:val="30"/>
        </w:rPr>
      </w:pPr>
      <w:r>
        <w:rPr>
          <w:rFonts w:hint="eastAsia" w:ascii="仿宋_GB2312" w:eastAsia="仿宋_GB2312"/>
          <w:sz w:val="30"/>
          <w:szCs w:val="30"/>
        </w:rPr>
        <w:t xml:space="preserve">  （17）“减煤换煤项目”2017年度决算支出15.00万元，用于地区型煤运营网点补助。</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（18）“打非工作经费”2017年度决算支出26.05万元，用于地区打击非法盗采工作的人员车辆及相关工程支出。</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（19）“黄土台社区2017年修缮工程”2017年度决算支出39.23万元，用于黄土台地区基础设施修缮。</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（20）“桃园社区2017年修缮工程”2017年度决算支出34.65万元，用于桃园地区基础设施修缮。</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（21）“垃圾清运费”2017年度决算支出17.56万元，用于大台地区垃圾清运工作支出。</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（22）“双红社区2017年修缮工程”2017年度决算支出31.01万元，用于双红地区基础设施修缮。</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（23）“千军台社区2017年修缮工程”2017年度决算支出29.41万元，用于千军台地区基础设施修缮。</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（24）“桃园社区菜台停车场修缮工程”2017年度决算支出27.31万元，用于桃园菜台停车场修缮工程支出。</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（25）“幸福加油站-立德社工项目”2017年度决算支出43.32万元，用于聘请社会专业社区工作组织，培育大台特色社区服务文化。</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（26）“玉皇庙社区2017年修缮工程”2017年度决算支出29.48万元，用于玉皇庙地区基础设施修缮。</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（27）“翻建千军台社区老年活动中心”2017年度决算支出39.73万元，用于翻建千军台社区老年活动中心工程。</w:t>
      </w:r>
    </w:p>
    <w:p>
      <w:pPr>
        <w:tabs>
          <w:tab w:val="center" w:pos="6979"/>
        </w:tabs>
        <w:spacing w:line="560" w:lineRule="exact"/>
        <w:ind w:firstLine="300" w:firstLineChars="100"/>
        <w:rPr>
          <w:rFonts w:ascii="仿宋_GB2312" w:eastAsia="仿宋_GB2312"/>
          <w:sz w:val="30"/>
          <w:szCs w:val="30"/>
        </w:rPr>
      </w:pPr>
      <w:r>
        <w:rPr>
          <w:rFonts w:hint="eastAsia" w:ascii="仿宋_GB2312" w:eastAsia="仿宋_GB2312"/>
          <w:sz w:val="30"/>
          <w:szCs w:val="30"/>
        </w:rPr>
        <w:t>（28）“防火防汛工作经费”2017年度决算支出28.00万元，用于辖区内防火防汛相关工作。</w:t>
      </w:r>
    </w:p>
    <w:p>
      <w:pPr>
        <w:tabs>
          <w:tab w:val="center" w:pos="6979"/>
        </w:tabs>
        <w:spacing w:line="560" w:lineRule="exact"/>
        <w:ind w:firstLine="570"/>
        <w:rPr>
          <w:rFonts w:ascii="宋体" w:hAnsi="宋体"/>
          <w:b/>
          <w:sz w:val="32"/>
          <w:szCs w:val="32"/>
        </w:rPr>
      </w:pPr>
    </w:p>
    <w:p>
      <w:pPr>
        <w:tabs>
          <w:tab w:val="center" w:pos="6979"/>
        </w:tabs>
        <w:spacing w:line="560" w:lineRule="exact"/>
        <w:ind w:firstLine="570"/>
        <w:rPr>
          <w:rFonts w:hint="eastAsia" w:ascii="黑体" w:hAnsi="黑体" w:eastAsia="黑体"/>
          <w:sz w:val="32"/>
          <w:szCs w:val="32"/>
        </w:rPr>
      </w:pPr>
      <w:r>
        <w:rPr>
          <w:rFonts w:hint="eastAsia" w:ascii="黑体" w:hAnsi="黑体" w:eastAsia="黑体"/>
          <w:sz w:val="32"/>
          <w:szCs w:val="32"/>
        </w:rPr>
        <w:t>四、201</w:t>
      </w:r>
      <w:r>
        <w:rPr>
          <w:rFonts w:ascii="黑体" w:hAnsi="黑体" w:eastAsia="黑体"/>
          <w:sz w:val="32"/>
          <w:szCs w:val="32"/>
        </w:rPr>
        <w:t>7</w:t>
      </w:r>
      <w:r>
        <w:rPr>
          <w:rFonts w:hint="eastAsia" w:ascii="黑体" w:hAnsi="黑体" w:eastAsia="黑体"/>
          <w:sz w:val="32"/>
          <w:szCs w:val="32"/>
        </w:rPr>
        <w:t>年度政府性基金预算财政拨款支出决算情况</w:t>
      </w:r>
    </w:p>
    <w:p>
      <w:pPr>
        <w:autoSpaceDE w:val="0"/>
        <w:autoSpaceDN w:val="0"/>
        <w:adjustRightInd w:val="0"/>
        <w:spacing w:line="560" w:lineRule="exact"/>
        <w:ind w:firstLine="640" w:firstLineChars="200"/>
        <w:rPr>
          <w:rFonts w:hint="eastAsia" w:ascii="华文楷体" w:hAnsi="华文楷体" w:eastAsia="华文楷体"/>
          <w:sz w:val="32"/>
          <w:szCs w:val="32"/>
        </w:rPr>
      </w:pPr>
      <w:r>
        <w:rPr>
          <w:rFonts w:hint="eastAsia" w:ascii="华文楷体" w:hAnsi="华文楷体" w:eastAsia="华文楷体"/>
          <w:sz w:val="32"/>
          <w:szCs w:val="32"/>
        </w:rPr>
        <w:t>（一）政府性基金预算财政拨款支出决算总体情况</w:t>
      </w:r>
    </w:p>
    <w:p>
      <w:pPr>
        <w:tabs>
          <w:tab w:val="center" w:pos="6979"/>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w:t>
      </w:r>
      <w:r>
        <w:rPr>
          <w:rFonts w:ascii="仿宋_GB2312" w:eastAsia="仿宋_GB2312"/>
          <w:sz w:val="32"/>
          <w:szCs w:val="32"/>
        </w:rPr>
        <w:t>7</w:t>
      </w:r>
      <w:r>
        <w:rPr>
          <w:rFonts w:hint="eastAsia" w:ascii="仿宋_GB2312" w:eastAsia="仿宋_GB2312"/>
          <w:sz w:val="32"/>
          <w:szCs w:val="32"/>
        </w:rPr>
        <w:t>年度政府性基金预算财政拨款支出  0 万元，主要用于以下方面（按大类）：</w:t>
      </w:r>
    </w:p>
    <w:p>
      <w:pPr>
        <w:autoSpaceDE w:val="0"/>
        <w:autoSpaceDN w:val="0"/>
        <w:adjustRightInd w:val="0"/>
        <w:spacing w:line="560" w:lineRule="exact"/>
        <w:ind w:firstLine="1500" w:firstLineChars="500"/>
        <w:rPr>
          <w:rFonts w:hint="eastAsia" w:ascii="仿宋" w:hAnsi="仿宋" w:eastAsia="仿宋" w:cs="仿宋"/>
          <w:sz w:val="30"/>
          <w:szCs w:val="30"/>
        </w:rPr>
      </w:pPr>
      <w:r>
        <w:rPr>
          <w:rFonts w:hint="eastAsia" w:ascii="仿宋" w:hAnsi="仿宋" w:eastAsia="仿宋" w:cs="仿宋"/>
          <w:sz w:val="30"/>
          <w:szCs w:val="30"/>
        </w:rPr>
        <w:t>无此项支出。</w:t>
      </w:r>
    </w:p>
    <w:p>
      <w:pPr>
        <w:autoSpaceDE w:val="0"/>
        <w:autoSpaceDN w:val="0"/>
        <w:adjustRightInd w:val="0"/>
        <w:spacing w:line="560" w:lineRule="exact"/>
        <w:ind w:firstLine="640" w:firstLineChars="200"/>
        <w:rPr>
          <w:rFonts w:hint="eastAsia" w:ascii="华文楷体" w:hAnsi="华文楷体" w:eastAsia="华文楷体"/>
          <w:sz w:val="32"/>
          <w:szCs w:val="32"/>
        </w:rPr>
      </w:pPr>
      <w:r>
        <w:rPr>
          <w:rFonts w:hint="eastAsia" w:ascii="华文楷体" w:hAnsi="华文楷体" w:eastAsia="华文楷体"/>
          <w:sz w:val="32"/>
          <w:szCs w:val="32"/>
        </w:rPr>
        <w:t>（二）政府性基金预算财政拨款支出决算具体情况</w:t>
      </w:r>
    </w:p>
    <w:p>
      <w:pPr>
        <w:autoSpaceDE w:val="0"/>
        <w:autoSpaceDN w:val="0"/>
        <w:adjustRightInd w:val="0"/>
        <w:spacing w:line="560" w:lineRule="exact"/>
        <w:ind w:firstLine="1500" w:firstLineChars="500"/>
        <w:rPr>
          <w:rFonts w:hint="eastAsia" w:ascii="仿宋" w:hAnsi="仿宋" w:eastAsia="仿宋" w:cs="仿宋"/>
          <w:sz w:val="30"/>
          <w:szCs w:val="30"/>
        </w:rPr>
      </w:pPr>
      <w:r>
        <w:rPr>
          <w:rFonts w:hint="eastAsia" w:ascii="仿宋" w:hAnsi="仿宋" w:eastAsia="仿宋" w:cs="仿宋"/>
          <w:sz w:val="30"/>
          <w:szCs w:val="30"/>
        </w:rPr>
        <w:t>无此项支出。</w:t>
      </w:r>
    </w:p>
    <w:p>
      <w:pPr>
        <w:tabs>
          <w:tab w:val="center" w:pos="6979"/>
        </w:tabs>
        <w:spacing w:line="560" w:lineRule="exact"/>
        <w:ind w:firstLine="627" w:firstLineChars="196"/>
        <w:rPr>
          <w:rFonts w:hint="eastAsia" w:ascii="仿宋_GB2312" w:eastAsia="仿宋_GB2312"/>
          <w:sz w:val="32"/>
          <w:szCs w:val="32"/>
        </w:rPr>
      </w:pPr>
    </w:p>
    <w:p>
      <w:pPr>
        <w:tabs>
          <w:tab w:val="center" w:pos="6979"/>
        </w:tabs>
        <w:spacing w:line="560" w:lineRule="exact"/>
        <w:ind w:firstLine="570"/>
        <w:rPr>
          <w:rFonts w:ascii="黑体" w:hAnsi="黑体" w:eastAsia="黑体"/>
          <w:sz w:val="32"/>
          <w:szCs w:val="32"/>
        </w:rPr>
      </w:pPr>
      <w:r>
        <w:rPr>
          <w:rFonts w:hint="eastAsia" w:ascii="黑体" w:hAnsi="黑体" w:eastAsia="黑体"/>
          <w:sz w:val="32"/>
          <w:szCs w:val="32"/>
        </w:rPr>
        <w:t>五、2017年度财政拨款基本支出经济分类决算情况</w:t>
      </w:r>
    </w:p>
    <w:p>
      <w:pPr>
        <w:autoSpaceDE w:val="0"/>
        <w:autoSpaceDN w:val="0"/>
        <w:adjustRightInd w:val="0"/>
        <w:spacing w:line="560" w:lineRule="exact"/>
        <w:ind w:firstLine="640" w:firstLineChars="200"/>
        <w:rPr>
          <w:rFonts w:ascii="仿宋_GB2312" w:eastAsia="仿宋_GB2312"/>
          <w:sz w:val="30"/>
          <w:szCs w:val="30"/>
        </w:rPr>
      </w:pPr>
      <w:r>
        <w:rPr>
          <w:rFonts w:hint="eastAsia" w:ascii="仿宋_GB2312" w:eastAsia="仿宋_GB2312"/>
          <w:sz w:val="32"/>
          <w:szCs w:val="32"/>
        </w:rPr>
        <w:t>（一）</w:t>
      </w:r>
      <w:r>
        <w:rPr>
          <w:rFonts w:hint="eastAsia" w:ascii="仿宋_GB2312" w:eastAsia="仿宋_GB2312"/>
          <w:sz w:val="30"/>
          <w:szCs w:val="30"/>
        </w:rPr>
        <w:t>2017年本部门使用财政拨款安排基本支出1456.90万元，年初预算1449.05万元，增加7.85万元，主要增加原因：新增物业服务。其中：</w:t>
      </w:r>
    </w:p>
    <w:p>
      <w:pPr>
        <w:autoSpaceDE w:val="0"/>
        <w:autoSpaceDN w:val="0"/>
        <w:adjustRightInd w:val="0"/>
        <w:spacing w:line="560" w:lineRule="exact"/>
        <w:ind w:firstLine="600" w:firstLineChars="200"/>
        <w:rPr>
          <w:rFonts w:ascii="仿宋_GB2312" w:eastAsia="仿宋_GB2312"/>
          <w:sz w:val="30"/>
          <w:szCs w:val="30"/>
          <w:highlight w:val="yellow"/>
        </w:rPr>
      </w:pPr>
      <w:r>
        <w:rPr>
          <w:rFonts w:hint="eastAsia" w:ascii="仿宋_GB2312" w:eastAsia="仿宋_GB2312"/>
          <w:sz w:val="30"/>
          <w:szCs w:val="30"/>
        </w:rPr>
        <w:t>工资福利支出包括津贴补贴、奖金、其他社会保障缴费、伙食补助费、绩效工资、其他工资福利等支出1097.32万元，年初预算1318.64万元，减少221.32元，主要增加原因：在2017年度中人员变动较大。</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支出等223.19万元，年初预算96.23万元，增加126.96万元，主要增加原因 ：用以前年度结余列支部分商品与服务支出。 </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对个人和家庭补助支出包括离休费、退休费、抚恤金、生活补助、医疗费、助学金、奖励金、住房公积金、提租补贴、购房补贴、其他对个人和家庭的补助等支出136.39万元，年初预算 34.18万元，增加102.21万元，主要增加原因 ：在职人员及其他人员公积金调整。</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其他资本性支出包括办公设备购置、专用设备购置等 0万元，年初预算  0 万元，增加 0 万元，主要增加原因：无增减变化。</w:t>
      </w:r>
    </w:p>
    <w:p>
      <w:pPr>
        <w:tabs>
          <w:tab w:val="center" w:pos="6979"/>
        </w:tabs>
        <w:spacing w:line="560" w:lineRule="exact"/>
        <w:ind w:firstLine="570"/>
        <w:rPr>
          <w:rFonts w:hint="eastAsia" w:ascii="仿宋_GB2312" w:eastAsia="仿宋_GB2312"/>
          <w:sz w:val="32"/>
          <w:szCs w:val="32"/>
        </w:rPr>
      </w:pPr>
      <w:r>
        <w:rPr>
          <w:rFonts w:hint="eastAsia" w:ascii="仿宋_GB2312" w:eastAsia="仿宋_GB2312"/>
          <w:sz w:val="32"/>
          <w:szCs w:val="32"/>
        </w:rPr>
        <w:t>（二）2017年本部门使用政府性基金财政拨款安排基本支出0万元，比2017年</w:t>
      </w:r>
      <w:r>
        <w:rPr>
          <w:rFonts w:ascii="仿宋_GB2312" w:eastAsia="仿宋_GB2312"/>
          <w:sz w:val="32"/>
          <w:szCs w:val="32"/>
        </w:rPr>
        <w:t>年初预算</w:t>
      </w:r>
      <w:r>
        <w:rPr>
          <w:rFonts w:hint="eastAsia" w:ascii="仿宋_GB2312" w:eastAsia="仿宋_GB2312"/>
          <w:sz w:val="32"/>
          <w:szCs w:val="32"/>
        </w:rPr>
        <w:t>增加（减少） 0  万元。</w:t>
      </w:r>
    </w:p>
    <w:p>
      <w:pPr>
        <w:autoSpaceDE w:val="0"/>
        <w:autoSpaceDN w:val="0"/>
        <w:adjustRightInd w:val="0"/>
        <w:spacing w:line="560" w:lineRule="exact"/>
        <w:ind w:firstLine="640" w:firstLineChars="200"/>
        <w:rPr>
          <w:rFonts w:hint="eastAsia" w:ascii="仿宋_GB2312" w:eastAsia="仿宋_GB2312"/>
          <w:sz w:val="32"/>
          <w:szCs w:val="32"/>
        </w:rPr>
      </w:pPr>
    </w:p>
    <w:p>
      <w:pPr>
        <w:tabs>
          <w:tab w:val="center" w:pos="6979"/>
        </w:tabs>
        <w:spacing w:line="560" w:lineRule="exact"/>
        <w:jc w:val="center"/>
        <w:rPr>
          <w:rFonts w:ascii="华文中宋" w:hAnsi="华文中宋" w:eastAsia="华文中宋"/>
          <w:sz w:val="36"/>
          <w:szCs w:val="36"/>
        </w:rPr>
      </w:pPr>
      <w:r>
        <w:rPr>
          <w:rFonts w:hint="eastAsia" w:ascii="华文中宋" w:hAnsi="华文中宋" w:eastAsia="华文中宋"/>
          <w:sz w:val="36"/>
          <w:szCs w:val="36"/>
        </w:rPr>
        <w:t>第二部分 2017年度</w:t>
      </w:r>
      <w:r>
        <w:rPr>
          <w:rFonts w:ascii="华文中宋" w:hAnsi="华文中宋" w:eastAsia="华文中宋"/>
          <w:sz w:val="36"/>
          <w:szCs w:val="36"/>
        </w:rPr>
        <w:t>其他重要事项</w:t>
      </w:r>
      <w:r>
        <w:rPr>
          <w:rFonts w:hint="eastAsia" w:ascii="华文中宋" w:hAnsi="华文中宋" w:eastAsia="华文中宋"/>
          <w:sz w:val="36"/>
          <w:szCs w:val="36"/>
        </w:rPr>
        <w:t>的</w:t>
      </w:r>
      <w:r>
        <w:rPr>
          <w:rFonts w:ascii="华文中宋" w:hAnsi="华文中宋" w:eastAsia="华文中宋"/>
          <w:sz w:val="36"/>
          <w:szCs w:val="36"/>
        </w:rPr>
        <w:t>情况说明</w:t>
      </w:r>
    </w:p>
    <w:p>
      <w:pPr>
        <w:spacing w:line="560" w:lineRule="exact"/>
        <w:ind w:left="540"/>
        <w:rPr>
          <w:rFonts w:hint="eastAsia" w:ascii="宋体" w:hAnsi="宋体"/>
          <w:b/>
          <w:sz w:val="32"/>
          <w:szCs w:val="32"/>
        </w:rPr>
      </w:pPr>
    </w:p>
    <w:p>
      <w:pPr>
        <w:spacing w:line="560" w:lineRule="exact"/>
        <w:ind w:left="540"/>
        <w:rPr>
          <w:rFonts w:hint="eastAsia" w:ascii="黑体" w:hAnsi="黑体" w:eastAsia="黑体"/>
          <w:sz w:val="32"/>
          <w:szCs w:val="32"/>
        </w:rPr>
      </w:pPr>
      <w:r>
        <w:rPr>
          <w:rFonts w:hint="eastAsia" w:ascii="黑体" w:hAnsi="黑体" w:eastAsia="黑体"/>
          <w:sz w:val="32"/>
          <w:szCs w:val="32"/>
        </w:rPr>
        <w:t>一、一般公共预算“三公”经费财政拨款支出情况</w:t>
      </w:r>
    </w:p>
    <w:p>
      <w:pPr>
        <w:autoSpaceDE w:val="0"/>
        <w:autoSpaceDN w:val="0"/>
        <w:adjustRightInd w:val="0"/>
        <w:spacing w:line="560" w:lineRule="exact"/>
        <w:ind w:firstLine="640" w:firstLineChars="200"/>
        <w:rPr>
          <w:rFonts w:hint="eastAsia" w:ascii="华文楷体" w:hAnsi="华文楷体" w:eastAsia="华文楷体"/>
          <w:sz w:val="32"/>
          <w:szCs w:val="32"/>
        </w:rPr>
      </w:pPr>
      <w:r>
        <w:rPr>
          <w:rFonts w:hint="eastAsia" w:ascii="华文楷体" w:hAnsi="华文楷体" w:eastAsia="华文楷体"/>
          <w:sz w:val="32"/>
          <w:szCs w:val="32"/>
        </w:rPr>
        <w:t>（一）“三公”经费的单位范围</w:t>
      </w:r>
    </w:p>
    <w:p>
      <w:pPr>
        <w:autoSpaceDE w:val="0"/>
        <w:autoSpaceDN w:val="0"/>
        <w:adjustRightIn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北京市门头沟区人民政府大台街道办事处部门“三公”经费预算支出单位包括所属1家行政单位、1</w:t>
      </w:r>
      <w:r>
        <w:rPr>
          <w:rFonts w:hint="eastAsia" w:ascii="仿宋_GB2312" w:eastAsia="仿宋_GB2312"/>
          <w:bCs/>
          <w:sz w:val="32"/>
          <w:szCs w:val="32"/>
        </w:rPr>
        <w:t>家</w:t>
      </w:r>
      <w:r>
        <w:rPr>
          <w:rFonts w:hint="eastAsia" w:ascii="仿宋_GB2312" w:eastAsia="仿宋_GB2312"/>
          <w:sz w:val="32"/>
          <w:szCs w:val="32"/>
        </w:rPr>
        <w:t>财政补助事业单位。</w:t>
      </w:r>
    </w:p>
    <w:p>
      <w:pPr>
        <w:autoSpaceDE w:val="0"/>
        <w:autoSpaceDN w:val="0"/>
        <w:adjustRightInd w:val="0"/>
        <w:spacing w:line="560" w:lineRule="exact"/>
        <w:ind w:firstLine="640" w:firstLineChars="200"/>
        <w:rPr>
          <w:rFonts w:hint="eastAsia" w:ascii="华文楷体" w:hAnsi="华文楷体" w:eastAsia="华文楷体"/>
          <w:sz w:val="32"/>
          <w:szCs w:val="32"/>
        </w:rPr>
      </w:pPr>
      <w:r>
        <w:rPr>
          <w:rFonts w:hint="eastAsia" w:ascii="华文楷体" w:hAnsi="华文楷体" w:eastAsia="华文楷体"/>
          <w:sz w:val="32"/>
          <w:szCs w:val="32"/>
        </w:rPr>
        <w:t>（二）“三公”经费财政拨款决算情况说明</w:t>
      </w:r>
    </w:p>
    <w:p>
      <w:pPr>
        <w:autoSpaceDE w:val="0"/>
        <w:autoSpaceDN w:val="0"/>
        <w:adjustRightInd w:val="0"/>
        <w:spacing w:line="560" w:lineRule="exact"/>
        <w:ind w:firstLine="600" w:firstLineChars="200"/>
        <w:rPr>
          <w:rFonts w:ascii="仿宋_GB2312" w:eastAsia="仿宋_GB2312"/>
          <w:sz w:val="30"/>
          <w:szCs w:val="30"/>
        </w:rPr>
      </w:pPr>
      <w:r>
        <w:rPr>
          <w:rFonts w:hint="eastAsia" w:ascii="仿宋_GB2312" w:eastAsia="仿宋_GB2312"/>
          <w:sz w:val="30"/>
          <w:szCs w:val="30"/>
        </w:rPr>
        <w:t>2017年“三公”经费财政拨款决算数17.99 万元，比2017年“三公”经费财政拨款年初预算16.37万元，增加1.62万元。其中：</w:t>
      </w:r>
    </w:p>
    <w:p>
      <w:pPr>
        <w:spacing w:line="560" w:lineRule="exact"/>
        <w:ind w:firstLine="600"/>
        <w:rPr>
          <w:rFonts w:hint="eastAsia" w:ascii="仿宋_GB2312" w:eastAsia="仿宋_GB2312"/>
          <w:b/>
          <w:sz w:val="32"/>
          <w:szCs w:val="32"/>
        </w:rPr>
      </w:pPr>
      <w:r>
        <w:rPr>
          <w:rFonts w:hint="eastAsia" w:ascii="仿宋_GB2312" w:eastAsia="仿宋_GB2312"/>
          <w:b/>
          <w:sz w:val="32"/>
          <w:szCs w:val="32"/>
        </w:rPr>
        <w:t>1.因公出国（境）费用</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2017年决算数4.80万元，比2017年年初预算数0万元，增加4.80 万元，主要增加原因：</w:t>
      </w:r>
      <w:r>
        <w:rPr>
          <w:rFonts w:hint="eastAsia" w:ascii="仿宋_GB2312" w:hAnsi="仿宋" w:eastAsia="仿宋_GB2312" w:cs="仿宋"/>
          <w:sz w:val="32"/>
          <w:szCs w:val="32"/>
        </w:rPr>
        <w:t>我单位主要领导按照区政府安排出国考察一次。</w:t>
      </w:r>
    </w:p>
    <w:p>
      <w:pPr>
        <w:spacing w:line="560" w:lineRule="exact"/>
        <w:ind w:firstLine="600"/>
        <w:rPr>
          <w:rFonts w:hint="eastAsia" w:ascii="仿宋_GB2312" w:eastAsia="仿宋_GB2312"/>
          <w:b/>
          <w:sz w:val="32"/>
          <w:szCs w:val="32"/>
        </w:rPr>
      </w:pPr>
      <w:r>
        <w:rPr>
          <w:rFonts w:hint="eastAsia" w:ascii="仿宋_GB2312" w:eastAsia="仿宋_GB2312"/>
          <w:b/>
          <w:sz w:val="32"/>
          <w:szCs w:val="32"/>
        </w:rPr>
        <w:t>2.公务接待费</w:t>
      </w:r>
    </w:p>
    <w:p>
      <w:pPr>
        <w:spacing w:line="560" w:lineRule="exact"/>
        <w:ind w:firstLine="600"/>
        <w:rPr>
          <w:rFonts w:hint="eastAsia" w:ascii="仿宋_GB2312" w:eastAsia="仿宋_GB2312"/>
          <w:sz w:val="30"/>
          <w:szCs w:val="30"/>
        </w:rPr>
      </w:pPr>
      <w:r>
        <w:rPr>
          <w:rFonts w:hint="eastAsia" w:ascii="仿宋_GB2312" w:eastAsia="仿宋_GB2312"/>
          <w:sz w:val="30"/>
          <w:szCs w:val="30"/>
        </w:rPr>
        <w:t>2017年决算数 0  万元，比2017年年初预算数3.18万元，减少3.18万元，主要减少原因：主要原因我单位没有发生公务接待事务。</w:t>
      </w:r>
    </w:p>
    <w:p>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3.公务用车购置及运行维护费</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2017年决算数13.19万元，比2017年年初预算数13.19万元，减少0 万元，与2017年年初预算一致。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其中：</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公务用车购置费2017年决算数  0 万元，比2017年年初预算数  0 万元，无增减变化。</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公务用车运行维护费2017年决算数13.19万元，比2017年年初预算数13.19万元，减少 0万元，与2017年年初预算一致。2017年公务用车保有量 4辆，车均运行维护费3.30万元。</w:t>
      </w:r>
    </w:p>
    <w:p>
      <w:pPr>
        <w:spacing w:line="560" w:lineRule="exact"/>
        <w:ind w:left="540"/>
        <w:rPr>
          <w:rFonts w:hint="eastAsia" w:ascii="黑体" w:hAnsi="黑体" w:eastAsia="黑体"/>
          <w:sz w:val="32"/>
          <w:szCs w:val="32"/>
        </w:rPr>
      </w:pPr>
      <w:r>
        <w:rPr>
          <w:rFonts w:hint="eastAsia" w:ascii="黑体" w:hAnsi="黑体" w:eastAsia="黑体"/>
          <w:sz w:val="32"/>
          <w:szCs w:val="32"/>
        </w:rPr>
        <w:t>二、机关运行经费支出情况</w:t>
      </w:r>
    </w:p>
    <w:p>
      <w:pPr>
        <w:spacing w:line="560" w:lineRule="exact"/>
        <w:ind w:left="160" w:leftChars="76" w:firstLine="450" w:firstLineChars="150"/>
        <w:rPr>
          <w:rFonts w:ascii="仿宋_GB2312" w:eastAsia="仿宋_GB2312"/>
          <w:sz w:val="30"/>
          <w:szCs w:val="30"/>
        </w:rPr>
      </w:pPr>
      <w:r>
        <w:rPr>
          <w:rFonts w:hint="eastAsia" w:ascii="仿宋_GB2312" w:eastAsia="仿宋_GB2312"/>
          <w:sz w:val="30"/>
          <w:szCs w:val="30"/>
        </w:rPr>
        <w:t>2017年本部门行政单位（含参照公务员法管理事业单位） 1家，使用一般公共预算财政拨款安排的基本支出中的日常公用经费支出合计223.19万元，比上年增加72.19万元，增加原因：</w:t>
      </w:r>
      <w:r>
        <w:rPr>
          <w:rFonts w:hint="eastAsia" w:ascii="仿宋_GB2312" w:hAnsi="宋体" w:eastAsia="仿宋_GB2312"/>
          <w:sz w:val="30"/>
          <w:szCs w:val="30"/>
        </w:rPr>
        <w:t>取暖费等经费标准调整以及新增物业服务因素等。</w:t>
      </w:r>
    </w:p>
    <w:p>
      <w:pPr>
        <w:spacing w:line="560" w:lineRule="exact"/>
        <w:ind w:left="540"/>
        <w:rPr>
          <w:rFonts w:hint="eastAsia" w:ascii="黑体" w:hAnsi="黑体" w:eastAsia="黑体"/>
          <w:sz w:val="32"/>
          <w:szCs w:val="32"/>
        </w:rPr>
      </w:pPr>
      <w:r>
        <w:rPr>
          <w:rFonts w:hint="eastAsia" w:ascii="黑体" w:hAnsi="黑体" w:eastAsia="黑体"/>
          <w:sz w:val="32"/>
          <w:szCs w:val="32"/>
        </w:rPr>
        <w:t>三、政府采购支出情况</w:t>
      </w:r>
    </w:p>
    <w:p>
      <w:pPr>
        <w:spacing w:line="560" w:lineRule="exact"/>
        <w:ind w:firstLine="576" w:firstLineChars="192"/>
        <w:rPr>
          <w:rFonts w:ascii="仿宋_GB2312" w:eastAsia="仿宋_GB2312"/>
          <w:sz w:val="30"/>
          <w:szCs w:val="30"/>
        </w:rPr>
      </w:pPr>
      <w:r>
        <w:rPr>
          <w:rFonts w:hint="eastAsia" w:ascii="仿宋_GB2312" w:eastAsia="仿宋_GB2312"/>
          <w:sz w:val="30"/>
          <w:szCs w:val="30"/>
        </w:rPr>
        <w:t>2017年大台街道办事处政府采购支出总额301.88万元，其中：政府采购货物支出12.84万元，政府采购工程支出264.95万元，政府采购服务支出24.08万元。</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授予中小企业合同金额</w:t>
      </w:r>
      <w:r>
        <w:rPr>
          <w:rFonts w:ascii="仿宋_GB2312" w:eastAsia="仿宋_GB2312"/>
          <w:sz w:val="32"/>
          <w:szCs w:val="32"/>
        </w:rPr>
        <w:t xml:space="preserve"> </w:t>
      </w:r>
      <w:r>
        <w:rPr>
          <w:rFonts w:hint="eastAsia" w:ascii="仿宋_GB2312" w:eastAsia="仿宋_GB2312"/>
          <w:sz w:val="32"/>
          <w:szCs w:val="32"/>
        </w:rPr>
        <w:t>170.35万元，占政府采购支出总额的</w:t>
      </w:r>
      <w:r>
        <w:rPr>
          <w:rFonts w:ascii="仿宋_GB2312" w:eastAsia="仿宋_GB2312"/>
          <w:sz w:val="32"/>
          <w:szCs w:val="32"/>
        </w:rPr>
        <w:t xml:space="preserve"> </w:t>
      </w:r>
      <w:r>
        <w:rPr>
          <w:rFonts w:hint="eastAsia" w:ascii="仿宋_GB2312" w:eastAsia="仿宋_GB2312"/>
          <w:sz w:val="32"/>
          <w:szCs w:val="32"/>
        </w:rPr>
        <w:t>59.16%，其中：授予小微企业合同金额12.49万元，占政府采购支出总额的 4.34</w:t>
      </w:r>
      <w:r>
        <w:rPr>
          <w:rFonts w:ascii="仿宋_GB2312" w:eastAsia="仿宋_GB2312"/>
          <w:sz w:val="32"/>
          <w:szCs w:val="32"/>
        </w:rPr>
        <w:t xml:space="preserve"> </w:t>
      </w:r>
      <w:r>
        <w:rPr>
          <w:rFonts w:hint="eastAsia" w:ascii="仿宋_GB2312" w:eastAsia="仿宋_GB2312"/>
          <w:sz w:val="32"/>
          <w:szCs w:val="32"/>
        </w:rPr>
        <w:t>%。</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四、国有资产占用情况</w:t>
      </w:r>
    </w:p>
    <w:p>
      <w:pPr>
        <w:spacing w:line="560" w:lineRule="exact"/>
        <w:ind w:firstLine="576" w:firstLineChars="192"/>
        <w:rPr>
          <w:rFonts w:ascii="仿宋_GB2312" w:eastAsia="仿宋_GB2312"/>
          <w:sz w:val="30"/>
          <w:szCs w:val="30"/>
        </w:rPr>
      </w:pPr>
      <w:r>
        <w:rPr>
          <w:rFonts w:hint="eastAsia" w:ascii="仿宋_GB2312" w:eastAsia="仿宋_GB2312"/>
          <w:sz w:val="30"/>
          <w:szCs w:val="30"/>
        </w:rPr>
        <w:t>固定资产年末数总额1163.54万元，其中：房屋面积800.93平方米，49.45万元；汽车4辆，117.99万元；单价100万元以上的设备  0 台（套）， 0  万元。</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五、国有资本经营预算拨款收支情况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无此项内容。</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六、行政事业性收费重点项目信息（同预算公开口径）</w:t>
      </w:r>
    </w:p>
    <w:p>
      <w:pPr>
        <w:spacing w:line="560" w:lineRule="exact"/>
        <w:ind w:firstLine="640" w:firstLineChars="200"/>
        <w:rPr>
          <w:rFonts w:hint="eastAsia" w:ascii="宋体" w:hAnsi="宋体"/>
          <w:b/>
          <w:sz w:val="32"/>
          <w:szCs w:val="32"/>
        </w:rPr>
      </w:pPr>
      <w:r>
        <w:rPr>
          <w:rFonts w:hint="eastAsia" w:ascii="仿宋_GB2312" w:eastAsia="仿宋_GB2312"/>
          <w:sz w:val="32"/>
          <w:szCs w:val="32"/>
        </w:rPr>
        <w:t>无此项内容。</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w:t>
      </w:r>
      <w:r>
        <w:rPr>
          <w:rFonts w:ascii="黑体" w:hAnsi="黑体" w:eastAsia="黑体"/>
          <w:sz w:val="32"/>
          <w:szCs w:val="32"/>
        </w:rPr>
        <w:t>、专业名词解释</w:t>
      </w:r>
    </w:p>
    <w:p>
      <w:pPr>
        <w:spacing w:line="560" w:lineRule="exact"/>
        <w:ind w:firstLine="643" w:firstLineChars="200"/>
        <w:rPr>
          <w:rFonts w:ascii="仿宋" w:hAnsi="仿宋" w:eastAsia="仿宋"/>
          <w:sz w:val="32"/>
          <w:szCs w:val="32"/>
        </w:rPr>
      </w:pPr>
      <w:r>
        <w:rPr>
          <w:rFonts w:ascii="仿宋" w:hAnsi="仿宋" w:eastAsia="仿宋"/>
          <w:b/>
          <w:sz w:val="32"/>
          <w:szCs w:val="32"/>
        </w:rPr>
        <w:t>1.</w:t>
      </w:r>
      <w:r>
        <w:rPr>
          <w:rFonts w:hint="eastAsia" w:ascii="仿宋" w:hAnsi="仿宋" w:eastAsia="仿宋"/>
          <w:b/>
          <w:sz w:val="32"/>
          <w:szCs w:val="32"/>
        </w:rPr>
        <w:t>基本支出</w:t>
      </w:r>
      <w:r>
        <w:rPr>
          <w:rFonts w:ascii="仿宋" w:hAnsi="仿宋" w:eastAsia="仿宋"/>
          <w:b/>
          <w:sz w:val="32"/>
          <w:szCs w:val="32"/>
        </w:rPr>
        <w:t>：</w:t>
      </w:r>
      <w:r>
        <w:rPr>
          <w:rFonts w:hint="eastAsia" w:ascii="仿宋" w:hAnsi="仿宋" w:eastAsia="仿宋"/>
          <w:sz w:val="32"/>
          <w:szCs w:val="32"/>
        </w:rPr>
        <w:t>指</w:t>
      </w:r>
      <w:r>
        <w:rPr>
          <w:rFonts w:ascii="仿宋" w:hAnsi="仿宋" w:eastAsia="仿宋"/>
          <w:sz w:val="32"/>
          <w:szCs w:val="32"/>
        </w:rPr>
        <w:t>为保障机构正常运转、完成日常工作任务而发生的人员</w:t>
      </w:r>
      <w:r>
        <w:rPr>
          <w:rFonts w:hint="eastAsia" w:ascii="仿宋" w:hAnsi="仿宋" w:eastAsia="仿宋"/>
          <w:sz w:val="32"/>
          <w:szCs w:val="32"/>
        </w:rPr>
        <w:t>支出</w:t>
      </w:r>
      <w:r>
        <w:rPr>
          <w:rFonts w:ascii="仿宋" w:hAnsi="仿宋" w:eastAsia="仿宋"/>
          <w:sz w:val="32"/>
          <w:szCs w:val="32"/>
        </w:rPr>
        <w:t>和</w:t>
      </w:r>
      <w:r>
        <w:rPr>
          <w:rFonts w:hint="eastAsia" w:ascii="仿宋" w:hAnsi="仿宋" w:eastAsia="仿宋"/>
          <w:sz w:val="32"/>
          <w:szCs w:val="32"/>
        </w:rPr>
        <w:t>公用</w:t>
      </w:r>
      <w:r>
        <w:rPr>
          <w:rFonts w:ascii="仿宋" w:hAnsi="仿宋" w:eastAsia="仿宋"/>
          <w:sz w:val="32"/>
          <w:szCs w:val="32"/>
        </w:rPr>
        <w:t>支出</w:t>
      </w:r>
      <w:r>
        <w:rPr>
          <w:rFonts w:hint="eastAsia" w:ascii="仿宋" w:hAnsi="仿宋" w:eastAsia="仿宋"/>
          <w:sz w:val="32"/>
          <w:szCs w:val="32"/>
        </w:rPr>
        <w:t>。</w:t>
      </w:r>
    </w:p>
    <w:p>
      <w:pPr>
        <w:spacing w:line="560" w:lineRule="exact"/>
        <w:ind w:firstLine="643" w:firstLineChars="200"/>
        <w:rPr>
          <w:rFonts w:hint="eastAsia" w:ascii="仿宋" w:hAnsi="仿宋" w:eastAsia="仿宋"/>
          <w:b/>
          <w:sz w:val="32"/>
          <w:szCs w:val="32"/>
        </w:rPr>
      </w:pPr>
      <w:r>
        <w:rPr>
          <w:rFonts w:hint="eastAsia" w:ascii="仿宋" w:hAnsi="仿宋" w:eastAsia="仿宋"/>
          <w:b/>
          <w:sz w:val="32"/>
          <w:szCs w:val="32"/>
        </w:rPr>
        <w:t>2.项目支出</w:t>
      </w:r>
      <w:r>
        <w:rPr>
          <w:rFonts w:ascii="仿宋" w:hAnsi="仿宋" w:eastAsia="仿宋"/>
          <w:b/>
          <w:sz w:val="32"/>
          <w:szCs w:val="32"/>
        </w:rPr>
        <w:t>：</w:t>
      </w:r>
      <w:r>
        <w:rPr>
          <w:rFonts w:ascii="仿宋" w:hAnsi="仿宋" w:eastAsia="仿宋"/>
          <w:sz w:val="32"/>
          <w:szCs w:val="32"/>
        </w:rPr>
        <w:t>指在基本支出之外为完成特定行政任务或事业发展目标所发生的支出。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3.“三公”经费：</w:t>
      </w:r>
      <w:r>
        <w:rPr>
          <w:rFonts w:hint="eastAsia" w:ascii="仿宋" w:hAnsi="仿宋" w:eastAsia="仿宋"/>
          <w:sz w:val="32"/>
          <w:szCs w:val="32"/>
        </w:rPr>
        <w:t>是指单位通过一般公共预算财政拨款资金安排的因公出国（境）费、公务用车购置及运行费和公务接待费。其中，</w:t>
      </w:r>
      <w:r>
        <w:rPr>
          <w:rFonts w:hint="eastAsia" w:ascii="仿宋" w:hAnsi="仿宋" w:eastAsia="仿宋"/>
          <w:b/>
          <w:sz w:val="32"/>
          <w:szCs w:val="32"/>
        </w:rPr>
        <w:t>因公出国（境）费</w:t>
      </w:r>
      <w:r>
        <w:rPr>
          <w:rFonts w:hint="eastAsia" w:ascii="仿宋" w:hAnsi="仿宋" w:eastAsia="仿宋"/>
          <w:sz w:val="32"/>
          <w:szCs w:val="32"/>
        </w:rPr>
        <w:t>指单位公务出国（境）的国际旅费、国外城市间交通费、住宿费、伙食费、培训费、公杂费等支出；</w:t>
      </w:r>
      <w:r>
        <w:rPr>
          <w:rFonts w:hint="eastAsia" w:ascii="仿宋" w:hAnsi="仿宋" w:eastAsia="仿宋"/>
          <w:b/>
          <w:sz w:val="32"/>
          <w:szCs w:val="32"/>
        </w:rPr>
        <w:t>公务用车购置及运行费</w:t>
      </w:r>
      <w:r>
        <w:rPr>
          <w:rFonts w:hint="eastAsia" w:ascii="仿宋" w:hAnsi="仿宋" w:eastAsia="仿宋"/>
          <w:sz w:val="32"/>
          <w:szCs w:val="32"/>
        </w:rPr>
        <w:t>指单位公务用车车辆购置支出（含车辆购置税）及单位按规定保留的公务用车租用费、燃料费、维修费、过路过桥费、保险费、安全奖励费等支出；</w:t>
      </w:r>
      <w:r>
        <w:rPr>
          <w:rFonts w:hint="eastAsia" w:ascii="仿宋" w:hAnsi="仿宋" w:eastAsia="仿宋"/>
          <w:b/>
          <w:sz w:val="32"/>
          <w:szCs w:val="32"/>
        </w:rPr>
        <w:t>公务接待费</w:t>
      </w:r>
      <w:r>
        <w:rPr>
          <w:rFonts w:hint="eastAsia" w:ascii="仿宋" w:hAnsi="仿宋" w:eastAsia="仿宋"/>
          <w:sz w:val="32"/>
          <w:szCs w:val="32"/>
        </w:rPr>
        <w:t>指单位按规定开支的各类公务接待（含外宾接待）支出。</w:t>
      </w:r>
    </w:p>
    <w:p>
      <w:pPr>
        <w:spacing w:line="560" w:lineRule="exact"/>
        <w:ind w:firstLine="617" w:firstLineChars="192"/>
        <w:rPr>
          <w:rFonts w:ascii="仿宋" w:hAnsi="仿宋" w:eastAsia="仿宋"/>
          <w:sz w:val="32"/>
          <w:szCs w:val="32"/>
        </w:rPr>
      </w:pPr>
      <w:r>
        <w:rPr>
          <w:rFonts w:ascii="仿宋" w:hAnsi="仿宋" w:eastAsia="仿宋"/>
          <w:b/>
          <w:sz w:val="32"/>
          <w:szCs w:val="32"/>
        </w:rPr>
        <w:t>4</w:t>
      </w:r>
      <w:r>
        <w:rPr>
          <w:rFonts w:hint="eastAsia" w:ascii="仿宋" w:hAnsi="仿宋" w:eastAsia="仿宋"/>
          <w:b/>
          <w:sz w:val="32"/>
          <w:szCs w:val="32"/>
        </w:rPr>
        <w:t>．机关运行经费：</w:t>
      </w:r>
      <w:r>
        <w:rPr>
          <w:rFonts w:hint="eastAsia" w:ascii="仿宋" w:hAnsi="仿宋" w:eastAsia="仿宋"/>
          <w:sz w:val="32"/>
          <w:szCs w:val="32"/>
        </w:rPr>
        <w:t>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17" w:firstLineChars="192"/>
        <w:rPr>
          <w:rFonts w:ascii="仿宋" w:hAnsi="仿宋" w:eastAsia="仿宋"/>
          <w:sz w:val="32"/>
          <w:szCs w:val="32"/>
        </w:rPr>
      </w:pPr>
      <w:r>
        <w:rPr>
          <w:rFonts w:hint="eastAsia" w:ascii="仿宋" w:hAnsi="仿宋" w:eastAsia="仿宋"/>
          <w:b/>
          <w:sz w:val="32"/>
          <w:szCs w:val="32"/>
        </w:rPr>
        <w:t>5．</w:t>
      </w:r>
      <w:r>
        <w:rPr>
          <w:rFonts w:hint="eastAsia" w:ascii="仿宋_GB2312" w:eastAsia="仿宋_GB2312"/>
          <w:b/>
          <w:bCs/>
          <w:sz w:val="32"/>
          <w:szCs w:val="32"/>
        </w:rPr>
        <w:t>社区公益事业专项资金</w:t>
      </w:r>
      <w:r>
        <w:rPr>
          <w:rFonts w:hint="eastAsia" w:ascii="仿宋" w:hAnsi="仿宋" w:eastAsia="仿宋"/>
          <w:b/>
          <w:sz w:val="32"/>
          <w:szCs w:val="32"/>
        </w:rPr>
        <w:t>：</w:t>
      </w:r>
      <w:r>
        <w:rPr>
          <w:rFonts w:hint="eastAsia" w:ascii="仿宋" w:hAnsi="仿宋" w:eastAsia="仿宋"/>
          <w:bCs/>
          <w:sz w:val="32"/>
          <w:szCs w:val="32"/>
        </w:rPr>
        <w:t>指为</w:t>
      </w:r>
      <w:r>
        <w:rPr>
          <w:rFonts w:hint="eastAsia" w:ascii="仿宋" w:hAnsi="仿宋" w:eastAsia="仿宋" w:cs="仿宋"/>
          <w:sz w:val="32"/>
          <w:szCs w:val="32"/>
        </w:rPr>
        <w:t>为社区开展文体、社区教育、社区治安、社区精神文明建设等公益事业活动所需要的活动场地、活动器械、活动宣传、活动奖品、活动劳务等提供的资金支持。</w:t>
      </w:r>
    </w:p>
    <w:p>
      <w:pPr>
        <w:spacing w:line="560" w:lineRule="exact"/>
        <w:ind w:firstLine="614" w:firstLineChars="192"/>
        <w:rPr>
          <w:rFonts w:ascii="仿宋" w:hAnsi="仿宋" w:eastAsia="仿宋"/>
          <w:sz w:val="32"/>
          <w:szCs w:val="32"/>
        </w:rPr>
      </w:pPr>
    </w:p>
    <w:p>
      <w:pPr>
        <w:spacing w:line="560" w:lineRule="exact"/>
        <w:ind w:firstLine="614" w:firstLineChars="192"/>
        <w:rPr>
          <w:rFonts w:hint="eastAsia" w:ascii="仿宋" w:hAnsi="仿宋" w:eastAsia="仿宋"/>
          <w:sz w:val="32"/>
          <w:szCs w:val="32"/>
        </w:rPr>
      </w:pPr>
    </w:p>
    <w:p>
      <w:pPr>
        <w:tabs>
          <w:tab w:val="center" w:pos="6979"/>
        </w:tabs>
        <w:spacing w:line="560" w:lineRule="exact"/>
        <w:jc w:val="center"/>
        <w:rPr>
          <w:rFonts w:hint="eastAsia" w:ascii="华文中宋" w:hAnsi="华文中宋" w:eastAsia="华文中宋"/>
          <w:sz w:val="36"/>
          <w:szCs w:val="36"/>
        </w:rPr>
      </w:pPr>
      <w:r>
        <w:rPr>
          <w:rFonts w:hint="eastAsia" w:ascii="华文中宋" w:hAnsi="华文中宋" w:eastAsia="华文中宋"/>
          <w:sz w:val="36"/>
          <w:szCs w:val="36"/>
        </w:rPr>
        <w:t>第三部分 2017年度部门绩效</w:t>
      </w:r>
      <w:r>
        <w:rPr>
          <w:rFonts w:ascii="华文中宋" w:hAnsi="华文中宋" w:eastAsia="华文中宋"/>
          <w:sz w:val="36"/>
          <w:szCs w:val="36"/>
        </w:rPr>
        <w:t>评价</w:t>
      </w:r>
      <w:r>
        <w:rPr>
          <w:rFonts w:hint="eastAsia" w:ascii="华文中宋" w:hAnsi="华文中宋" w:eastAsia="华文中宋"/>
          <w:sz w:val="36"/>
          <w:szCs w:val="36"/>
        </w:rPr>
        <w:t>情况</w:t>
      </w:r>
    </w:p>
    <w:p>
      <w:pPr>
        <w:spacing w:line="560" w:lineRule="exact"/>
        <w:ind w:firstLine="614" w:firstLineChars="192"/>
        <w:rPr>
          <w:rFonts w:hint="eastAsia" w:ascii="仿宋" w:hAnsi="仿宋" w:eastAsia="仿宋"/>
          <w:sz w:val="32"/>
          <w:szCs w:val="32"/>
        </w:rPr>
      </w:pP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w:t>
      </w:r>
      <w:r>
        <w:rPr>
          <w:rFonts w:ascii="黑体" w:hAnsi="黑体" w:eastAsia="黑体"/>
          <w:sz w:val="32"/>
          <w:szCs w:val="32"/>
        </w:rPr>
        <w:t>部门</w:t>
      </w:r>
      <w:r>
        <w:rPr>
          <w:rFonts w:hint="eastAsia" w:ascii="黑体" w:hAnsi="黑体" w:eastAsia="黑体"/>
          <w:sz w:val="32"/>
          <w:szCs w:val="32"/>
        </w:rPr>
        <w:t>整体支出绩效自评情况</w:t>
      </w:r>
    </w:p>
    <w:p>
      <w:pPr>
        <w:spacing w:line="560" w:lineRule="exact"/>
        <w:ind w:firstLine="640" w:firstLineChars="200"/>
        <w:rPr>
          <w:rFonts w:hint="eastAsia" w:ascii="华文楷体" w:hAnsi="华文楷体" w:eastAsia="华文楷体"/>
          <w:sz w:val="32"/>
          <w:szCs w:val="32"/>
        </w:rPr>
      </w:pPr>
      <w:r>
        <w:rPr>
          <w:rFonts w:hint="eastAsia" w:ascii="华文楷体" w:hAnsi="华文楷体" w:eastAsia="华文楷体"/>
          <w:sz w:val="32"/>
          <w:szCs w:val="32"/>
        </w:rPr>
        <w:t>（</w:t>
      </w:r>
      <w:r>
        <w:rPr>
          <w:rFonts w:ascii="华文楷体" w:hAnsi="华文楷体" w:eastAsia="华文楷体"/>
          <w:sz w:val="32"/>
          <w:szCs w:val="32"/>
        </w:rPr>
        <w:t>一）</w:t>
      </w:r>
      <w:r>
        <w:rPr>
          <w:rFonts w:hint="eastAsia" w:ascii="华文楷体" w:hAnsi="华文楷体" w:eastAsia="华文楷体"/>
          <w:sz w:val="32"/>
          <w:szCs w:val="32"/>
        </w:rPr>
        <w:t>部门</w:t>
      </w:r>
      <w:r>
        <w:rPr>
          <w:rFonts w:ascii="华文楷体" w:hAnsi="华文楷体" w:eastAsia="华文楷体"/>
          <w:sz w:val="32"/>
          <w:szCs w:val="32"/>
        </w:rPr>
        <w:t>绩效目标设置情况</w:t>
      </w:r>
    </w:p>
    <w:p>
      <w:pPr>
        <w:spacing w:line="560" w:lineRule="exact"/>
        <w:ind w:firstLine="56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2017年重点工作</w:t>
      </w:r>
    </w:p>
    <w:p>
      <w:pPr>
        <w:spacing w:line="560" w:lineRule="exact"/>
        <w:ind w:firstLine="554"/>
        <w:rPr>
          <w:rFonts w:ascii="仿宋" w:hAnsi="仿宋" w:eastAsia="仿宋" w:cs="仿宋"/>
          <w:sz w:val="32"/>
          <w:szCs w:val="32"/>
        </w:rPr>
      </w:pPr>
      <w:r>
        <w:rPr>
          <w:rFonts w:hint="eastAsia" w:ascii="仿宋" w:hAnsi="仿宋" w:eastAsia="仿宋" w:cs="仿宋"/>
          <w:sz w:val="32"/>
          <w:szCs w:val="32"/>
        </w:rPr>
        <w:t>2017年重点区级重点为民办实事工程2项，分别为：黄土台社区2017年修缮项目41.84万元，用于黄土台社区地面硬化及修建休闲凉亭；桃园社区2017年修缮项目40.32万元，用于桃园社区楼前地面硬化工程，改善辖区内居民生活环境，改造地区基础设施，提高居民生活便利性。</w:t>
      </w:r>
    </w:p>
    <w:p>
      <w:pPr>
        <w:spacing w:line="560" w:lineRule="exact"/>
        <w:ind w:firstLine="554"/>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2017年部门绩效目标及绩效指标设定情况</w:t>
      </w:r>
    </w:p>
    <w:p>
      <w:pPr>
        <w:spacing w:line="560" w:lineRule="exact"/>
        <w:ind w:firstLine="554"/>
        <w:rPr>
          <w:rFonts w:ascii="仿宋" w:hAnsi="仿宋" w:eastAsia="仿宋" w:cs="仿宋"/>
          <w:sz w:val="32"/>
          <w:szCs w:val="32"/>
        </w:rPr>
      </w:pPr>
      <w:r>
        <w:rPr>
          <w:rFonts w:hint="eastAsia" w:ascii="仿宋" w:hAnsi="仿宋" w:eastAsia="仿宋" w:cs="仿宋"/>
          <w:sz w:val="32"/>
          <w:szCs w:val="32"/>
        </w:rPr>
        <w:t>1.工程类：翻建社区活动室、老年餐桌，改善社区对群众服务的基础条件，提高居民满意度；社区内路面硬化，改善社区基础设施，提高社区居民基本生活条件；修缮2016年水毁停车场及桥梁，排除社区安全隐患，方便居民出行及停车 。2.</w:t>
      </w:r>
      <w:r>
        <w:rPr>
          <w:rFonts w:hint="eastAsia" w:ascii="仿宋" w:hAnsi="仿宋" w:eastAsia="仿宋" w:cs="仿宋"/>
          <w:sz w:val="32"/>
          <w:szCs w:val="32"/>
        </w:rPr>
        <w:tab/>
      </w:r>
      <w:r>
        <w:rPr>
          <w:rFonts w:hint="eastAsia" w:ascii="仿宋" w:hAnsi="仿宋" w:eastAsia="仿宋" w:cs="仿宋"/>
          <w:sz w:val="32"/>
          <w:szCs w:val="32"/>
        </w:rPr>
        <w:t>民生保障类：开展多样文体活动，丰富社区居民业余生活；聘请专业社工团体，对社区内老年人、残疾人、青少年、流动人口进行精准帮扶，深入一线解决居民实际困难；发放严重精神障碍患者看护管理补贴，改善特殊人群生活状态，为看护者提供经济上的保障；防煤气中毒：为居民配备风斗及一氧化碳报警器，在冬季预防煤气中毒事件。 3.</w:t>
      </w:r>
      <w:r>
        <w:rPr>
          <w:rFonts w:hint="eastAsia" w:ascii="仿宋" w:hAnsi="仿宋" w:eastAsia="仿宋" w:cs="仿宋"/>
          <w:sz w:val="32"/>
          <w:szCs w:val="32"/>
        </w:rPr>
        <w:tab/>
      </w:r>
      <w:r>
        <w:rPr>
          <w:rFonts w:hint="eastAsia" w:ascii="仿宋" w:hAnsi="仿宋" w:eastAsia="仿宋" w:cs="仿宋"/>
          <w:sz w:val="32"/>
          <w:szCs w:val="32"/>
        </w:rPr>
        <w:t>信息化建设类：租赁政府网络，提高机关的办事效率，方便各政府单位间的交流，保障机要信息的安全 4.</w:t>
      </w:r>
      <w:r>
        <w:rPr>
          <w:rFonts w:hint="eastAsia" w:ascii="仿宋" w:hAnsi="仿宋" w:eastAsia="仿宋" w:cs="仿宋"/>
          <w:sz w:val="32"/>
          <w:szCs w:val="32"/>
        </w:rPr>
        <w:tab/>
      </w:r>
      <w:r>
        <w:rPr>
          <w:rFonts w:hint="eastAsia" w:ascii="仿宋" w:hAnsi="仿宋" w:eastAsia="仿宋" w:cs="仿宋"/>
          <w:sz w:val="32"/>
          <w:szCs w:val="32"/>
        </w:rPr>
        <w:t>购置类：社保大厅购置复印机一台，提高办事人员工作效率，方便群众；办公设备购置及更新，保障机关正常运行，提高工作效率 5.</w:t>
      </w:r>
      <w:r>
        <w:rPr>
          <w:rFonts w:hint="eastAsia" w:ascii="仿宋" w:hAnsi="仿宋" w:eastAsia="仿宋" w:cs="仿宋"/>
          <w:sz w:val="32"/>
          <w:szCs w:val="32"/>
        </w:rPr>
        <w:tab/>
      </w:r>
      <w:r>
        <w:rPr>
          <w:rFonts w:hint="eastAsia" w:ascii="仿宋" w:hAnsi="仿宋" w:eastAsia="仿宋" w:cs="仿宋"/>
          <w:sz w:val="32"/>
          <w:szCs w:val="32"/>
        </w:rPr>
        <w:t>会议类：大工委、地管会联席会议工作经费：增强大工委成员单位沟通协调机制，形成推动地区发展整体合力，解决地区性全局性发展问题。 6.</w:t>
      </w:r>
      <w:r>
        <w:rPr>
          <w:rFonts w:hint="eastAsia" w:ascii="仿宋" w:hAnsi="仿宋" w:eastAsia="仿宋" w:cs="仿宋"/>
          <w:sz w:val="32"/>
          <w:szCs w:val="32"/>
        </w:rPr>
        <w:tab/>
      </w:r>
      <w:r>
        <w:rPr>
          <w:rFonts w:hint="eastAsia" w:ascii="仿宋" w:hAnsi="仿宋" w:eastAsia="仿宋" w:cs="仿宋"/>
          <w:sz w:val="32"/>
          <w:szCs w:val="32"/>
        </w:rPr>
        <w:t>宣传培训类：精神文明建设经费：强化地区宣传阵地建设，在关键位置、主要街道、所属社区制作宣传材料，更新宣传内容，营造地区践行社会主义核心价值观、倡导积极向上的文明生活方式的良好氛围。 7.</w:t>
      </w:r>
      <w:r>
        <w:rPr>
          <w:rFonts w:hint="eastAsia" w:ascii="仿宋" w:hAnsi="仿宋" w:eastAsia="仿宋" w:cs="仿宋"/>
          <w:sz w:val="32"/>
          <w:szCs w:val="32"/>
        </w:rPr>
        <w:tab/>
      </w:r>
      <w:r>
        <w:rPr>
          <w:rFonts w:hint="eastAsia" w:ascii="仿宋" w:hAnsi="仿宋" w:eastAsia="仿宋" w:cs="仿宋"/>
          <w:sz w:val="32"/>
          <w:szCs w:val="32"/>
        </w:rPr>
        <w:t>环境整治类：和专业公司签订垃圾清运协议，保障各社区垃圾清运等相关工作，提高社区环境质量；为社区保洁人员配置保洁相关工具，大力支持各社区的环境卫生工作，提高居民对周边生活环境的满意度；加强私挖盗采打击力度，配置专项资金，专业队伍，购置专业设备，严打私挖盗采，保护街道整体环境。</w:t>
      </w:r>
    </w:p>
    <w:p>
      <w:pPr>
        <w:spacing w:line="560" w:lineRule="exact"/>
        <w:ind w:firstLine="640" w:firstLineChars="200"/>
        <w:rPr>
          <w:rFonts w:ascii="华文楷体" w:hAnsi="华文楷体" w:eastAsia="华文楷体"/>
          <w:sz w:val="32"/>
          <w:szCs w:val="32"/>
        </w:rPr>
      </w:pPr>
      <w:r>
        <w:rPr>
          <w:rFonts w:hint="eastAsia" w:ascii="华文楷体" w:hAnsi="华文楷体" w:eastAsia="华文楷体"/>
          <w:sz w:val="32"/>
          <w:szCs w:val="32"/>
        </w:rPr>
        <w:t>（</w:t>
      </w:r>
      <w:r>
        <w:rPr>
          <w:rFonts w:ascii="华文楷体" w:hAnsi="华文楷体" w:eastAsia="华文楷体"/>
          <w:sz w:val="32"/>
          <w:szCs w:val="32"/>
        </w:rPr>
        <w:t>二）</w:t>
      </w:r>
      <w:r>
        <w:rPr>
          <w:rFonts w:hint="eastAsia" w:ascii="华文楷体" w:hAnsi="华文楷体" w:eastAsia="华文楷体"/>
          <w:sz w:val="32"/>
          <w:szCs w:val="32"/>
        </w:rPr>
        <w:t>部门</w:t>
      </w:r>
      <w:r>
        <w:rPr>
          <w:rFonts w:ascii="华文楷体" w:hAnsi="华文楷体" w:eastAsia="华文楷体"/>
          <w:sz w:val="32"/>
          <w:szCs w:val="32"/>
        </w:rPr>
        <w:t>绩效实现情况</w:t>
      </w:r>
    </w:p>
    <w:p>
      <w:pPr>
        <w:ind w:left="560"/>
        <w:rPr>
          <w:rFonts w:hint="eastAsia" w:ascii="仿宋" w:hAnsi="仿宋" w:eastAsia="仿宋" w:cs="仿宋"/>
          <w:sz w:val="32"/>
          <w:szCs w:val="32"/>
        </w:rPr>
      </w:pPr>
      <w:r>
        <w:rPr>
          <w:rFonts w:hint="eastAsia" w:ascii="仿宋" w:hAnsi="仿宋" w:eastAsia="仿宋" w:cs="仿宋"/>
          <w:sz w:val="32"/>
          <w:szCs w:val="32"/>
        </w:rPr>
        <w:t>2017年大台街道100万以上预算项目：</w:t>
      </w:r>
    </w:p>
    <w:p>
      <w:pPr>
        <w:widowControl/>
        <w:ind w:firstLine="560"/>
        <w:jc w:val="left"/>
        <w:rPr>
          <w:rFonts w:ascii="仿宋" w:hAnsi="仿宋" w:eastAsia="仿宋" w:cs="仿宋"/>
          <w:sz w:val="32"/>
          <w:szCs w:val="32"/>
        </w:rPr>
      </w:pPr>
      <w:r>
        <w:rPr>
          <w:rFonts w:hint="eastAsia" w:ascii="仿宋" w:hAnsi="仿宋" w:eastAsia="仿宋" w:cs="仿宋"/>
          <w:sz w:val="32"/>
          <w:szCs w:val="32"/>
        </w:rPr>
        <w:t>基层党组织服务群众经费项目180万元元：用于安排各社区提升党组织对于辖区内居民的服务及改善居民的基本生活环境等支出。本项目绩效目标为：进一步巩固深化党的权重路线教育实践成果，加大基层保障力度，进一步提升基层党组织直接服务群众的能力与水平，持续影响1年及以上。</w:t>
      </w:r>
    </w:p>
    <w:p>
      <w:pPr>
        <w:widowControl/>
        <w:ind w:firstLine="554"/>
        <w:jc w:val="left"/>
        <w:rPr>
          <w:rFonts w:hint="eastAsia" w:ascii="仿宋" w:hAnsi="仿宋" w:eastAsia="仿宋" w:cs="仿宋"/>
          <w:sz w:val="32"/>
          <w:szCs w:val="32"/>
        </w:rPr>
      </w:pPr>
      <w:r>
        <w:rPr>
          <w:rFonts w:hint="eastAsia" w:ascii="仿宋" w:hAnsi="仿宋" w:eastAsia="仿宋" w:cs="仿宋"/>
          <w:sz w:val="32"/>
          <w:szCs w:val="32"/>
        </w:rPr>
        <w:t>社区事业发展资金项目600万元：用于安排辖区内各社区的基础设施改造，隐患排除及社区服务团队能力提升等支出。本项目绩效目标为：提升辖区内居民基本生活环境，改善辖区内基础设施配套，深化社区服务队伍培养，整体提升社区居民满意度，持续影响1年及以上。</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二、财政支出项目绩效</w:t>
      </w:r>
      <w:r>
        <w:rPr>
          <w:rFonts w:ascii="黑体" w:hAnsi="黑体" w:eastAsia="黑体"/>
          <w:sz w:val="32"/>
          <w:szCs w:val="32"/>
        </w:rPr>
        <w:t>评价情况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w:t>
      </w:r>
      <w:r>
        <w:rPr>
          <w:rFonts w:ascii="仿宋_GB2312" w:eastAsia="仿宋_GB2312"/>
          <w:sz w:val="32"/>
          <w:szCs w:val="32"/>
        </w:rPr>
        <w:t>有</w:t>
      </w:r>
      <w:r>
        <w:rPr>
          <w:rFonts w:hint="eastAsia" w:ascii="仿宋_GB2312" w:eastAsia="仿宋_GB2312"/>
          <w:sz w:val="32"/>
          <w:szCs w:val="32"/>
        </w:rPr>
        <w:t>2017年度</w:t>
      </w:r>
      <w:r>
        <w:rPr>
          <w:rFonts w:ascii="仿宋_GB2312" w:eastAsia="仿宋_GB2312"/>
          <w:sz w:val="32"/>
          <w:szCs w:val="32"/>
        </w:rPr>
        <w:t>财政绩效评价项目的单位</w:t>
      </w:r>
      <w:r>
        <w:rPr>
          <w:rFonts w:hint="eastAsia" w:ascii="仿宋_GB2312" w:eastAsia="仿宋_GB2312"/>
          <w:sz w:val="32"/>
          <w:szCs w:val="32"/>
        </w:rPr>
        <w:t>，依据财政</w:t>
      </w:r>
      <w:r>
        <w:rPr>
          <w:rFonts w:ascii="仿宋_GB2312" w:eastAsia="仿宋_GB2312"/>
          <w:sz w:val="32"/>
          <w:szCs w:val="32"/>
        </w:rPr>
        <w:t>出具</w:t>
      </w:r>
      <w:r>
        <w:rPr>
          <w:rFonts w:hint="eastAsia" w:ascii="仿宋_GB2312" w:eastAsia="仿宋_GB2312"/>
          <w:sz w:val="32"/>
          <w:szCs w:val="32"/>
        </w:rPr>
        <w:t>的绩效评价报告填写）</w:t>
      </w:r>
    </w:p>
    <w:p>
      <w:pPr>
        <w:numPr>
          <w:ilvl w:val="0"/>
          <w:numId w:val="4"/>
        </w:numPr>
        <w:spacing w:line="560" w:lineRule="exact"/>
        <w:rPr>
          <w:rFonts w:ascii="华文楷体" w:hAnsi="华文楷体" w:eastAsia="华文楷体"/>
          <w:sz w:val="32"/>
          <w:szCs w:val="32"/>
        </w:rPr>
      </w:pPr>
      <w:r>
        <w:rPr>
          <w:rFonts w:ascii="华文楷体" w:hAnsi="华文楷体" w:eastAsia="华文楷体"/>
          <w:sz w:val="32"/>
          <w:szCs w:val="32"/>
        </w:rPr>
        <w:t>评价</w:t>
      </w:r>
      <w:r>
        <w:rPr>
          <w:rFonts w:hint="eastAsia" w:ascii="华文楷体" w:hAnsi="华文楷体" w:eastAsia="华文楷体"/>
          <w:sz w:val="32"/>
          <w:szCs w:val="32"/>
        </w:rPr>
        <w:t>对象</w:t>
      </w:r>
      <w:r>
        <w:rPr>
          <w:rFonts w:ascii="华文楷体" w:hAnsi="华文楷体" w:eastAsia="华文楷体"/>
          <w:sz w:val="32"/>
          <w:szCs w:val="32"/>
        </w:rPr>
        <w:t>概况</w:t>
      </w:r>
    </w:p>
    <w:p>
      <w:pPr>
        <w:spacing w:line="560" w:lineRule="exact"/>
        <w:ind w:firstLine="1920" w:firstLineChars="600"/>
        <w:rPr>
          <w:rFonts w:ascii="华文楷体" w:hAnsi="华文楷体" w:eastAsia="华文楷体"/>
          <w:sz w:val="32"/>
          <w:szCs w:val="32"/>
        </w:rPr>
      </w:pPr>
      <w:r>
        <w:rPr>
          <w:rFonts w:hint="eastAsia" w:ascii="仿宋_GB2312" w:eastAsia="仿宋_GB2312"/>
          <w:sz w:val="32"/>
          <w:szCs w:val="32"/>
        </w:rPr>
        <w:t>无此项内容。</w:t>
      </w:r>
    </w:p>
    <w:p>
      <w:pPr>
        <w:numPr>
          <w:ilvl w:val="0"/>
          <w:numId w:val="4"/>
        </w:numPr>
        <w:spacing w:line="560" w:lineRule="exact"/>
        <w:rPr>
          <w:rFonts w:ascii="华文楷体" w:hAnsi="华文楷体" w:eastAsia="华文楷体"/>
          <w:sz w:val="32"/>
          <w:szCs w:val="32"/>
        </w:rPr>
      </w:pPr>
      <w:r>
        <w:rPr>
          <w:rFonts w:hint="eastAsia" w:ascii="华文楷体" w:hAnsi="华文楷体" w:eastAsia="华文楷体"/>
          <w:sz w:val="32"/>
          <w:szCs w:val="32"/>
        </w:rPr>
        <w:t>评价结论</w:t>
      </w:r>
    </w:p>
    <w:p>
      <w:pPr>
        <w:spacing w:line="560" w:lineRule="exact"/>
        <w:ind w:firstLine="1920" w:firstLineChars="600"/>
        <w:rPr>
          <w:rFonts w:hint="eastAsia" w:ascii="仿宋" w:hAnsi="仿宋" w:eastAsia="仿宋"/>
          <w:sz w:val="32"/>
          <w:szCs w:val="32"/>
        </w:rPr>
      </w:pPr>
      <w:r>
        <w:rPr>
          <w:rFonts w:hint="eastAsia" w:ascii="仿宋_GB2312" w:eastAsia="仿宋_GB2312"/>
          <w:sz w:val="32"/>
          <w:szCs w:val="32"/>
        </w:rPr>
        <w:t>无此项内容。   。</w:t>
      </w:r>
    </w:p>
    <w:sectPr>
      <w:footerReference r:id="rId3" w:type="default"/>
      <w:footerReference r:id="rId4" w:type="even"/>
      <w:pgSz w:w="11906" w:h="16838"/>
      <w:pgMar w:top="1588"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CE2AE4"/>
    <w:multiLevelType w:val="singleLevel"/>
    <w:tmpl w:val="EACE2AE4"/>
    <w:lvl w:ilvl="0" w:tentative="0">
      <w:start w:val="1"/>
      <w:numFmt w:val="decimal"/>
      <w:suff w:val="nothing"/>
      <w:lvlText w:val="（%1）"/>
      <w:lvlJc w:val="left"/>
      <w:pPr>
        <w:ind w:left="450" w:firstLine="0"/>
      </w:pPr>
    </w:lvl>
  </w:abstractNum>
  <w:abstractNum w:abstractNumId="1">
    <w:nsid w:val="25F02EA1"/>
    <w:multiLevelType w:val="multilevel"/>
    <w:tmpl w:val="25F02EA1"/>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5B18A0A2"/>
    <w:multiLevelType w:val="singleLevel"/>
    <w:tmpl w:val="5B18A0A2"/>
    <w:lvl w:ilvl="0" w:tentative="0">
      <w:start w:val="1"/>
      <w:numFmt w:val="decimal"/>
      <w:suff w:val="nothing"/>
      <w:lvlText w:val="%1．"/>
      <w:lvlJc w:val="left"/>
    </w:lvl>
  </w:abstractNum>
  <w:abstractNum w:abstractNumId="3">
    <w:nsid w:val="5B4FE561"/>
    <w:multiLevelType w:val="singleLevel"/>
    <w:tmpl w:val="5B4FE561"/>
    <w:lvl w:ilvl="0" w:tentative="0">
      <w:start w:val="2"/>
      <w:numFmt w:val="chineseCounting"/>
      <w:suff w:val="nothing"/>
      <w:lvlText w:val="（%1）"/>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9D"/>
    <w:rsid w:val="00004250"/>
    <w:rsid w:val="000069C6"/>
    <w:rsid w:val="0001209E"/>
    <w:rsid w:val="00015E39"/>
    <w:rsid w:val="000279D4"/>
    <w:rsid w:val="00033092"/>
    <w:rsid w:val="00033ECB"/>
    <w:rsid w:val="000351FD"/>
    <w:rsid w:val="0003605E"/>
    <w:rsid w:val="0005319C"/>
    <w:rsid w:val="00064FF6"/>
    <w:rsid w:val="00066C70"/>
    <w:rsid w:val="00076DDA"/>
    <w:rsid w:val="00080C2C"/>
    <w:rsid w:val="00091D1A"/>
    <w:rsid w:val="00093F54"/>
    <w:rsid w:val="00097168"/>
    <w:rsid w:val="00097EE1"/>
    <w:rsid w:val="000A0E27"/>
    <w:rsid w:val="000B12C4"/>
    <w:rsid w:val="000B1536"/>
    <w:rsid w:val="000B3795"/>
    <w:rsid w:val="000B481D"/>
    <w:rsid w:val="000C458C"/>
    <w:rsid w:val="000D1ACF"/>
    <w:rsid w:val="000D2B42"/>
    <w:rsid w:val="000D48D7"/>
    <w:rsid w:val="000D69F4"/>
    <w:rsid w:val="000E077D"/>
    <w:rsid w:val="000E525C"/>
    <w:rsid w:val="000E7AE0"/>
    <w:rsid w:val="000E7BDF"/>
    <w:rsid w:val="000F0380"/>
    <w:rsid w:val="000F24E0"/>
    <w:rsid w:val="00114903"/>
    <w:rsid w:val="00133801"/>
    <w:rsid w:val="00134D56"/>
    <w:rsid w:val="00157223"/>
    <w:rsid w:val="00162BFB"/>
    <w:rsid w:val="00164835"/>
    <w:rsid w:val="001762E3"/>
    <w:rsid w:val="001869BC"/>
    <w:rsid w:val="00187955"/>
    <w:rsid w:val="001A395A"/>
    <w:rsid w:val="001B1088"/>
    <w:rsid w:val="001B6BCA"/>
    <w:rsid w:val="001C5045"/>
    <w:rsid w:val="001C6DAA"/>
    <w:rsid w:val="001D5AA8"/>
    <w:rsid w:val="001E61DA"/>
    <w:rsid w:val="001F199A"/>
    <w:rsid w:val="001F6B07"/>
    <w:rsid w:val="00207F81"/>
    <w:rsid w:val="002136B1"/>
    <w:rsid w:val="00216449"/>
    <w:rsid w:val="00220CD6"/>
    <w:rsid w:val="00225AA5"/>
    <w:rsid w:val="00226FBA"/>
    <w:rsid w:val="002309DA"/>
    <w:rsid w:val="00231296"/>
    <w:rsid w:val="00233D01"/>
    <w:rsid w:val="00237203"/>
    <w:rsid w:val="002412B3"/>
    <w:rsid w:val="0024534F"/>
    <w:rsid w:val="0024711C"/>
    <w:rsid w:val="00267EBB"/>
    <w:rsid w:val="002766CB"/>
    <w:rsid w:val="002874D4"/>
    <w:rsid w:val="002942E2"/>
    <w:rsid w:val="002A69AB"/>
    <w:rsid w:val="002B3F6C"/>
    <w:rsid w:val="002C0069"/>
    <w:rsid w:val="002E1EED"/>
    <w:rsid w:val="002E33D8"/>
    <w:rsid w:val="002E4A71"/>
    <w:rsid w:val="002E5A6E"/>
    <w:rsid w:val="002F0EEA"/>
    <w:rsid w:val="002F589A"/>
    <w:rsid w:val="002F6CEA"/>
    <w:rsid w:val="00300F9A"/>
    <w:rsid w:val="00301429"/>
    <w:rsid w:val="003075C1"/>
    <w:rsid w:val="003161B7"/>
    <w:rsid w:val="00326518"/>
    <w:rsid w:val="00354FCB"/>
    <w:rsid w:val="003624CE"/>
    <w:rsid w:val="00362A07"/>
    <w:rsid w:val="00372BE6"/>
    <w:rsid w:val="0039412E"/>
    <w:rsid w:val="00397DF7"/>
    <w:rsid w:val="003A0882"/>
    <w:rsid w:val="003A0FF2"/>
    <w:rsid w:val="003C033F"/>
    <w:rsid w:val="003C1C09"/>
    <w:rsid w:val="003C1CD5"/>
    <w:rsid w:val="003C200C"/>
    <w:rsid w:val="003C4AAD"/>
    <w:rsid w:val="003E3B35"/>
    <w:rsid w:val="003E6A8D"/>
    <w:rsid w:val="003E7F86"/>
    <w:rsid w:val="00401319"/>
    <w:rsid w:val="004071B8"/>
    <w:rsid w:val="004117A6"/>
    <w:rsid w:val="00412A3B"/>
    <w:rsid w:val="00413114"/>
    <w:rsid w:val="00413653"/>
    <w:rsid w:val="00420DB5"/>
    <w:rsid w:val="00424E85"/>
    <w:rsid w:val="0042599D"/>
    <w:rsid w:val="0043248F"/>
    <w:rsid w:val="00433F45"/>
    <w:rsid w:val="004340B8"/>
    <w:rsid w:val="00434692"/>
    <w:rsid w:val="00442F0B"/>
    <w:rsid w:val="00451791"/>
    <w:rsid w:val="004615B8"/>
    <w:rsid w:val="00464585"/>
    <w:rsid w:val="00464F9F"/>
    <w:rsid w:val="00473AAC"/>
    <w:rsid w:val="004763C0"/>
    <w:rsid w:val="00477190"/>
    <w:rsid w:val="00485866"/>
    <w:rsid w:val="00491E0C"/>
    <w:rsid w:val="004A40F0"/>
    <w:rsid w:val="004A5960"/>
    <w:rsid w:val="004A619F"/>
    <w:rsid w:val="004B55CE"/>
    <w:rsid w:val="004C1CED"/>
    <w:rsid w:val="004C6941"/>
    <w:rsid w:val="004D23C6"/>
    <w:rsid w:val="004D3EDC"/>
    <w:rsid w:val="004E653F"/>
    <w:rsid w:val="004F202E"/>
    <w:rsid w:val="004F3C70"/>
    <w:rsid w:val="004F3D75"/>
    <w:rsid w:val="004F40D7"/>
    <w:rsid w:val="004F46D1"/>
    <w:rsid w:val="00502EF4"/>
    <w:rsid w:val="00507239"/>
    <w:rsid w:val="00510E69"/>
    <w:rsid w:val="00515D11"/>
    <w:rsid w:val="0051616A"/>
    <w:rsid w:val="00521CFF"/>
    <w:rsid w:val="00522CC3"/>
    <w:rsid w:val="0053273F"/>
    <w:rsid w:val="00533C9C"/>
    <w:rsid w:val="00540278"/>
    <w:rsid w:val="00542029"/>
    <w:rsid w:val="0055211F"/>
    <w:rsid w:val="005531F0"/>
    <w:rsid w:val="0055355A"/>
    <w:rsid w:val="00554776"/>
    <w:rsid w:val="00555FCA"/>
    <w:rsid w:val="0056308D"/>
    <w:rsid w:val="0056501A"/>
    <w:rsid w:val="00592EDD"/>
    <w:rsid w:val="0059752D"/>
    <w:rsid w:val="005A15E4"/>
    <w:rsid w:val="005A19A3"/>
    <w:rsid w:val="005A3C97"/>
    <w:rsid w:val="005B3312"/>
    <w:rsid w:val="005B6C86"/>
    <w:rsid w:val="005B6F97"/>
    <w:rsid w:val="005C0886"/>
    <w:rsid w:val="005C5C3B"/>
    <w:rsid w:val="005C6D68"/>
    <w:rsid w:val="005E0B80"/>
    <w:rsid w:val="005F3EC4"/>
    <w:rsid w:val="0060738C"/>
    <w:rsid w:val="00610A51"/>
    <w:rsid w:val="006122FF"/>
    <w:rsid w:val="00616AD4"/>
    <w:rsid w:val="006240D6"/>
    <w:rsid w:val="00627867"/>
    <w:rsid w:val="00627ADB"/>
    <w:rsid w:val="00630C08"/>
    <w:rsid w:val="006335E9"/>
    <w:rsid w:val="00640C92"/>
    <w:rsid w:val="00642F92"/>
    <w:rsid w:val="00645D87"/>
    <w:rsid w:val="006478EA"/>
    <w:rsid w:val="00647E82"/>
    <w:rsid w:val="006525BD"/>
    <w:rsid w:val="00653F01"/>
    <w:rsid w:val="006659B0"/>
    <w:rsid w:val="00672AB5"/>
    <w:rsid w:val="0067663E"/>
    <w:rsid w:val="00691D9F"/>
    <w:rsid w:val="00693A3C"/>
    <w:rsid w:val="0069647C"/>
    <w:rsid w:val="006A1E7C"/>
    <w:rsid w:val="006A2F55"/>
    <w:rsid w:val="006A41D6"/>
    <w:rsid w:val="006A5031"/>
    <w:rsid w:val="006B0781"/>
    <w:rsid w:val="006B4F78"/>
    <w:rsid w:val="006B6117"/>
    <w:rsid w:val="006B664D"/>
    <w:rsid w:val="006C16CA"/>
    <w:rsid w:val="006D109D"/>
    <w:rsid w:val="006D3E08"/>
    <w:rsid w:val="006D7C06"/>
    <w:rsid w:val="006E48F6"/>
    <w:rsid w:val="006E53B2"/>
    <w:rsid w:val="006E6A60"/>
    <w:rsid w:val="006E7207"/>
    <w:rsid w:val="006F6E10"/>
    <w:rsid w:val="006F727C"/>
    <w:rsid w:val="006F7361"/>
    <w:rsid w:val="00700A5D"/>
    <w:rsid w:val="007112F4"/>
    <w:rsid w:val="007124CF"/>
    <w:rsid w:val="007164AF"/>
    <w:rsid w:val="007171E1"/>
    <w:rsid w:val="00740549"/>
    <w:rsid w:val="00742721"/>
    <w:rsid w:val="007500C8"/>
    <w:rsid w:val="00750189"/>
    <w:rsid w:val="007523E2"/>
    <w:rsid w:val="00757FC6"/>
    <w:rsid w:val="007673F6"/>
    <w:rsid w:val="00767780"/>
    <w:rsid w:val="007B306B"/>
    <w:rsid w:val="007B4520"/>
    <w:rsid w:val="007C1F9F"/>
    <w:rsid w:val="007C6C9A"/>
    <w:rsid w:val="007C7017"/>
    <w:rsid w:val="007D5A8E"/>
    <w:rsid w:val="007E2EF3"/>
    <w:rsid w:val="007F2307"/>
    <w:rsid w:val="007F3636"/>
    <w:rsid w:val="007F5796"/>
    <w:rsid w:val="008113FF"/>
    <w:rsid w:val="00811F6F"/>
    <w:rsid w:val="00814938"/>
    <w:rsid w:val="008155BF"/>
    <w:rsid w:val="008219BA"/>
    <w:rsid w:val="00824DB0"/>
    <w:rsid w:val="00834A59"/>
    <w:rsid w:val="00835CA7"/>
    <w:rsid w:val="00841512"/>
    <w:rsid w:val="00843D30"/>
    <w:rsid w:val="008445AD"/>
    <w:rsid w:val="00850D2A"/>
    <w:rsid w:val="00852796"/>
    <w:rsid w:val="00867122"/>
    <w:rsid w:val="0087571E"/>
    <w:rsid w:val="00883C91"/>
    <w:rsid w:val="00890039"/>
    <w:rsid w:val="008938FA"/>
    <w:rsid w:val="00896D3F"/>
    <w:rsid w:val="008A042B"/>
    <w:rsid w:val="008A6C17"/>
    <w:rsid w:val="008A7732"/>
    <w:rsid w:val="008A7D0C"/>
    <w:rsid w:val="008B284D"/>
    <w:rsid w:val="008C4A3B"/>
    <w:rsid w:val="008C63B9"/>
    <w:rsid w:val="008C699E"/>
    <w:rsid w:val="008D57CA"/>
    <w:rsid w:val="008E3AF6"/>
    <w:rsid w:val="008F1109"/>
    <w:rsid w:val="008F1D38"/>
    <w:rsid w:val="008F4712"/>
    <w:rsid w:val="008F64E7"/>
    <w:rsid w:val="00901201"/>
    <w:rsid w:val="0090553E"/>
    <w:rsid w:val="00905B40"/>
    <w:rsid w:val="009068B9"/>
    <w:rsid w:val="00906BF2"/>
    <w:rsid w:val="00906D51"/>
    <w:rsid w:val="0092031F"/>
    <w:rsid w:val="00934247"/>
    <w:rsid w:val="0095080E"/>
    <w:rsid w:val="00955DCD"/>
    <w:rsid w:val="009637C2"/>
    <w:rsid w:val="009642B1"/>
    <w:rsid w:val="00964F12"/>
    <w:rsid w:val="0096738E"/>
    <w:rsid w:val="009677FD"/>
    <w:rsid w:val="00970FFC"/>
    <w:rsid w:val="00983754"/>
    <w:rsid w:val="009866D4"/>
    <w:rsid w:val="009A5D8C"/>
    <w:rsid w:val="009B4A4D"/>
    <w:rsid w:val="009B62B7"/>
    <w:rsid w:val="009C3DFF"/>
    <w:rsid w:val="009D12D0"/>
    <w:rsid w:val="009D1E0E"/>
    <w:rsid w:val="009D2CB6"/>
    <w:rsid w:val="009E4AC3"/>
    <w:rsid w:val="00A050EE"/>
    <w:rsid w:val="00A405B0"/>
    <w:rsid w:val="00A43DC3"/>
    <w:rsid w:val="00A464A8"/>
    <w:rsid w:val="00A50801"/>
    <w:rsid w:val="00A520D2"/>
    <w:rsid w:val="00A6581F"/>
    <w:rsid w:val="00A6680B"/>
    <w:rsid w:val="00A74BF6"/>
    <w:rsid w:val="00A762E7"/>
    <w:rsid w:val="00A829C4"/>
    <w:rsid w:val="00A909F9"/>
    <w:rsid w:val="00A9201D"/>
    <w:rsid w:val="00A9370F"/>
    <w:rsid w:val="00A94391"/>
    <w:rsid w:val="00A94CB1"/>
    <w:rsid w:val="00AA3EC4"/>
    <w:rsid w:val="00AB54A9"/>
    <w:rsid w:val="00AC58BE"/>
    <w:rsid w:val="00AC66C3"/>
    <w:rsid w:val="00AD0622"/>
    <w:rsid w:val="00AD2101"/>
    <w:rsid w:val="00AD3B58"/>
    <w:rsid w:val="00AD6570"/>
    <w:rsid w:val="00AD6F34"/>
    <w:rsid w:val="00AE4842"/>
    <w:rsid w:val="00AF4E6A"/>
    <w:rsid w:val="00B0304F"/>
    <w:rsid w:val="00B06A0B"/>
    <w:rsid w:val="00B0704E"/>
    <w:rsid w:val="00B078BF"/>
    <w:rsid w:val="00B07BEB"/>
    <w:rsid w:val="00B166EC"/>
    <w:rsid w:val="00B25202"/>
    <w:rsid w:val="00B3161F"/>
    <w:rsid w:val="00B32E5B"/>
    <w:rsid w:val="00B33752"/>
    <w:rsid w:val="00B35DE2"/>
    <w:rsid w:val="00B52EA4"/>
    <w:rsid w:val="00B5594A"/>
    <w:rsid w:val="00B5643A"/>
    <w:rsid w:val="00B570D6"/>
    <w:rsid w:val="00B628C1"/>
    <w:rsid w:val="00B630AA"/>
    <w:rsid w:val="00B63CBD"/>
    <w:rsid w:val="00B664D0"/>
    <w:rsid w:val="00B66897"/>
    <w:rsid w:val="00B67C93"/>
    <w:rsid w:val="00B73C25"/>
    <w:rsid w:val="00B77B16"/>
    <w:rsid w:val="00B86BA5"/>
    <w:rsid w:val="00B86BBA"/>
    <w:rsid w:val="00B87B46"/>
    <w:rsid w:val="00B9067A"/>
    <w:rsid w:val="00B93BCD"/>
    <w:rsid w:val="00B94564"/>
    <w:rsid w:val="00B94876"/>
    <w:rsid w:val="00B94FEC"/>
    <w:rsid w:val="00BA0495"/>
    <w:rsid w:val="00BC1D3A"/>
    <w:rsid w:val="00BD0512"/>
    <w:rsid w:val="00BD5F5A"/>
    <w:rsid w:val="00BD5FC7"/>
    <w:rsid w:val="00BE17B7"/>
    <w:rsid w:val="00BE295D"/>
    <w:rsid w:val="00BE7AC4"/>
    <w:rsid w:val="00BF32D3"/>
    <w:rsid w:val="00BF33B9"/>
    <w:rsid w:val="00BF453B"/>
    <w:rsid w:val="00BF7D0F"/>
    <w:rsid w:val="00C131C7"/>
    <w:rsid w:val="00C14862"/>
    <w:rsid w:val="00C16367"/>
    <w:rsid w:val="00C225FF"/>
    <w:rsid w:val="00C2457C"/>
    <w:rsid w:val="00C31F1D"/>
    <w:rsid w:val="00C35144"/>
    <w:rsid w:val="00C376B3"/>
    <w:rsid w:val="00C4074E"/>
    <w:rsid w:val="00C42F84"/>
    <w:rsid w:val="00C47C38"/>
    <w:rsid w:val="00C61571"/>
    <w:rsid w:val="00C73114"/>
    <w:rsid w:val="00C7551A"/>
    <w:rsid w:val="00C7639C"/>
    <w:rsid w:val="00C834A2"/>
    <w:rsid w:val="00C84DFC"/>
    <w:rsid w:val="00C965F1"/>
    <w:rsid w:val="00C96699"/>
    <w:rsid w:val="00CA053E"/>
    <w:rsid w:val="00CB5F6A"/>
    <w:rsid w:val="00CC551D"/>
    <w:rsid w:val="00CD505F"/>
    <w:rsid w:val="00CD5F51"/>
    <w:rsid w:val="00CD60ED"/>
    <w:rsid w:val="00CE1618"/>
    <w:rsid w:val="00CE72BE"/>
    <w:rsid w:val="00CF125A"/>
    <w:rsid w:val="00CF1618"/>
    <w:rsid w:val="00CF3AD9"/>
    <w:rsid w:val="00CF4999"/>
    <w:rsid w:val="00D0339D"/>
    <w:rsid w:val="00D05FDC"/>
    <w:rsid w:val="00D103A3"/>
    <w:rsid w:val="00D13243"/>
    <w:rsid w:val="00D17B3B"/>
    <w:rsid w:val="00D22F1C"/>
    <w:rsid w:val="00D23909"/>
    <w:rsid w:val="00D24EFE"/>
    <w:rsid w:val="00D31556"/>
    <w:rsid w:val="00D37E40"/>
    <w:rsid w:val="00D4053C"/>
    <w:rsid w:val="00D42199"/>
    <w:rsid w:val="00D42CF1"/>
    <w:rsid w:val="00D458F5"/>
    <w:rsid w:val="00D51309"/>
    <w:rsid w:val="00D53A29"/>
    <w:rsid w:val="00D53E8D"/>
    <w:rsid w:val="00D61BB2"/>
    <w:rsid w:val="00D61D5A"/>
    <w:rsid w:val="00D658DE"/>
    <w:rsid w:val="00D736C8"/>
    <w:rsid w:val="00D75C46"/>
    <w:rsid w:val="00D76C49"/>
    <w:rsid w:val="00D77248"/>
    <w:rsid w:val="00D85E6A"/>
    <w:rsid w:val="00D951E4"/>
    <w:rsid w:val="00DA0DA5"/>
    <w:rsid w:val="00DA5FC7"/>
    <w:rsid w:val="00DB12EA"/>
    <w:rsid w:val="00DB1D14"/>
    <w:rsid w:val="00DB2BDC"/>
    <w:rsid w:val="00DD7F5E"/>
    <w:rsid w:val="00DF5A68"/>
    <w:rsid w:val="00E11AC2"/>
    <w:rsid w:val="00E14E3B"/>
    <w:rsid w:val="00E16BB5"/>
    <w:rsid w:val="00E16CE4"/>
    <w:rsid w:val="00E31111"/>
    <w:rsid w:val="00E33882"/>
    <w:rsid w:val="00E34AA1"/>
    <w:rsid w:val="00E3758A"/>
    <w:rsid w:val="00E40DA4"/>
    <w:rsid w:val="00E476F1"/>
    <w:rsid w:val="00E61077"/>
    <w:rsid w:val="00E7514F"/>
    <w:rsid w:val="00E76629"/>
    <w:rsid w:val="00E837C9"/>
    <w:rsid w:val="00E83F12"/>
    <w:rsid w:val="00E84745"/>
    <w:rsid w:val="00E84E26"/>
    <w:rsid w:val="00E97D00"/>
    <w:rsid w:val="00EB3219"/>
    <w:rsid w:val="00EC432D"/>
    <w:rsid w:val="00ED2E2C"/>
    <w:rsid w:val="00EF6916"/>
    <w:rsid w:val="00F0416A"/>
    <w:rsid w:val="00F06822"/>
    <w:rsid w:val="00F078C8"/>
    <w:rsid w:val="00F13CCC"/>
    <w:rsid w:val="00F24245"/>
    <w:rsid w:val="00F262B1"/>
    <w:rsid w:val="00F3421D"/>
    <w:rsid w:val="00F47D06"/>
    <w:rsid w:val="00F506C9"/>
    <w:rsid w:val="00F52998"/>
    <w:rsid w:val="00F533A9"/>
    <w:rsid w:val="00F727DA"/>
    <w:rsid w:val="00F72D62"/>
    <w:rsid w:val="00F753D9"/>
    <w:rsid w:val="00F75DE5"/>
    <w:rsid w:val="00F82D6D"/>
    <w:rsid w:val="00F832D0"/>
    <w:rsid w:val="00F871CF"/>
    <w:rsid w:val="00F91525"/>
    <w:rsid w:val="00F94A2D"/>
    <w:rsid w:val="00F97BAE"/>
    <w:rsid w:val="00FA2258"/>
    <w:rsid w:val="00FA380A"/>
    <w:rsid w:val="00FB103F"/>
    <w:rsid w:val="00FB3DBF"/>
    <w:rsid w:val="00FB742E"/>
    <w:rsid w:val="00FC32B0"/>
    <w:rsid w:val="00FF6C9D"/>
    <w:rsid w:val="020A3E55"/>
    <w:rsid w:val="03B35272"/>
    <w:rsid w:val="03F56CE0"/>
    <w:rsid w:val="045247AD"/>
    <w:rsid w:val="04994ECD"/>
    <w:rsid w:val="050F2673"/>
    <w:rsid w:val="05964F73"/>
    <w:rsid w:val="05B62546"/>
    <w:rsid w:val="05BC5866"/>
    <w:rsid w:val="06867253"/>
    <w:rsid w:val="07C90D93"/>
    <w:rsid w:val="08E84D79"/>
    <w:rsid w:val="0B4B35C9"/>
    <w:rsid w:val="0CD221E3"/>
    <w:rsid w:val="0F7472BA"/>
    <w:rsid w:val="124D6726"/>
    <w:rsid w:val="13BE3560"/>
    <w:rsid w:val="143B2294"/>
    <w:rsid w:val="14CD2A0B"/>
    <w:rsid w:val="1639614A"/>
    <w:rsid w:val="177D2840"/>
    <w:rsid w:val="18DF3883"/>
    <w:rsid w:val="190C449B"/>
    <w:rsid w:val="208674F2"/>
    <w:rsid w:val="24257B8C"/>
    <w:rsid w:val="25AD191A"/>
    <w:rsid w:val="2704154E"/>
    <w:rsid w:val="27B501F6"/>
    <w:rsid w:val="28F978D3"/>
    <w:rsid w:val="295302F4"/>
    <w:rsid w:val="2967379D"/>
    <w:rsid w:val="298713DC"/>
    <w:rsid w:val="2B233464"/>
    <w:rsid w:val="2B5D7070"/>
    <w:rsid w:val="2D050793"/>
    <w:rsid w:val="2D7A02B7"/>
    <w:rsid w:val="2DFB6EAD"/>
    <w:rsid w:val="30A54AA7"/>
    <w:rsid w:val="327A4EFB"/>
    <w:rsid w:val="33F00290"/>
    <w:rsid w:val="36DB56F0"/>
    <w:rsid w:val="38A04B18"/>
    <w:rsid w:val="38A56EDD"/>
    <w:rsid w:val="39A6790F"/>
    <w:rsid w:val="3A704625"/>
    <w:rsid w:val="3A9A5009"/>
    <w:rsid w:val="3AD7796C"/>
    <w:rsid w:val="3AE53168"/>
    <w:rsid w:val="3B8B31F1"/>
    <w:rsid w:val="3CD972B8"/>
    <w:rsid w:val="3D9763A7"/>
    <w:rsid w:val="3DB42A8F"/>
    <w:rsid w:val="3F433B0F"/>
    <w:rsid w:val="40033B58"/>
    <w:rsid w:val="431E50D1"/>
    <w:rsid w:val="437722AF"/>
    <w:rsid w:val="45345855"/>
    <w:rsid w:val="49B53BC4"/>
    <w:rsid w:val="4C4A33F4"/>
    <w:rsid w:val="504131B1"/>
    <w:rsid w:val="5D355A8C"/>
    <w:rsid w:val="5DCC0D23"/>
    <w:rsid w:val="5FBB6D33"/>
    <w:rsid w:val="695B42A3"/>
    <w:rsid w:val="6B6F13D8"/>
    <w:rsid w:val="6D000475"/>
    <w:rsid w:val="6DFA00BB"/>
    <w:rsid w:val="78410B51"/>
    <w:rsid w:val="78A600F6"/>
    <w:rsid w:val="7CE94BE7"/>
    <w:rsid w:val="7F7D1D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2">
    <w:name w:val="Body Text Indent"/>
    <w:basedOn w:val="1"/>
    <w:link w:val="15"/>
    <w:qFormat/>
    <w:uiPriority w:val="0"/>
    <w:pPr>
      <w:ind w:firstLine="645"/>
    </w:pPr>
    <w:rPr>
      <w:rFonts w:ascii="仿宋_GB2312" w:eastAsia="仿宋_GB2312"/>
      <w:sz w:val="32"/>
      <w:szCs w:val="32"/>
    </w:rPr>
  </w:style>
  <w:style w:type="paragraph" w:styleId="3">
    <w:name w:val="Date"/>
    <w:basedOn w:val="1"/>
    <w:next w:val="1"/>
    <w:link w:val="12"/>
    <w:qFormat/>
    <w:uiPriority w:val="0"/>
    <w:pPr>
      <w:ind w:left="100" w:leftChars="2500"/>
    </w:pPr>
  </w:style>
  <w:style w:type="paragraph" w:styleId="4">
    <w:name w:val="Balloon Text"/>
    <w:basedOn w:val="1"/>
    <w:semiHidden/>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spacing w:before="100" w:beforeAutospacing="1" w:after="100" w:afterAutospacing="1"/>
      <w:ind w:right="238"/>
      <w:jc w:val="left"/>
    </w:pPr>
    <w:rPr>
      <w:b/>
      <w:kern w:val="0"/>
      <w:sz w:val="24"/>
      <w:szCs w:val="20"/>
    </w:rPr>
  </w:style>
  <w:style w:type="character" w:styleId="9">
    <w:name w:val="Strong"/>
    <w:qFormat/>
    <w:uiPriority w:val="0"/>
    <w:rPr>
      <w:b/>
    </w:rPr>
  </w:style>
  <w:style w:type="character" w:styleId="10">
    <w:name w:val="page number"/>
    <w:basedOn w:val="8"/>
    <w:uiPriority w:val="0"/>
  </w:style>
  <w:style w:type="character" w:customStyle="1" w:styleId="12">
    <w:name w:val="日期 Char"/>
    <w:link w:val="3"/>
    <w:uiPriority w:val="0"/>
    <w:rPr>
      <w:kern w:val="2"/>
      <w:sz w:val="21"/>
      <w:szCs w:val="24"/>
    </w:rPr>
  </w:style>
  <w:style w:type="character" w:customStyle="1" w:styleId="13">
    <w:name w:val="页眉 Char"/>
    <w:link w:val="6"/>
    <w:uiPriority w:val="0"/>
    <w:rPr>
      <w:kern w:val="2"/>
      <w:sz w:val="18"/>
      <w:szCs w:val="18"/>
    </w:rPr>
  </w:style>
  <w:style w:type="character" w:customStyle="1" w:styleId="14">
    <w:name w:val="页脚 Char"/>
    <w:link w:val="5"/>
    <w:uiPriority w:val="0"/>
    <w:rPr>
      <w:kern w:val="2"/>
      <w:sz w:val="18"/>
      <w:szCs w:val="18"/>
    </w:rPr>
  </w:style>
  <w:style w:type="character" w:customStyle="1" w:styleId="15">
    <w:name w:val="正文文本缩进 Char"/>
    <w:link w:val="2"/>
    <w:qFormat/>
    <w:uiPriority w:val="0"/>
    <w:rPr>
      <w:rFonts w:ascii="仿宋_GB2312" w:hAnsi="Calibri" w:eastAsia="仿宋_GB2312"/>
      <w:kern w:val="2"/>
      <w:sz w:val="32"/>
      <w:szCs w:val="32"/>
    </w:rPr>
  </w:style>
  <w:style w:type="paragraph" w:customStyle="1" w:styleId="16">
    <w:name w:val="Char"/>
    <w:basedOn w:val="1"/>
    <w:uiPriority w:val="0"/>
    <w:rPr>
      <w:rFonts w:ascii="Tahoma" w:hAnsi="Tahoma"/>
      <w:sz w:val="24"/>
      <w:szCs w:val="20"/>
    </w:rPr>
  </w:style>
  <w:style w:type="paragraph" w:customStyle="1" w:styleId="17">
    <w:name w:val=" Char Char3 Char Char"/>
    <w:basedOn w:val="1"/>
    <w:uiPriority w:val="0"/>
    <w:rPr>
      <w:szCs w:val="21"/>
    </w:rPr>
  </w:style>
  <w:style w:type="paragraph" w:customStyle="1" w:styleId="18">
    <w:name w:val="Char1 Char Char Char"/>
    <w:basedOn w:val="1"/>
    <w:uiPriority w:val="0"/>
    <w:pPr>
      <w:widowControl/>
      <w:spacing w:after="160" w:line="240" w:lineRule="exact"/>
      <w:jc w:val="left"/>
    </w:pPr>
    <w:rPr>
      <w:szCs w:val="20"/>
    </w:rPr>
  </w:style>
  <w:style w:type="paragraph" w:customStyle="1" w:styleId="19">
    <w:name w:val=" Char Char Char Char Char Char Char"/>
    <w:basedOn w:val="1"/>
    <w:uiPriority w:val="0"/>
    <w:rPr>
      <w:rFonts w:ascii="Tahoma" w:hAnsi="Tahoma"/>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1305</Words>
  <Characters>7439</Characters>
  <Lines>61</Lines>
  <Paragraphs>17</Paragraphs>
  <ScaleCrop>false</ScaleCrop>
  <LinksUpToDate>false</LinksUpToDate>
  <CharactersWithSpaces>8727</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2018-08-01T09:13:00Z</dcterms:created>
  <dc:creator>user</dc:creator>
  <cp:lastModifiedBy>vv</cp:lastModifiedBy>
  <cp:lastPrinted>2018-06-04T01:12:00Z</cp:lastPrinted>
  <dcterms:modified xsi:type="dcterms:W3CDTF">2022-05-16T07:23:42Z</dcterms:modified>
  <dc:title>门头沟区民防局2012年预算情况说明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