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line="312" w:lineRule="auto"/>
        <w:outlineLvl w:val="1"/>
        <w:rPr>
          <w:rFonts w:ascii="Cambria" w:hAnsi="Cambria" w:eastAsia="宋体" w:cs="Times New Roman"/>
          <w:b/>
          <w:bCs/>
          <w:szCs w:val="21"/>
        </w:rPr>
      </w:pPr>
      <w:bookmarkStart w:id="0" w:name="_Toc396293518"/>
      <w:r>
        <w:rPr>
          <w:rFonts w:hint="eastAsia" w:ascii="Cambria" w:hAnsi="Cambria" w:eastAsia="宋体" w:cs="Times New Roman"/>
          <w:b/>
          <w:bCs/>
          <w:szCs w:val="21"/>
        </w:rPr>
        <w:t>附件</w:t>
      </w:r>
      <w:r>
        <w:rPr>
          <w:rFonts w:ascii="Cambria" w:hAnsi="Cambria" w:eastAsia="宋体" w:cs="Times New Roman"/>
          <w:b/>
          <w:bCs/>
          <w:szCs w:val="21"/>
        </w:rPr>
        <w:t>3</w:t>
      </w:r>
    </w:p>
    <w:p>
      <w:pPr>
        <w:keepNext/>
        <w:keepLines/>
        <w:spacing w:line="312" w:lineRule="auto"/>
        <w:jc w:val="center"/>
        <w:outlineLvl w:val="1"/>
        <w:rPr>
          <w:rFonts w:ascii="Cambria" w:hAnsi="Cambria" w:eastAsia="宋体" w:cs="Times New Roman"/>
          <w:b/>
          <w:bCs/>
          <w:sz w:val="52"/>
          <w:szCs w:val="52"/>
        </w:rPr>
      </w:pPr>
    </w:p>
    <w:bookmarkEnd w:id="0"/>
    <w:p>
      <w:pPr>
        <w:jc w:val="center"/>
        <w:rPr>
          <w:rFonts w:ascii="宋体" w:hAnsi="Times New Roman" w:eastAsia="宋体" w:cs="Times New Roman"/>
          <w:b/>
          <w:color w:val="000000"/>
          <w:sz w:val="48"/>
          <w:szCs w:val="48"/>
        </w:rPr>
      </w:pPr>
      <w:r>
        <w:rPr>
          <w:rFonts w:hint="eastAsia" w:ascii="宋体" w:hAnsi="宋体" w:eastAsia="宋体" w:cs="宋体"/>
          <w:b/>
          <w:color w:val="000000"/>
          <w:sz w:val="48"/>
          <w:szCs w:val="48"/>
        </w:rPr>
        <w:t>部门整体支出绩效自评报告</w:t>
      </w:r>
    </w:p>
    <w:p>
      <w:pPr>
        <w:jc w:val="center"/>
        <w:rPr>
          <w:rFonts w:ascii="宋体" w:hAnsi="宋体" w:eastAsia="宋体" w:cs="Times New Roman"/>
          <w:b/>
          <w:color w:val="000000"/>
          <w:sz w:val="48"/>
          <w:szCs w:val="48"/>
        </w:rPr>
      </w:pPr>
      <w:r>
        <w:rPr>
          <w:rFonts w:ascii="宋体" w:hAnsi="宋体" w:eastAsia="宋体" w:cs="Times New Roman"/>
          <w:b/>
          <w:color w:val="000000"/>
          <w:sz w:val="48"/>
          <w:szCs w:val="48"/>
        </w:rPr>
        <w:t>(202</w:t>
      </w:r>
      <w:r>
        <w:rPr>
          <w:rFonts w:hint="eastAsia" w:ascii="宋体" w:hAnsi="宋体" w:eastAsia="宋体" w:cs="Times New Roman"/>
          <w:b/>
          <w:color w:val="000000"/>
          <w:sz w:val="48"/>
          <w:szCs w:val="48"/>
        </w:rPr>
        <w:t>3</w:t>
      </w:r>
      <w:r>
        <w:rPr>
          <w:rFonts w:hint="eastAsia" w:ascii="宋体" w:hAnsi="宋体" w:eastAsia="宋体" w:cs="宋体"/>
          <w:b/>
          <w:color w:val="000000"/>
          <w:sz w:val="48"/>
          <w:szCs w:val="48"/>
        </w:rPr>
        <w:t>年度</w:t>
      </w:r>
      <w:r>
        <w:rPr>
          <w:rFonts w:ascii="宋体" w:hAnsi="宋体" w:eastAsia="宋体" w:cs="Times New Roman"/>
          <w:b/>
          <w:color w:val="000000"/>
          <w:sz w:val="48"/>
          <w:szCs w:val="48"/>
        </w:rPr>
        <w:t>)</w:t>
      </w:r>
    </w:p>
    <w:p>
      <w:pPr>
        <w:adjustRightInd w:val="0"/>
        <w:snapToGrid w:val="0"/>
        <w:spacing w:before="100" w:beforeAutospacing="1" w:after="100" w:afterAutospacing="1" w:line="312" w:lineRule="auto"/>
        <w:ind w:firstLine="636" w:firstLineChars="200"/>
        <w:rPr>
          <w:rFonts w:ascii="仿宋_GB2312" w:hAnsi="宋体" w:eastAsia="仿宋_GB2312" w:cs="Times New Roman"/>
          <w:color w:val="000000"/>
          <w:sz w:val="32"/>
          <w:szCs w:val="32"/>
        </w:rPr>
      </w:pPr>
    </w:p>
    <w:p>
      <w:pPr>
        <w:adjustRightInd w:val="0"/>
        <w:snapToGrid w:val="0"/>
        <w:spacing w:before="100" w:beforeAutospacing="1" w:after="100" w:afterAutospacing="1" w:line="312" w:lineRule="auto"/>
        <w:ind w:firstLine="636" w:firstLineChars="200"/>
        <w:rPr>
          <w:rFonts w:ascii="仿宋_GB2312" w:hAnsi="宋体" w:eastAsia="仿宋_GB2312" w:cs="Times New Roman"/>
          <w:color w:val="000000"/>
          <w:sz w:val="32"/>
          <w:szCs w:val="32"/>
        </w:rPr>
      </w:pPr>
    </w:p>
    <w:p>
      <w:pPr>
        <w:adjustRightInd w:val="0"/>
        <w:snapToGrid w:val="0"/>
        <w:spacing w:before="100" w:beforeAutospacing="1" w:after="100" w:afterAutospacing="1" w:line="312" w:lineRule="auto"/>
        <w:ind w:firstLine="636" w:firstLineChars="200"/>
        <w:rPr>
          <w:rFonts w:ascii="仿宋_GB2312" w:hAnsi="宋体" w:eastAsia="仿宋_GB2312" w:cs="Times New Roman"/>
          <w:color w:val="000000"/>
          <w:sz w:val="32"/>
          <w:szCs w:val="32"/>
        </w:rPr>
      </w:pPr>
    </w:p>
    <w:p>
      <w:pPr>
        <w:adjustRightInd w:val="0"/>
        <w:snapToGrid w:val="0"/>
        <w:spacing w:before="100" w:beforeAutospacing="1" w:after="100" w:afterAutospacing="1" w:line="312" w:lineRule="auto"/>
        <w:rPr>
          <w:rFonts w:ascii="宋体" w:hAnsi="Times New Roman" w:eastAsia="宋体" w:cs="Times New Roman"/>
          <w:color w:val="000000"/>
          <w:sz w:val="32"/>
          <w:szCs w:val="32"/>
        </w:rPr>
      </w:pPr>
    </w:p>
    <w:p>
      <w:pPr>
        <w:spacing w:line="360" w:lineRule="auto"/>
        <w:ind w:firstLine="1059" w:firstLineChars="333"/>
        <w:jc w:val="left"/>
        <w:rPr>
          <w:rFonts w:ascii="宋体" w:hAnsi="宋体" w:eastAsia="宋体" w:cs="Times New Roman"/>
          <w:b/>
          <w:color w:val="000000"/>
          <w:spacing w:val="-14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color w:val="000000"/>
          <w:sz w:val="32"/>
          <w:szCs w:val="32"/>
        </w:rPr>
        <w:t>部门名称：</w:t>
      </w:r>
      <w:r>
        <w:rPr>
          <w:rFonts w:ascii="宋体" w:hAnsi="宋体" w:eastAsia="宋体" w:cs="Times New Roman"/>
          <w:b/>
          <w:color w:val="000000"/>
          <w:spacing w:val="-14"/>
          <w:sz w:val="32"/>
          <w:szCs w:val="32"/>
        </w:rPr>
        <w:t xml:space="preserve"> </w:t>
      </w:r>
      <w:r>
        <w:rPr>
          <w:rFonts w:ascii="宋体" w:hAnsi="宋体" w:eastAsia="宋体" w:cs="Times New Roman"/>
          <w:b/>
          <w:color w:val="000000"/>
          <w:spacing w:val="-14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/>
          <w:b/>
          <w:color w:val="000000"/>
          <w:spacing w:val="-14"/>
          <w:sz w:val="32"/>
          <w:u w:val="single"/>
        </w:rPr>
        <w:t>门头沟区军庄镇人民政府</w:t>
      </w:r>
      <w:r>
        <w:rPr>
          <w:rFonts w:hint="eastAsia" w:ascii="宋体" w:hAnsi="宋体" w:eastAsia="宋体" w:cs="宋体"/>
          <w:b/>
          <w:sz w:val="32"/>
          <w:szCs w:val="32"/>
          <w:u w:val="single"/>
        </w:rPr>
        <w:t>（盖章）</w:t>
      </w:r>
      <w:r>
        <w:rPr>
          <w:rFonts w:ascii="宋体" w:hAnsi="宋体" w:eastAsia="宋体" w:cs="Times New Roman"/>
          <w:b/>
          <w:color w:val="000000"/>
          <w:spacing w:val="-14"/>
          <w:sz w:val="32"/>
          <w:szCs w:val="32"/>
          <w:u w:val="single"/>
        </w:rPr>
        <w:t xml:space="preserve">  </w:t>
      </w:r>
    </w:p>
    <w:p>
      <w:pPr>
        <w:spacing w:line="360" w:lineRule="auto"/>
        <w:ind w:firstLine="1059" w:firstLineChars="333"/>
        <w:jc w:val="left"/>
        <w:rPr>
          <w:rFonts w:ascii="宋体" w:hAnsi="宋体" w:eastAsia="宋体" w:cs="Times New Roman"/>
          <w:b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color w:val="000000"/>
          <w:sz w:val="32"/>
          <w:szCs w:val="32"/>
        </w:rPr>
        <w:t>填报日期：</w:t>
      </w:r>
      <w:r>
        <w:rPr>
          <w:rFonts w:ascii="宋体" w:hAnsi="宋体" w:eastAsia="宋体" w:cs="Times New Roman"/>
          <w:b/>
          <w:color w:val="000000"/>
          <w:sz w:val="32"/>
          <w:szCs w:val="32"/>
        </w:rPr>
        <w:t xml:space="preserve"> </w:t>
      </w:r>
      <w:r>
        <w:rPr>
          <w:rFonts w:ascii="宋体" w:hAnsi="宋体" w:eastAsia="宋体" w:cs="Times New Roman"/>
          <w:b/>
          <w:color w:val="000000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Times New Roman"/>
          <w:b/>
          <w:color w:val="000000"/>
          <w:sz w:val="32"/>
          <w:szCs w:val="32"/>
          <w:u w:val="single"/>
          <w:lang w:val="en-US" w:eastAsia="zh-CN"/>
        </w:rPr>
        <w:t xml:space="preserve">2024  </w:t>
      </w:r>
      <w:r>
        <w:rPr>
          <w:rFonts w:hint="eastAsia" w:ascii="宋体" w:hAnsi="宋体" w:eastAsia="宋体" w:cs="宋体"/>
          <w:b/>
          <w:color w:val="000000"/>
          <w:sz w:val="32"/>
          <w:szCs w:val="32"/>
          <w:u w:val="single"/>
        </w:rPr>
        <w:t>年</w:t>
      </w:r>
      <w:r>
        <w:rPr>
          <w:rFonts w:hint="eastAsia" w:ascii="宋体" w:hAnsi="宋体" w:eastAsia="宋体" w:cs="宋体"/>
          <w:b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ascii="宋体" w:hAnsi="宋体" w:eastAsia="宋体" w:cs="Times New Roman"/>
          <w:b/>
          <w:color w:val="000000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Times New Roman"/>
          <w:b/>
          <w:color w:val="000000"/>
          <w:sz w:val="32"/>
          <w:szCs w:val="32"/>
          <w:u w:val="single"/>
          <w:lang w:val="en-US" w:eastAsia="zh-CN"/>
        </w:rPr>
        <w:t>4</w:t>
      </w:r>
      <w:r>
        <w:rPr>
          <w:rFonts w:ascii="宋体" w:hAnsi="宋体" w:eastAsia="宋体" w:cs="Times New Roman"/>
          <w:b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 w:val="32"/>
          <w:szCs w:val="32"/>
          <w:u w:val="single"/>
        </w:rPr>
        <w:t>月</w:t>
      </w:r>
      <w:r>
        <w:rPr>
          <w:rFonts w:ascii="宋体" w:hAnsi="宋体" w:eastAsia="宋体" w:cs="Times New Roman"/>
          <w:b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  <w:lang w:val="en-US" w:eastAsia="zh-CN"/>
        </w:rPr>
        <w:t>15</w:t>
      </w:r>
      <w:r>
        <w:rPr>
          <w:rFonts w:ascii="宋体" w:hAnsi="宋体" w:eastAsia="宋体" w:cs="Times New Roman"/>
          <w:b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b/>
          <w:sz w:val="32"/>
          <w:szCs w:val="32"/>
          <w:u w:val="single"/>
        </w:rPr>
        <w:t>日</w:t>
      </w:r>
      <w:r>
        <w:rPr>
          <w:rFonts w:ascii="宋体" w:hAnsi="宋体" w:eastAsia="宋体" w:cs="Times New Roman"/>
          <w:b/>
          <w:sz w:val="32"/>
          <w:szCs w:val="32"/>
          <w:u w:val="single"/>
        </w:rPr>
        <w:t xml:space="preserve"> </w:t>
      </w:r>
      <w:r>
        <w:rPr>
          <w:rFonts w:ascii="宋体" w:hAnsi="宋体" w:eastAsia="宋体" w:cs="Times New Roman"/>
          <w:b/>
          <w:color w:val="000000"/>
          <w:sz w:val="32"/>
          <w:szCs w:val="32"/>
          <w:u w:val="single"/>
        </w:rPr>
        <w:t xml:space="preserve">   </w:t>
      </w:r>
    </w:p>
    <w:p>
      <w:pPr>
        <w:adjustRightInd w:val="0"/>
        <w:snapToGrid w:val="0"/>
        <w:spacing w:before="100" w:beforeAutospacing="1" w:after="100" w:afterAutospacing="1" w:line="312" w:lineRule="auto"/>
        <w:ind w:firstLine="1310" w:firstLineChars="412"/>
        <w:rPr>
          <w:rFonts w:ascii="仿宋_GB2312" w:hAnsi="宋体" w:eastAsia="仿宋_GB2312" w:cs="Times New Roman"/>
          <w:color w:val="000000"/>
          <w:sz w:val="32"/>
          <w:szCs w:val="32"/>
        </w:rPr>
      </w:pPr>
    </w:p>
    <w:p>
      <w:pPr>
        <w:adjustRightInd w:val="0"/>
        <w:snapToGrid w:val="0"/>
        <w:spacing w:before="100" w:beforeAutospacing="1" w:after="100" w:afterAutospacing="1" w:line="312" w:lineRule="auto"/>
        <w:ind w:firstLine="1310" w:firstLineChars="412"/>
        <w:rPr>
          <w:rFonts w:ascii="宋体" w:hAnsi="Times New Roman" w:eastAsia="宋体" w:cs="Times New Roman"/>
          <w:color w:val="000000"/>
          <w:sz w:val="32"/>
          <w:szCs w:val="32"/>
        </w:rPr>
      </w:pPr>
    </w:p>
    <w:p>
      <w:pPr>
        <w:widowControl/>
        <w:adjustRightInd w:val="0"/>
        <w:snapToGrid w:val="0"/>
        <w:spacing w:before="100" w:beforeAutospacing="1" w:after="100" w:afterAutospacing="1" w:line="312" w:lineRule="auto"/>
        <w:ind w:right="45" w:firstLine="476" w:firstLineChars="200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before="100" w:beforeAutospacing="1" w:after="100" w:afterAutospacing="1" w:line="360" w:lineRule="auto"/>
        <w:jc w:val="center"/>
        <w:rPr>
          <w:rFonts w:ascii="宋体" w:hAnsi="宋体" w:eastAsia="宋体" w:cs="宋体"/>
          <w:b/>
          <w:color w:val="000000"/>
          <w:kern w:val="0"/>
          <w:sz w:val="36"/>
          <w:szCs w:val="36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40"/>
          <w:pgMar w:top="1440" w:right="1797" w:bottom="1440" w:left="1797" w:header="851" w:footer="992" w:gutter="0"/>
          <w:cols w:space="425" w:num="1"/>
          <w:docGrid w:type="linesAndChars" w:linePitch="606" w:charSpace="-614"/>
        </w:sectPr>
      </w:pPr>
    </w:p>
    <w:p>
      <w:pPr>
        <w:widowControl/>
        <w:spacing w:line="560" w:lineRule="exact"/>
        <w:ind w:firstLine="716" w:firstLineChars="200"/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ascii="宋体" w:hAnsi="宋体" w:eastAsia="宋体" w:cs="宋体"/>
          <w:b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sz w:val="36"/>
          <w:szCs w:val="36"/>
        </w:rPr>
        <w:t>3年部门整体支出绩效自评报告</w:t>
      </w:r>
    </w:p>
    <w:p>
      <w:pPr>
        <w:widowControl/>
        <w:spacing w:line="560" w:lineRule="exact"/>
        <w:ind w:firstLine="636" w:firstLineChars="200"/>
        <w:rPr>
          <w:rFonts w:ascii="黑体" w:hAnsi="黑体" w:eastAsia="黑体" w:cs="宋体"/>
          <w:sz w:val="32"/>
          <w:szCs w:val="32"/>
        </w:rPr>
      </w:pPr>
    </w:p>
    <w:p>
      <w:pPr>
        <w:widowControl/>
        <w:adjustRightInd w:val="0"/>
        <w:snapToGrid w:val="0"/>
        <w:spacing w:line="520" w:lineRule="exact"/>
        <w:ind w:firstLine="636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一、部门概况</w:t>
      </w:r>
    </w:p>
    <w:p>
      <w:pPr>
        <w:adjustRightInd w:val="0"/>
        <w:snapToGrid w:val="0"/>
        <w:spacing w:line="520" w:lineRule="exact"/>
        <w:ind w:firstLine="636" w:firstLineChars="200"/>
        <w:rPr>
          <w:rFonts w:ascii="楷体_GB2312" w:hAnsi="仿宋" w:eastAsia="楷体_GB2312" w:cs="Times New Roman"/>
          <w:sz w:val="32"/>
          <w:szCs w:val="32"/>
        </w:rPr>
      </w:pPr>
      <w:bookmarkStart w:id="1" w:name="_Toc268005755"/>
      <w:r>
        <w:rPr>
          <w:rFonts w:hint="eastAsia" w:ascii="楷体_GB2312" w:hAnsi="仿宋" w:eastAsia="楷体_GB2312" w:cs="Times New Roman"/>
          <w:sz w:val="32"/>
          <w:szCs w:val="32"/>
        </w:rPr>
        <w:t>（一）部门职责情况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军庄镇人民政府隶属于门头沟区人民政府，属于政府职能部门，其职责是加强对军庄镇经济和社会发展的统筹规划和组织协调服务；加强社会主义民主政治和法制建设，依法行政，规范管理；完善农村社会化服务体系，为农业和农村经济发展创造条件。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贯彻落实好党和国家在农村的各项方针政策和法律法规，做好农业、农村、农民工作。现阶段，乡镇的基本职能定位是：促进经济发展、增加农民收入，强化公共服务、着力改善民生，加强社会管理、维护农村稳定，推进基层民主、促进农村和谐。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1、执行本级人民代表大会的决议和上级国家行政机关的决定和命令，发布决定和命令。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2、执行本行政区域内的经济和社会发展计划、预算，管理本行政区域内的经济、教育、科学、文化、卫生、体育事业和财政、民政、安全、司法行政、计划生育、就业、维稳等行政工作，负责驻区单位的综合协调工作。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3、保护社会主义的全民所有的财产和劳动群众集体所有的财产，保护公民私人所有的合法财产，维护社会秩序，保障公民的人身权利、民主权利和其他权利。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4、保护各种经济组织的合法权益。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5、保障少数民族的权利和尊重少数民族的风俗习惯。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6、保障宪法和法律赋予妇女的男女平等、同工同酬和婚姻自由等各项权利。 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7、安全监管（管理）职责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（1）负责统筹、协调、监督本地区安全工作，制定本地区安全事故应急处理预案；结合本地区特点，组织开展有关安全方面的宣传教育工作；协调组织有关部门对本地区容易发生事故的单位、场所以及设备、设施进行严格管理和重点检查，及时发现并报告本地区重大安全隐患和问题，协调监督政府相关职能部门消除隐患，处理事故，并承担相应的责任。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（2）负责监督管理本辖区乡镇企业及个体经济组织的劳动保护工作，并承担相应的监管责任。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（3）负责本镇畜禽防疫、检疫、治疗、疫情测报及药品、疫苗供应工作，并承担相应的管理责任。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（4）负责本镇农药、兽药、化肥的管理工作，并承担相应的管理责任。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（5）负责本镇农机安全生产及农机产品的质量监督，负责农机安全宣传教育，并承担相应的管理责任。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（6）负责本镇林业工作，组织指导本镇森林病虫害的防治和检疫工作，监督检查护林防火工作，并承担相应的管理责任。 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（7）负责本镇水利工程建设保护、污水排放、水环境治理及防汛工作，并承担相应的管理责任。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（8）负责以镇政府名义举办的活动的组织、协调工作，并负有主体责任。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（9）负责本机关及所属单位的安全工作，并承担相应的领导责任。</w:t>
      </w:r>
    </w:p>
    <w:p>
      <w:pPr>
        <w:widowControl/>
        <w:spacing w:beforeLines="0" w:afterLines="0" w:line="500" w:lineRule="exact"/>
        <w:ind w:firstLine="554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8、承办上级人民政府交办的其他事项。</w:t>
      </w:r>
    </w:p>
    <w:p>
      <w:pPr>
        <w:adjustRightInd w:val="0"/>
        <w:snapToGrid w:val="0"/>
        <w:spacing w:line="520" w:lineRule="exact"/>
        <w:ind w:firstLine="636" w:firstLineChars="200"/>
        <w:rPr>
          <w:rFonts w:ascii="楷体_GB2312" w:hAnsi="仿宋" w:eastAsia="楷体_GB2312" w:cs="Times New Roman"/>
          <w:sz w:val="32"/>
          <w:szCs w:val="32"/>
        </w:rPr>
      </w:pPr>
      <w:r>
        <w:rPr>
          <w:rFonts w:hint="eastAsia" w:ascii="楷体_GB2312" w:hAnsi="仿宋" w:eastAsia="楷体_GB2312" w:cs="Times New Roman"/>
          <w:sz w:val="32"/>
          <w:szCs w:val="32"/>
        </w:rPr>
        <w:t>（二）部门机构设置情况</w:t>
      </w:r>
    </w:p>
    <w:p>
      <w:pPr>
        <w:adjustRightInd w:val="0"/>
        <w:snapToGrid w:val="0"/>
        <w:spacing w:line="520" w:lineRule="exact"/>
        <w:ind w:firstLine="634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本部门共设6个内设机构,分别为：综合办公室、党群工作办公室、平安建设办公室、城乡建设办公室、民生保障办公室、经济发展办公室。</w:t>
      </w:r>
    </w:p>
    <w:p>
      <w:pPr>
        <w:pStyle w:val="5"/>
        <w:ind w:left="0" w:leftChars="0" w:firstLine="63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下属6个事业单位，分别为：北京市门头沟区军庄镇市民活动中心、北京市门头沟区军庄镇市民诉求处置中心、北京市门头沟区军庄镇便民服务中心、北京市门头沟区军庄镇区域经济发展服务中心、北京市门头沟区军庄镇农村经济经营管理站、北京市门头沟区军庄林业工作站。</w:t>
      </w:r>
    </w:p>
    <w:p>
      <w:pPr>
        <w:adjustRightInd w:val="0"/>
        <w:snapToGrid w:val="0"/>
        <w:spacing w:line="520" w:lineRule="exact"/>
        <w:ind w:firstLine="636" w:firstLineChars="200"/>
        <w:rPr>
          <w:rFonts w:ascii="楷体_GB2312" w:hAnsi="仿宋" w:eastAsia="楷体_GB2312" w:cs="Times New Roman"/>
          <w:sz w:val="32"/>
          <w:szCs w:val="32"/>
        </w:rPr>
      </w:pPr>
      <w:r>
        <w:rPr>
          <w:rFonts w:hint="eastAsia" w:ascii="楷体_GB2312" w:hAnsi="仿宋" w:eastAsia="楷体_GB2312" w:cs="Times New Roman"/>
          <w:sz w:val="32"/>
          <w:szCs w:val="32"/>
        </w:rPr>
        <w:t>（三）</w:t>
      </w:r>
      <w:r>
        <w:rPr>
          <w:rFonts w:ascii="楷体_GB2312" w:hAnsi="仿宋" w:eastAsia="楷体_GB2312" w:cs="Times New Roman"/>
          <w:sz w:val="32"/>
          <w:szCs w:val="32"/>
        </w:rPr>
        <w:t>202</w:t>
      </w:r>
      <w:r>
        <w:rPr>
          <w:rFonts w:hint="eastAsia" w:ascii="楷体_GB2312" w:hAnsi="仿宋" w:eastAsia="楷体_GB2312" w:cs="Times New Roman"/>
          <w:sz w:val="32"/>
          <w:szCs w:val="32"/>
        </w:rPr>
        <w:t>3年主要工作任务</w:t>
      </w:r>
    </w:p>
    <w:bookmarkEnd w:id="1"/>
    <w:p>
      <w:pPr>
        <w:numPr>
          <w:ilvl w:val="0"/>
          <w:numId w:val="0"/>
        </w:numPr>
        <w:ind w:firstLine="636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bookmarkStart w:id="2" w:name="_Toc268005759"/>
      <w:bookmarkStart w:id="3" w:name="_Toc263686375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坚持经济主线，全面优化镇域产业布局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积极推进财源建设，建立“亲清直通车·政企恳谈会”座谈机制，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扶持中小企业发展，兑现招商引资奖励，保税护税提升营商环境，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持续提高企业数量与质量。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夯实绿色发展底色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持续推进京白梨品牌复兴，夯实京白梨百年古树基础。持续激发产业动能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高质量开展东山村、孟悟村、新村、香峪村共7个“十百千万”休闲农业项目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西杨坨大集综合整治提升项目。</w:t>
      </w:r>
    </w:p>
    <w:p>
      <w:pPr>
        <w:adjustRightInd w:val="0"/>
        <w:snapToGrid w:val="0"/>
        <w:spacing w:line="520" w:lineRule="exact"/>
        <w:ind w:firstLine="636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筑牢镇域安全防线，全面提升城乡建设水平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保障镇域安全稳定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严格落实重要节日辖区稳定工作，做好综治、消防、防汛、交通、食品等各项安全宣传工作。切实保障公共领域安全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依托我镇创建全国森林防灭火工作</w:t>
      </w:r>
      <w:r>
        <w:rPr>
          <w:rFonts w:hint="eastAsia" w:ascii="仿宋" w:hAnsi="仿宋" w:eastAsia="仿宋" w:cs="仿宋"/>
          <w:sz w:val="32"/>
          <w:szCs w:val="32"/>
        </w:rPr>
        <w:t>规范化管理试点，不断完善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镇</w:t>
      </w:r>
      <w:r>
        <w:rPr>
          <w:rFonts w:hint="eastAsia" w:ascii="仿宋" w:hAnsi="仿宋" w:eastAsia="仿宋" w:cs="仿宋"/>
          <w:sz w:val="32"/>
          <w:szCs w:val="32"/>
        </w:rPr>
        <w:t>综合指挥中心体系建设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保障辖区社会面安全的基本盘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积极推动生态环境整治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落实生态林养护、退耕还林、首都绿化美化创建等方面，改善林地综合面貌，促进森林生态效益持久发挥。持续提升乡村品质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落实乡村振兴战略扎实推进美丽乡村基础设施管护工作，完成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镇域内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自建房安全排查及系统销账。</w:t>
      </w:r>
    </w:p>
    <w:p>
      <w:pPr>
        <w:adjustRightInd w:val="0"/>
        <w:snapToGrid w:val="0"/>
        <w:spacing w:line="520" w:lineRule="exact"/>
        <w:ind w:firstLine="636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坚持民生导向，全面深化基层治理体系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全面惠及民生福祉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完善镇级文化活动中心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东山文化大院和孟悟文化室装修改造项目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便民服务大厅改造提升项目，做好群众服务工作。</w:t>
      </w:r>
      <w:r>
        <w:rPr>
          <w:rFonts w:hint="eastAsia" w:ascii="仿宋" w:hAnsi="仿宋" w:eastAsia="仿宋" w:cs="仿宋"/>
          <w:sz w:val="32"/>
          <w:szCs w:val="32"/>
        </w:rPr>
        <w:t>稳定就业服务,保障社会公益性就业组织、下沉协管员队伍等岗位职能及工作落实，积极促进相关人员择业就业需求，切实发挥政策保障兜底作用。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持续压实接诉即办责任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开展主动治理、未诉先办，实施</w:t>
      </w:r>
      <w:r>
        <w:rPr>
          <w:rFonts w:hint="eastAsia" w:ascii="仿宋" w:hAnsi="仿宋" w:eastAsia="仿宋" w:cs="仿宋"/>
          <w:sz w:val="32"/>
          <w:szCs w:val="32"/>
        </w:rPr>
        <w:t>灰峪村楼顶防水及墙立面防水修复项目、东山村进村主路维修改造项目。</w:t>
      </w:r>
    </w:p>
    <w:p>
      <w:pPr>
        <w:numPr>
          <w:ilvl w:val="0"/>
          <w:numId w:val="0"/>
        </w:numPr>
        <w:adjustRightInd w:val="0"/>
        <w:snapToGrid w:val="0"/>
        <w:spacing w:line="520" w:lineRule="exact"/>
        <w:ind w:firstLine="636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坚持自我革命，全面抓好政府自身建设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不断强化作风建设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积极创建节约型机关，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严格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落实“政府机关过紧日子”要求。持续强化队伍建设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坚持党建引领，支持镇域辖区基层党建、宣传、公共服务、日常运维及发展，</w:t>
      </w:r>
      <w:r>
        <w:rPr>
          <w:rFonts w:hint="eastAsia" w:ascii="仿宋" w:hAnsi="仿宋" w:eastAsia="仿宋" w:cs="仿宋"/>
          <w:sz w:val="32"/>
          <w:szCs w:val="32"/>
        </w:rPr>
        <w:t>统筹接诉即办工作、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推进基层网格化管理，助力村居发展，保障基层政权正常运行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深化内控系统建设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以“制度建设年”工作成果为基础，持续优化及完善镇政府内控体系建设，有效提高审批效率和办公规范度。依托信息化平台，紧盯政府采购、工程管理等重点领域，确保程序合法合规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20" w:lineRule="exact"/>
        <w:ind w:firstLine="636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坚持人民至上，全面打赢抢险救灾重建阻击战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全力保障人民群众生命财产安全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理清“23·7”流域性特大洪水灾后重建工程项目清单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通过防汛抢险救灾资金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积极谋划并实施恢复重建项目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20" w:lineRule="exact"/>
        <w:ind w:firstLine="636" w:firstLineChars="200"/>
        <w:rPr>
          <w:rFonts w:ascii="楷体_GB2312" w:hAnsi="仿宋" w:eastAsia="楷体_GB2312" w:cs="Times New Roman"/>
          <w:sz w:val="32"/>
          <w:szCs w:val="32"/>
        </w:rPr>
      </w:pPr>
      <w:r>
        <w:rPr>
          <w:rFonts w:hint="eastAsia" w:ascii="楷体_GB2312" w:hAnsi="仿宋" w:eastAsia="楷体_GB2312" w:cs="Times New Roman"/>
          <w:sz w:val="32"/>
          <w:szCs w:val="32"/>
        </w:rPr>
        <w:t>（四）部门</w:t>
      </w:r>
      <w:bookmarkEnd w:id="2"/>
      <w:r>
        <w:rPr>
          <w:rFonts w:hint="eastAsia" w:ascii="楷体_GB2312" w:hAnsi="仿宋" w:eastAsia="楷体_GB2312" w:cs="Times New Roman"/>
          <w:sz w:val="32"/>
          <w:szCs w:val="32"/>
        </w:rPr>
        <w:t>整体绩效目标设立情况</w:t>
      </w:r>
    </w:p>
    <w:tbl>
      <w:tblPr>
        <w:tblStyle w:val="9"/>
        <w:tblW w:w="9885" w:type="dxa"/>
        <w:tblInd w:w="-4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675"/>
        <w:gridCol w:w="945"/>
        <w:gridCol w:w="1680"/>
        <w:gridCol w:w="1155"/>
        <w:gridCol w:w="15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序号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三级指标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指标性质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指标值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度量单位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指标权重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ascii="仿宋_GB2312" w:hAnsi="仿宋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通过基层党建工作，全面增强基层党组织政治功能和组织力。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eastAsia="zh-CN"/>
              </w:rPr>
              <w:t>定性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eastAsia="zh-CN"/>
              </w:rPr>
              <w:t>得到增强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-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ascii="仿宋_GB2312" w:hAnsi="仿宋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通过制定并落实村镇建设发展规划，配合做好城乡规划管理有关工作，全面改善居民生产生活条件。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eastAsia="zh-CN"/>
              </w:rPr>
              <w:t>定性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eastAsia="zh-CN"/>
              </w:rPr>
              <w:t>得到提升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-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ascii="仿宋_GB2312" w:hAnsi="仿宋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统筹完成各项民生保障政策，推进社区建设与发展，提高辖区人民生活保障水平。统筹协调完成“接诉即办”等相关工作。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eastAsia="zh-CN"/>
              </w:rPr>
              <w:t>定性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eastAsia="zh-CN"/>
              </w:rPr>
              <w:t>稳步推进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-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通过制定镇经济发展规划并组织实施，负责产业发展建设与各项事务管理，促进辖区经济健康有序发展。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eastAsia="zh-CN"/>
              </w:rPr>
              <w:t>定性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eastAsia="zh-CN"/>
              </w:rPr>
              <w:t>得到提升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-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通过机关重要事项组织和综合协调等工作，保障机关正常运行。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eastAsia="zh-CN"/>
              </w:rPr>
              <w:t>定性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eastAsia="zh-CN"/>
              </w:rPr>
              <w:t>得到保障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-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</w:rPr>
              <w:t>协调解决城市管理分平台各类诉求，分析研判市民诉求热点问题，提高辖区居民幸福感。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eastAsia="zh-CN"/>
              </w:rPr>
              <w:t>定性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eastAsia="zh-CN"/>
              </w:rPr>
              <w:t>稳步推进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-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16</w:t>
            </w:r>
          </w:p>
        </w:tc>
      </w:tr>
    </w:tbl>
    <w:p>
      <w:pPr>
        <w:adjustRightInd w:val="0"/>
        <w:snapToGrid w:val="0"/>
        <w:spacing w:line="520" w:lineRule="exact"/>
        <w:ind w:firstLine="556" w:firstLineChars="200"/>
        <w:rPr>
          <w:rFonts w:ascii="仿宋_GB2312" w:hAnsi="仿宋" w:eastAsia="仿宋_GB2312" w:cs="Times New Roman"/>
          <w:sz w:val="28"/>
          <w:szCs w:val="28"/>
        </w:rPr>
      </w:pPr>
    </w:p>
    <w:p>
      <w:pPr>
        <w:widowControl/>
        <w:adjustRightInd w:val="0"/>
        <w:snapToGrid w:val="0"/>
        <w:spacing w:line="520" w:lineRule="exact"/>
        <w:ind w:firstLine="636" w:firstLineChars="200"/>
        <w:rPr>
          <w:rFonts w:ascii="黑体" w:hAnsi="黑体" w:eastAsia="黑体" w:cs="宋体"/>
          <w:sz w:val="32"/>
          <w:szCs w:val="32"/>
        </w:rPr>
      </w:pPr>
      <w:bookmarkStart w:id="4" w:name="_Toc268005761"/>
      <w:r>
        <w:rPr>
          <w:rFonts w:hint="eastAsia" w:ascii="黑体" w:hAnsi="黑体" w:eastAsia="黑体" w:cs="宋体"/>
          <w:sz w:val="32"/>
          <w:szCs w:val="32"/>
        </w:rPr>
        <w:t>二、当年预算执行情况</w:t>
      </w:r>
    </w:p>
    <w:p>
      <w:pPr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202</w:t>
      </w:r>
      <w:r>
        <w:rPr>
          <w:rFonts w:hint="eastAsia" w:ascii="仿宋_GB2312" w:hAnsi="仿宋" w:eastAsia="仿宋_GB2312" w:cs="Times New Roman"/>
          <w:sz w:val="32"/>
          <w:szCs w:val="32"/>
        </w:rPr>
        <w:t>3年全年预算数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17047.66</w:t>
      </w:r>
      <w:r>
        <w:rPr>
          <w:rFonts w:hint="eastAsia" w:ascii="仿宋_GB2312" w:hAnsi="仿宋" w:eastAsia="仿宋_GB2312" w:cs="Times New Roman"/>
          <w:sz w:val="32"/>
          <w:szCs w:val="32"/>
        </w:rPr>
        <w:t>万元，其中：基本支出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3232.34</w:t>
      </w:r>
      <w:r>
        <w:rPr>
          <w:rFonts w:hint="eastAsia" w:ascii="仿宋_GB2312" w:hAnsi="仿宋" w:eastAsia="仿宋_GB2312" w:cs="Times New Roman"/>
          <w:sz w:val="32"/>
          <w:szCs w:val="32"/>
        </w:rPr>
        <w:t>万元，占比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18.96</w:t>
      </w:r>
      <w:r>
        <w:rPr>
          <w:rFonts w:ascii="仿宋_GB2312" w:hAnsi="仿宋" w:eastAsia="仿宋_GB2312" w:cs="Times New Roman"/>
          <w:sz w:val="32"/>
          <w:szCs w:val="32"/>
        </w:rPr>
        <w:t>%</w:t>
      </w:r>
      <w:r>
        <w:rPr>
          <w:rFonts w:hint="eastAsia" w:ascii="仿宋_GB2312" w:hAnsi="仿宋" w:eastAsia="仿宋_GB2312" w:cs="Times New Roman"/>
          <w:sz w:val="32"/>
          <w:szCs w:val="32"/>
        </w:rPr>
        <w:t>；项目支出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13815.32</w:t>
      </w:r>
      <w:r>
        <w:rPr>
          <w:rFonts w:hint="eastAsia" w:ascii="仿宋_GB2312" w:hAnsi="仿宋" w:eastAsia="仿宋_GB2312" w:cs="Times New Roman"/>
          <w:sz w:val="32"/>
          <w:szCs w:val="32"/>
        </w:rPr>
        <w:t>万元，占比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81.04</w:t>
      </w:r>
      <w:r>
        <w:rPr>
          <w:rFonts w:ascii="仿宋_GB2312" w:hAnsi="仿宋" w:eastAsia="仿宋_GB2312" w:cs="Times New Roman"/>
          <w:sz w:val="32"/>
          <w:szCs w:val="32"/>
        </w:rPr>
        <w:t>%</w:t>
      </w:r>
      <w:r>
        <w:rPr>
          <w:rFonts w:hint="eastAsia" w:ascii="仿宋_GB2312" w:hAnsi="仿宋" w:eastAsia="仿宋_GB2312" w:cs="Times New Roman"/>
          <w:sz w:val="32"/>
          <w:szCs w:val="32"/>
        </w:rPr>
        <w:t>；其他支出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Times New Roman"/>
          <w:sz w:val="32"/>
          <w:szCs w:val="32"/>
        </w:rPr>
        <w:t>万元。</w:t>
      </w:r>
    </w:p>
    <w:p>
      <w:pPr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截止到</w:t>
      </w:r>
      <w:r>
        <w:rPr>
          <w:rFonts w:ascii="仿宋_GB2312" w:hAnsi="仿宋" w:eastAsia="仿宋_GB2312" w:cs="Times New Roman"/>
          <w:sz w:val="32"/>
          <w:szCs w:val="32"/>
        </w:rPr>
        <w:t>202</w:t>
      </w:r>
      <w:r>
        <w:rPr>
          <w:rFonts w:hint="eastAsia" w:ascii="仿宋_GB2312" w:hAnsi="仿宋" w:eastAsia="仿宋_GB2312" w:cs="Times New Roman"/>
          <w:sz w:val="32"/>
          <w:szCs w:val="32"/>
        </w:rPr>
        <w:t>3年</w:t>
      </w:r>
      <w:r>
        <w:rPr>
          <w:rFonts w:ascii="仿宋_GB2312" w:hAnsi="仿宋" w:eastAsia="仿宋_GB2312" w:cs="Times New Roman"/>
          <w:sz w:val="32"/>
          <w:szCs w:val="32"/>
        </w:rPr>
        <w:t>12</w:t>
      </w:r>
      <w:r>
        <w:rPr>
          <w:rFonts w:hint="eastAsia" w:ascii="仿宋_GB2312" w:hAnsi="仿宋" w:eastAsia="仿宋_GB2312" w:cs="Times New Roman"/>
          <w:sz w:val="32"/>
          <w:szCs w:val="32"/>
        </w:rPr>
        <w:t>月</w:t>
      </w:r>
      <w:r>
        <w:rPr>
          <w:rFonts w:ascii="仿宋_GB2312" w:hAnsi="仿宋" w:eastAsia="仿宋_GB2312" w:cs="Times New Roman"/>
          <w:sz w:val="32"/>
          <w:szCs w:val="32"/>
        </w:rPr>
        <w:t>31</w:t>
      </w:r>
      <w:r>
        <w:rPr>
          <w:rFonts w:hint="eastAsia" w:ascii="仿宋_GB2312" w:hAnsi="仿宋" w:eastAsia="仿宋_GB2312" w:cs="Times New Roman"/>
          <w:sz w:val="32"/>
          <w:szCs w:val="32"/>
        </w:rPr>
        <w:t>日，预算资金总体支出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14961.25</w:t>
      </w:r>
      <w:r>
        <w:rPr>
          <w:rFonts w:hint="eastAsia" w:ascii="仿宋_GB2312" w:hAnsi="仿宋" w:eastAsia="仿宋_GB2312" w:cs="Times New Roman"/>
          <w:sz w:val="32"/>
          <w:szCs w:val="32"/>
        </w:rPr>
        <w:t>万元，其中：基本支出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3232.02</w:t>
      </w:r>
      <w:r>
        <w:rPr>
          <w:rFonts w:hint="eastAsia" w:ascii="仿宋_GB2312" w:hAnsi="仿宋" w:eastAsia="仿宋_GB2312" w:cs="Times New Roman"/>
          <w:sz w:val="32"/>
          <w:szCs w:val="32"/>
        </w:rPr>
        <w:t>万元，占比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21.6</w:t>
      </w:r>
      <w:r>
        <w:rPr>
          <w:rFonts w:ascii="仿宋_GB2312" w:hAnsi="仿宋" w:eastAsia="仿宋_GB2312" w:cs="Times New Roman"/>
          <w:sz w:val="32"/>
          <w:szCs w:val="32"/>
        </w:rPr>
        <w:t>%</w:t>
      </w:r>
      <w:r>
        <w:rPr>
          <w:rFonts w:hint="eastAsia" w:ascii="仿宋_GB2312" w:hAnsi="仿宋" w:eastAsia="仿宋_GB2312" w:cs="Times New Roman"/>
          <w:sz w:val="32"/>
          <w:szCs w:val="32"/>
        </w:rPr>
        <w:t>；项目支出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11729.23</w:t>
      </w:r>
      <w:r>
        <w:rPr>
          <w:rFonts w:hint="eastAsia" w:ascii="仿宋_GB2312" w:hAnsi="仿宋" w:eastAsia="仿宋_GB2312" w:cs="Times New Roman"/>
          <w:sz w:val="32"/>
          <w:szCs w:val="32"/>
        </w:rPr>
        <w:t>万元，占比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78.4</w:t>
      </w:r>
      <w:r>
        <w:rPr>
          <w:rFonts w:ascii="仿宋_GB2312" w:hAnsi="仿宋" w:eastAsia="仿宋_GB2312" w:cs="Times New Roman"/>
          <w:sz w:val="32"/>
          <w:szCs w:val="32"/>
        </w:rPr>
        <w:t>%</w:t>
      </w:r>
      <w:r>
        <w:rPr>
          <w:rFonts w:hint="eastAsia" w:ascii="仿宋_GB2312" w:hAnsi="仿宋" w:eastAsia="仿宋_GB2312" w:cs="Times New Roman"/>
          <w:sz w:val="32"/>
          <w:szCs w:val="32"/>
        </w:rPr>
        <w:t>；其他支出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Times New Roman"/>
          <w:sz w:val="32"/>
          <w:szCs w:val="32"/>
        </w:rPr>
        <w:t>万元。部门预算执行率为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87.76</w:t>
      </w:r>
      <w:r>
        <w:rPr>
          <w:rFonts w:ascii="仿宋_GB2312" w:hAnsi="仿宋" w:eastAsia="仿宋_GB2312" w:cs="Times New Roman"/>
          <w:sz w:val="32"/>
          <w:szCs w:val="32"/>
        </w:rPr>
        <w:t>%</w:t>
      </w:r>
      <w:r>
        <w:rPr>
          <w:rFonts w:hint="eastAsia" w:ascii="仿宋_GB2312" w:hAnsi="仿宋" w:eastAsia="仿宋_GB2312" w:cs="Times New Roman"/>
          <w:sz w:val="32"/>
          <w:szCs w:val="32"/>
        </w:rPr>
        <w:t>。</w:t>
      </w:r>
      <w:r>
        <w:rPr>
          <w:rFonts w:ascii="仿宋_GB2312" w:hAnsi="仿宋" w:eastAsia="仿宋_GB2312" w:cs="Times New Roman"/>
          <w:sz w:val="32"/>
          <w:szCs w:val="32"/>
        </w:rPr>
        <w:t xml:space="preserve">                                    </w:t>
      </w:r>
    </w:p>
    <w:bookmarkEnd w:id="4"/>
    <w:p>
      <w:pPr>
        <w:spacing w:line="520" w:lineRule="exact"/>
        <w:ind w:firstLine="636" w:firstLineChars="200"/>
        <w:rPr>
          <w:rFonts w:ascii="仿宋_GB2312" w:hAnsi="Times New Roman" w:eastAsia="仿宋_GB2312" w:cs="Times New Roman"/>
          <w:sz w:val="32"/>
          <w:szCs w:val="32"/>
          <w:highlight w:val="none"/>
        </w:rPr>
      </w:pPr>
      <w:r>
        <w:rPr>
          <w:rFonts w:ascii="仿宋_GB2312" w:hAnsi="仿宋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3年年末结转结余资金总额为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万元；</w:t>
      </w:r>
      <w:r>
        <w:rPr>
          <w:rFonts w:ascii="仿宋_GB2312" w:hAnsi="仿宋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2年年末结转结余资金总额为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65.06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万元，全年支出预算数为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12951.42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万元，资金结转结余率为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0.5</w:t>
      </w:r>
      <w:r>
        <w:rPr>
          <w:rFonts w:ascii="仿宋_GB2312" w:hAnsi="Times New Roman" w:eastAsia="仿宋_GB2312" w:cs="Times New Roman"/>
          <w:sz w:val="32"/>
          <w:szCs w:val="32"/>
          <w:highlight w:val="none"/>
        </w:rPr>
        <w:t>%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；</w:t>
      </w:r>
      <w:r>
        <w:rPr>
          <w:rFonts w:ascii="仿宋_GB2312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3年度部门结转结余率较上一年下降了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0.5</w:t>
      </w:r>
      <w:r>
        <w:rPr>
          <w:rFonts w:ascii="仿宋_GB2312" w:hAnsi="Times New Roman" w:eastAsia="仿宋_GB2312" w:cs="Times New Roman"/>
          <w:sz w:val="32"/>
          <w:szCs w:val="32"/>
          <w:highlight w:val="none"/>
        </w:rPr>
        <w:t>%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。</w:t>
      </w:r>
    </w:p>
    <w:p>
      <w:pPr>
        <w:spacing w:line="520" w:lineRule="exact"/>
        <w:ind w:firstLine="636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三、整体绩效目标实现情况</w:t>
      </w:r>
    </w:p>
    <w:p>
      <w:pPr>
        <w:spacing w:line="520" w:lineRule="exact"/>
        <w:ind w:firstLine="636" w:firstLineChars="200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（一）产出完成情况分析</w:t>
      </w:r>
    </w:p>
    <w:p>
      <w:pPr>
        <w:spacing w:line="520" w:lineRule="exact"/>
        <w:ind w:firstLine="636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</w:rPr>
        <w:t>1.</w:t>
      </w:r>
      <w:r>
        <w:rPr>
          <w:rFonts w:hint="eastAsia" w:ascii="仿宋_GB2312" w:hAnsi="Times New Roman" w:eastAsia="仿宋_GB2312" w:cs="Times New Roman"/>
          <w:sz w:val="32"/>
          <w:szCs w:val="32"/>
        </w:rPr>
        <w:t>产出数量</w:t>
      </w:r>
    </w:p>
    <w:tbl>
      <w:tblPr>
        <w:tblStyle w:val="9"/>
        <w:tblW w:w="9315" w:type="dxa"/>
        <w:tblInd w:w="-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4260"/>
        <w:gridCol w:w="1410"/>
        <w:gridCol w:w="1395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260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三级指标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计划值</w:t>
            </w:r>
          </w:p>
        </w:tc>
        <w:tc>
          <w:tcPr>
            <w:tcW w:w="139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完成值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偏差原因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开展党建活动完成度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≥90%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≥90%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精神文明活动开展完成度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≥90%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≥90%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人大代表大会召开次数及全年人大代巡查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不低于1次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不低于1次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群防群治组织工作覆盖率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≥90%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≥90%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辖区应急管理、突发性事件应对处理及时率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≥90%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≥90%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普法重点覆盖率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≥90%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≥90%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退役军人服务活动举办次数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不低于1次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不低于1次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市民投诉响应率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≥90%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≥90%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问题及案件处理及时率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≥90%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≥90%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农村管理信息化建设保证每村安排人数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不低于1人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不低于1人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财务数据上报及时率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及时上报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及时上报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-</w:t>
            </w:r>
          </w:p>
        </w:tc>
      </w:tr>
    </w:tbl>
    <w:p>
      <w:pPr>
        <w:numPr>
          <w:ilvl w:val="0"/>
          <w:numId w:val="1"/>
        </w:numPr>
        <w:spacing w:line="520" w:lineRule="exact"/>
        <w:ind w:firstLine="636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产出质量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各项资金严格按照相关工作要求进行拨付使用。</w:t>
      </w:r>
    </w:p>
    <w:p>
      <w:pPr>
        <w:numPr>
          <w:ilvl w:val="0"/>
          <w:numId w:val="1"/>
        </w:numPr>
        <w:spacing w:line="520" w:lineRule="exact"/>
        <w:ind w:firstLine="636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产出进度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把握每季度支出进度，发挥资金使用效益。</w:t>
      </w:r>
    </w:p>
    <w:p>
      <w:pPr>
        <w:numPr>
          <w:ilvl w:val="0"/>
          <w:numId w:val="0"/>
        </w:numPr>
        <w:spacing w:line="520" w:lineRule="exact"/>
        <w:ind w:firstLine="636" w:firstLineChars="200"/>
        <w:rPr>
          <w:rFonts w:hint="eastAsia" w:eastAsia="宋体"/>
          <w:lang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4.</w:t>
      </w:r>
      <w:r>
        <w:rPr>
          <w:rFonts w:hint="eastAsia" w:ascii="仿宋_GB2312" w:hAnsi="仿宋" w:eastAsia="仿宋_GB2312" w:cs="Times New Roman"/>
          <w:sz w:val="32"/>
          <w:szCs w:val="32"/>
        </w:rPr>
        <w:t>产出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成本：合理进行项目资金测算，产生结余资金及时上交财政。</w:t>
      </w:r>
    </w:p>
    <w:p>
      <w:pPr>
        <w:spacing w:line="520" w:lineRule="exact"/>
        <w:ind w:firstLine="636" w:firstLineChars="200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（二）效果实现情况分析</w:t>
      </w:r>
    </w:p>
    <w:p>
      <w:pPr>
        <w:spacing w:beforeLines="0" w:afterLines="0" w:line="560" w:lineRule="exact"/>
        <w:ind w:firstLine="63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1.经济效益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</w:rPr>
        <w:t>保障镇域财政平稳运行和各项重点任务顺利开展。</w:t>
      </w:r>
      <w:r>
        <w:rPr>
          <w:rFonts w:hint="eastAsia" w:ascii="仿宋" w:hAnsi="仿宋" w:eastAsia="仿宋" w:cs="仿宋"/>
          <w:sz w:val="32"/>
          <w:szCs w:val="32"/>
        </w:rPr>
        <w:t>促进镇域内经济健康有序发展，提升营商环境，夯实产业发展基础，扶持中小企业发展。</w:t>
      </w:r>
    </w:p>
    <w:p>
      <w:pPr>
        <w:widowControl/>
        <w:spacing w:line="560" w:lineRule="exact"/>
        <w:ind w:firstLine="636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2.社会效益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保障基层事务平稳运转，筑牢安全防线，维护辖区社会稳定和长治久安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强化文化宣传阵地作用，提升硬件与服务水平，丰富群众日常生活，促进村居文明建设进程。</w:t>
      </w:r>
    </w:p>
    <w:p>
      <w:pPr>
        <w:spacing w:beforeLines="0" w:afterLines="0" w:line="520" w:lineRule="exact"/>
        <w:ind w:firstLine="634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3.环境效益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：通过制定并落实村镇建设发展规划，配合做好城乡规划管理有关工作，完善市政市容环境综合治理，</w:t>
      </w:r>
      <w:r>
        <w:rPr>
          <w:rFonts w:hint="eastAsia" w:ascii="仿宋" w:hAnsi="仿宋" w:eastAsia="仿宋" w:cs="仿宋"/>
          <w:sz w:val="32"/>
          <w:szCs w:val="32"/>
        </w:rPr>
        <w:t>保护生态环境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镇域基础环境，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全面改善居民生产生活条件</w:t>
      </w:r>
      <w:r>
        <w:rPr>
          <w:rFonts w:hint="eastAsia" w:ascii="仿宋" w:hAnsi="仿宋" w:eastAsia="仿宋" w:cs="仿宋"/>
          <w:sz w:val="32"/>
          <w:szCs w:val="32"/>
        </w:rPr>
        <w:t>，不断提升人居环境质量。</w:t>
      </w:r>
    </w:p>
    <w:p>
      <w:pPr>
        <w:spacing w:line="560" w:lineRule="exact"/>
        <w:ind w:firstLine="636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4.可持续影响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始终坚持稳中求进工作总基调，统筹应急保障和社会发展需要，强基础、惠民生、护环境、促发展，协调推进各项工作顺利开展，全年预算执行情况良好。</w:t>
      </w:r>
    </w:p>
    <w:p>
      <w:pPr>
        <w:spacing w:beforeLines="0" w:afterLines="0" w:line="520" w:lineRule="exact"/>
        <w:ind w:firstLine="634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5.服务对象满意度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相关人员基本满意。</w:t>
      </w:r>
    </w:p>
    <w:p>
      <w:pPr>
        <w:spacing w:line="520" w:lineRule="exact"/>
        <w:ind w:firstLine="636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四、预算管理情况分析</w:t>
      </w:r>
    </w:p>
    <w:p>
      <w:pPr>
        <w:spacing w:line="520" w:lineRule="exact"/>
        <w:ind w:firstLine="636" w:firstLineChars="200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（一）财务管理</w:t>
      </w:r>
    </w:p>
    <w:p>
      <w:pPr>
        <w:spacing w:beforeLines="0" w:afterLines="0" w:line="520" w:lineRule="exact"/>
        <w:ind w:firstLine="634"/>
        <w:jc w:val="both"/>
        <w:rPr>
          <w:rFonts w:hint="eastAsia" w:ascii="仿宋_GB2312" w:hAnsi="仿宋"/>
          <w:sz w:val="32"/>
        </w:rPr>
      </w:pPr>
      <w:r>
        <w:rPr>
          <w:rFonts w:hint="eastAsia" w:ascii="仿宋" w:hAnsi="仿宋" w:eastAsia="仿宋" w:cs="仿宋"/>
          <w:sz w:val="32"/>
        </w:rPr>
        <w:t>军庄镇在《军庄镇内部控制手册》中制订了《军庄镇财政财务审批办法》、《军庄镇收入支出管理办法》、《军庄镇现金管理办法》、《军庄镇银行账户管理办法》、《军庄镇支票管理办法》等</w:t>
      </w:r>
      <w:r>
        <w:rPr>
          <w:rFonts w:hint="eastAsia" w:ascii="仿宋" w:hAnsi="仿宋" w:eastAsia="仿宋" w:cs="仿宋"/>
          <w:sz w:val="32"/>
          <w:lang w:eastAsia="zh-CN"/>
        </w:rPr>
        <w:t>。</w:t>
      </w:r>
      <w:r>
        <w:rPr>
          <w:rFonts w:hint="eastAsia" w:ascii="仿宋" w:hAnsi="仿宋" w:eastAsia="仿宋" w:cs="仿宋"/>
          <w:sz w:val="32"/>
        </w:rPr>
        <w:t>202</w:t>
      </w:r>
      <w:r>
        <w:rPr>
          <w:rFonts w:hint="eastAsia" w:ascii="仿宋" w:hAnsi="仿宋" w:eastAsia="仿宋" w:cs="仿宋"/>
          <w:sz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</w:rPr>
        <w:t>年军庄镇严格落实内部控制制度，并逐步规范相关制度办法。</w:t>
      </w:r>
    </w:p>
    <w:p>
      <w:pPr>
        <w:spacing w:line="520" w:lineRule="exact"/>
        <w:ind w:firstLine="636" w:firstLineChars="200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（二）资产管理</w:t>
      </w:r>
    </w:p>
    <w:p>
      <w:pPr>
        <w:widowControl/>
        <w:spacing w:line="520" w:lineRule="exact"/>
        <w:ind w:firstLine="636" w:firstLineChars="200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</w:rPr>
        <w:t>2023年底军庄镇资产总额 22402.49万元，其中流动资产 10836.17万元，包括货币资金10556.67万元，财政应返还额度0万元，其他应收款净额279.50万元；非流动资产11566.32万元，包括固定资产净值2301.06万元，无形资产净值17.92万元，在建工程1596.36万元，公共基础设施净值（原值）7232.89万元。</w:t>
      </w:r>
      <w:r>
        <w:rPr>
          <w:rFonts w:hint="eastAsia" w:ascii="仿宋" w:hAnsi="仿宋" w:eastAsia="仿宋" w:cs="仿宋"/>
          <w:sz w:val="32"/>
          <w:lang w:val="en-US" w:eastAsia="zh-CN"/>
        </w:rPr>
        <w:t xml:space="preserve"> </w:t>
      </w:r>
    </w:p>
    <w:p>
      <w:pPr>
        <w:widowControl/>
        <w:spacing w:line="520" w:lineRule="exact"/>
        <w:ind w:firstLine="636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</w:rPr>
        <w:t>根据《军庄镇固定资产管理办法》中所规定固定资产的管理和使用遵循“资产管理与预算管理相结合、资产管理与财务管理相结合、实物管理与价值管理相结合、集中与分级管理相结合”的基本原则，做到统一政策、统一领导、责任到人、物尽其用。办公室为固定资产实物的归口管理部门，负责机关各科室及所属事业单位固定资产实物管理工作。</w:t>
      </w:r>
    </w:p>
    <w:p>
      <w:pPr>
        <w:spacing w:line="520" w:lineRule="exact"/>
        <w:ind w:firstLine="636" w:firstLineChars="200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（三）绩效管理</w:t>
      </w:r>
    </w:p>
    <w:p>
      <w:pPr>
        <w:spacing w:line="520" w:lineRule="exact"/>
        <w:ind w:firstLine="636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1.</w:t>
      </w:r>
      <w:r>
        <w:rPr>
          <w:rFonts w:hint="eastAsia" w:ascii="仿宋_GB2312" w:hAnsi="仿宋" w:eastAsia="仿宋_GB2312" w:cs="Times New Roman"/>
          <w:sz w:val="32"/>
          <w:szCs w:val="32"/>
        </w:rPr>
        <w:t>预算绩效管理制度情况</w:t>
      </w:r>
    </w:p>
    <w:p>
      <w:pPr>
        <w:spacing w:beforeLines="0" w:afterLines="0" w:line="560" w:lineRule="exact"/>
        <w:ind w:firstLine="600"/>
        <w:rPr>
          <w:color w:val="auto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按照预算项目编制内容稳步实施，加快推进各项支出进度，注重绩效相关工作，强化科室部门预算绩效管理意识。积极梳理项目及资金，加强镇级财力统筹力度，做好统筹事项安排，尤其对重大项目、重点工程的实施加以全过程监督管理，并融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绩效评价，综合测评项目执行效果，合理运用考评结果，发挥预算资金使用效益。</w:t>
      </w:r>
    </w:p>
    <w:p>
      <w:pPr>
        <w:spacing w:line="520" w:lineRule="exact"/>
        <w:ind w:firstLine="636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2.绩效目标管理情况</w:t>
      </w:r>
    </w:p>
    <w:p>
      <w:pPr>
        <w:spacing w:line="520" w:lineRule="exact"/>
        <w:ind w:firstLine="636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2023年部门预算项目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136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个，部门预算公开绩效目标的预算项目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55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个，占本部门全部预算项目的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40.44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%。</w:t>
      </w:r>
    </w:p>
    <w:p>
      <w:pPr>
        <w:spacing w:line="520" w:lineRule="exact"/>
        <w:ind w:firstLine="636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3.绩效运行监控情况</w:t>
      </w:r>
    </w:p>
    <w:p>
      <w:pPr>
        <w:spacing w:beforeLines="0" w:afterLines="0" w:line="520" w:lineRule="exact"/>
        <w:ind w:firstLine="634"/>
        <w:jc w:val="both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2023年对本部门及所属单位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个预算项目进行绩效运行监控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，占部门项目总数的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52.21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%，涉及资金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6050.63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万元。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8"/>
          <w:highlight w:val="none"/>
          <w:shd w:val="clear" w:color="auto" w:fill="FFFFFF"/>
        </w:rPr>
        <w:t>注：根据财政局通知要</w:t>
      </w:r>
      <w:r>
        <w:rPr>
          <w:rFonts w:hint="eastAsia" w:ascii="仿宋" w:hAnsi="仿宋" w:eastAsia="仿宋" w:cs="仿宋"/>
          <w:color w:val="auto"/>
          <w:sz w:val="28"/>
          <w:shd w:val="clear" w:color="auto" w:fill="FFFFFF"/>
        </w:rPr>
        <w:t>求，</w:t>
      </w:r>
      <w:r>
        <w:rPr>
          <w:rFonts w:hint="eastAsia" w:ascii="仿宋" w:hAnsi="仿宋" w:eastAsia="仿宋" w:cs="仿宋"/>
          <w:color w:val="auto"/>
          <w:sz w:val="28"/>
        </w:rPr>
        <w:t>202</w:t>
      </w:r>
      <w:r>
        <w:rPr>
          <w:rFonts w:hint="eastAsia" w:ascii="仿宋" w:hAnsi="仿宋" w:eastAsia="仿宋" w:cs="仿宋"/>
          <w:color w:val="auto"/>
          <w:sz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8"/>
        </w:rPr>
        <w:t>年绩效运行监控范围为202</w:t>
      </w:r>
      <w:r>
        <w:rPr>
          <w:rFonts w:hint="eastAsia" w:ascii="仿宋" w:hAnsi="仿宋" w:eastAsia="仿宋" w:cs="仿宋"/>
          <w:color w:val="auto"/>
          <w:sz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8"/>
        </w:rPr>
        <w:t>年1-6月预算项目</w:t>
      </w:r>
      <w:r>
        <w:rPr>
          <w:rFonts w:hint="eastAsia" w:ascii="仿宋" w:hAnsi="仿宋" w:eastAsia="仿宋" w:cs="仿宋"/>
          <w:color w:val="auto"/>
          <w:sz w:val="28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28"/>
        </w:rPr>
        <w:t>）</w:t>
      </w:r>
    </w:p>
    <w:p>
      <w:pPr>
        <w:spacing w:line="520" w:lineRule="exact"/>
        <w:ind w:firstLine="636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4.绩效自评情况</w:t>
      </w:r>
    </w:p>
    <w:p>
      <w:pPr>
        <w:spacing w:beforeLines="0" w:afterLines="0" w:line="520" w:lineRule="exact"/>
        <w:ind w:firstLine="636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202</w:t>
      </w:r>
      <w:r>
        <w:rPr>
          <w:rFonts w:hint="eastAsia" w:ascii="仿宋_GB2312" w:hAnsi="仿宋" w:eastAsia="仿宋_GB2312" w:cs="Times New Roman"/>
          <w:sz w:val="32"/>
          <w:szCs w:val="32"/>
        </w:rPr>
        <w:t>3年</w:t>
      </w:r>
      <w:r>
        <w:rPr>
          <w:rFonts w:hint="eastAsia" w:ascii="仿宋_GB2312" w:hAnsi="Times New Roman" w:eastAsia="仿宋_GB2312" w:cs="Times New Roman"/>
          <w:sz w:val="32"/>
          <w:szCs w:val="32"/>
        </w:rPr>
        <w:t>对本部门及所属单位</w:t>
      </w:r>
      <w:r>
        <w:rPr>
          <w:rFonts w:ascii="仿宋_GB2312" w:hAnsi="Times New Roman" w:eastAsia="仿宋_GB2312" w:cs="Times New Roman"/>
          <w:sz w:val="32"/>
          <w:szCs w:val="32"/>
        </w:rPr>
        <w:t>202</w:t>
      </w:r>
      <w:r>
        <w:rPr>
          <w:rFonts w:hint="eastAsia" w:ascii="仿宋_GB2312" w:hAnsi="Times New Roman" w:eastAsia="仿宋_GB2312" w:cs="Times New Roman"/>
          <w:sz w:val="32"/>
          <w:szCs w:val="32"/>
        </w:rPr>
        <w:t>2年项目支出实施了绩效自评，评价项目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115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个，涉及金额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9771.4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万元。</w:t>
      </w:r>
      <w:r>
        <w:rPr>
          <w:rFonts w:hint="eastAsia" w:ascii="仿宋" w:hAnsi="仿宋" w:eastAsia="仿宋"/>
          <w:sz w:val="28"/>
        </w:rPr>
        <w:t>（注：根据绩效考评中心要求，同一项目涉及多笔资金来源、以前年度的结余结转资金、预算指标或年中追加、追减等</w:t>
      </w:r>
      <w:bookmarkStart w:id="5" w:name="_GoBack"/>
      <w:bookmarkEnd w:id="5"/>
      <w:r>
        <w:rPr>
          <w:rFonts w:hint="eastAsia" w:ascii="仿宋" w:hAnsi="仿宋" w:eastAsia="仿宋"/>
          <w:sz w:val="28"/>
        </w:rPr>
        <w:t>情形的，归为同一个预算项目进行绩效自评。）</w:t>
      </w:r>
    </w:p>
    <w:p>
      <w:pPr>
        <w:widowControl/>
        <w:spacing w:line="520" w:lineRule="exact"/>
        <w:ind w:firstLine="636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五、总体评价结论</w:t>
      </w:r>
    </w:p>
    <w:p>
      <w:pPr>
        <w:spacing w:line="520" w:lineRule="exact"/>
        <w:ind w:firstLine="636" w:firstLineChars="200"/>
        <w:rPr>
          <w:rFonts w:ascii="楷体_GB2312" w:hAnsi="仿宋" w:eastAsia="楷体_GB2312" w:cs="Times New Roman"/>
          <w:sz w:val="32"/>
          <w:szCs w:val="32"/>
        </w:rPr>
      </w:pPr>
      <w:r>
        <w:rPr>
          <w:rFonts w:hint="eastAsia" w:ascii="楷体_GB2312" w:hAnsi="仿宋" w:eastAsia="楷体_GB2312" w:cs="Times New Roman"/>
          <w:sz w:val="32"/>
          <w:szCs w:val="32"/>
        </w:rPr>
        <w:t>（一）评价得分情况</w:t>
      </w:r>
    </w:p>
    <w:p>
      <w:pPr>
        <w:widowControl/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请结合《部门整体支出绩效自评表》中的得分情况填写以下内容。</w:t>
      </w:r>
    </w:p>
    <w:p>
      <w:pPr>
        <w:widowControl/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绩效自评总分：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  <w:t>96.06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分</w:t>
      </w:r>
    </w:p>
    <w:p>
      <w:pPr>
        <w:widowControl/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sz w:val="32"/>
          <w:szCs w:val="32"/>
          <w:highlight w:val="none"/>
        </w:rPr>
        <w:t>绩效自评等级：</w:t>
      </w:r>
      <w:r>
        <w:rPr>
          <w:rFonts w:hint="eastAsia" w:ascii="仿宋_GB2312" w:hAnsi="仿宋" w:eastAsia="仿宋_GB2312" w:cs="Times New Roman"/>
          <w:sz w:val="32"/>
          <w:szCs w:val="32"/>
          <w:highlight w:val="none"/>
          <w:lang w:eastAsia="zh-CN"/>
        </w:rPr>
        <w:t>优秀</w:t>
      </w:r>
    </w:p>
    <w:p>
      <w:pPr>
        <w:widowControl/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四类评价等级：优秀（</w:t>
      </w:r>
      <w:r>
        <w:rPr>
          <w:rFonts w:ascii="仿宋_GB2312" w:hAnsi="仿宋" w:eastAsia="仿宋_GB2312" w:cs="Times New Roman"/>
          <w:sz w:val="32"/>
          <w:szCs w:val="32"/>
        </w:rPr>
        <w:t>90</w:t>
      </w:r>
      <w:r>
        <w:rPr>
          <w:rFonts w:hint="eastAsia" w:ascii="仿宋_GB2312" w:hAnsi="仿宋" w:eastAsia="仿宋_GB2312" w:cs="Times New Roman"/>
          <w:sz w:val="32"/>
          <w:szCs w:val="32"/>
        </w:rPr>
        <w:t>（含）</w:t>
      </w:r>
      <w:r>
        <w:rPr>
          <w:rFonts w:ascii="仿宋_GB2312" w:hAnsi="仿宋" w:eastAsia="仿宋_GB2312" w:cs="Times New Roman"/>
          <w:sz w:val="32"/>
          <w:szCs w:val="32"/>
        </w:rPr>
        <w:t>-100</w:t>
      </w:r>
      <w:r>
        <w:rPr>
          <w:rFonts w:hint="eastAsia" w:ascii="仿宋_GB2312" w:hAnsi="仿宋" w:eastAsia="仿宋_GB2312" w:cs="Times New Roman"/>
          <w:sz w:val="32"/>
          <w:szCs w:val="32"/>
        </w:rPr>
        <w:t>分）、良好</w:t>
      </w:r>
      <w:r>
        <w:rPr>
          <w:rFonts w:ascii="仿宋_GB2312" w:hAnsi="仿宋" w:eastAsia="仿宋_GB2312" w:cs="Times New Roman"/>
          <w:sz w:val="32"/>
          <w:szCs w:val="32"/>
        </w:rPr>
        <w:t>80</w:t>
      </w:r>
      <w:r>
        <w:rPr>
          <w:rFonts w:hint="eastAsia" w:ascii="仿宋_GB2312" w:hAnsi="仿宋" w:eastAsia="仿宋_GB2312" w:cs="Times New Roman"/>
          <w:sz w:val="32"/>
          <w:szCs w:val="32"/>
        </w:rPr>
        <w:t>（含）</w:t>
      </w:r>
      <w:r>
        <w:rPr>
          <w:rFonts w:ascii="仿宋_GB2312" w:hAnsi="仿宋" w:eastAsia="仿宋_GB2312" w:cs="Times New Roman"/>
          <w:sz w:val="32"/>
          <w:szCs w:val="32"/>
        </w:rPr>
        <w:t>-90</w:t>
      </w:r>
      <w:r>
        <w:rPr>
          <w:rFonts w:hint="eastAsia" w:ascii="仿宋_GB2312" w:hAnsi="仿宋" w:eastAsia="仿宋_GB2312" w:cs="Times New Roman"/>
          <w:sz w:val="32"/>
          <w:szCs w:val="32"/>
        </w:rPr>
        <w:t>分、一般</w:t>
      </w:r>
      <w:r>
        <w:rPr>
          <w:rFonts w:ascii="仿宋_GB2312" w:hAnsi="仿宋" w:eastAsia="仿宋_GB2312" w:cs="Times New Roman"/>
          <w:sz w:val="32"/>
          <w:szCs w:val="32"/>
        </w:rPr>
        <w:t>60</w:t>
      </w:r>
      <w:r>
        <w:rPr>
          <w:rFonts w:hint="eastAsia" w:ascii="仿宋_GB2312" w:hAnsi="仿宋" w:eastAsia="仿宋_GB2312" w:cs="Times New Roman"/>
          <w:sz w:val="32"/>
          <w:szCs w:val="32"/>
        </w:rPr>
        <w:t>（含）</w:t>
      </w:r>
      <w:r>
        <w:rPr>
          <w:rFonts w:ascii="仿宋_GB2312" w:hAnsi="仿宋" w:eastAsia="仿宋_GB2312" w:cs="Times New Roman"/>
          <w:sz w:val="32"/>
          <w:szCs w:val="32"/>
        </w:rPr>
        <w:t>-80</w:t>
      </w:r>
      <w:r>
        <w:rPr>
          <w:rFonts w:hint="eastAsia" w:ascii="仿宋_GB2312" w:hAnsi="仿宋" w:eastAsia="仿宋_GB2312" w:cs="Times New Roman"/>
          <w:sz w:val="32"/>
          <w:szCs w:val="32"/>
        </w:rPr>
        <w:t>分、较差</w:t>
      </w:r>
      <w:r>
        <w:rPr>
          <w:rFonts w:ascii="仿宋_GB2312" w:hAnsi="仿宋" w:eastAsia="仿宋_GB2312" w:cs="Times New Roman"/>
          <w:sz w:val="32"/>
          <w:szCs w:val="32"/>
        </w:rPr>
        <w:t>60</w:t>
      </w:r>
      <w:r>
        <w:rPr>
          <w:rFonts w:hint="eastAsia" w:ascii="仿宋_GB2312" w:hAnsi="仿宋" w:eastAsia="仿宋_GB2312" w:cs="Times New Roman"/>
          <w:sz w:val="32"/>
          <w:szCs w:val="32"/>
        </w:rPr>
        <w:t>分以下</w:t>
      </w:r>
    </w:p>
    <w:p>
      <w:pPr>
        <w:spacing w:line="520" w:lineRule="exact"/>
        <w:ind w:firstLine="636" w:firstLineChars="200"/>
        <w:rPr>
          <w:rFonts w:ascii="楷体_GB2312" w:hAnsi="仿宋" w:eastAsia="楷体_GB2312" w:cs="Times New Roman"/>
          <w:sz w:val="32"/>
          <w:szCs w:val="32"/>
        </w:rPr>
      </w:pPr>
      <w:r>
        <w:rPr>
          <w:rFonts w:hint="eastAsia" w:ascii="楷体_GB2312" w:hAnsi="仿宋" w:eastAsia="楷体_GB2312" w:cs="Times New Roman"/>
          <w:sz w:val="32"/>
          <w:szCs w:val="32"/>
        </w:rPr>
        <w:t>（二）存在的问题及原因分析</w:t>
      </w:r>
    </w:p>
    <w:p>
      <w:pPr>
        <w:spacing w:line="520" w:lineRule="exact"/>
        <w:ind w:firstLine="63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税收增长趋缓，还需加强财源建设，发展税收产业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20" w:lineRule="exact"/>
        <w:ind w:firstLine="636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刚性支出及重点任务支出仍需保障，资金压力依旧较大，还需做好资金、资源等多方统筹优化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绩效管理及内控体系还需进一步巩固加强，树立全局及风险意识。</w:t>
      </w:r>
    </w:p>
    <w:p>
      <w:pPr>
        <w:spacing w:line="520" w:lineRule="exact"/>
        <w:ind w:firstLine="636" w:firstLineChars="200"/>
        <w:rPr>
          <w:rFonts w:ascii="楷体_GB2312" w:hAnsi="仿宋" w:eastAsia="楷体_GB2312" w:cs="Times New Roman"/>
          <w:sz w:val="32"/>
          <w:szCs w:val="32"/>
        </w:rPr>
      </w:pPr>
      <w:r>
        <w:rPr>
          <w:rFonts w:hint="eastAsia" w:ascii="楷体_GB2312" w:hAnsi="仿宋" w:eastAsia="楷体_GB2312" w:cs="Times New Roman"/>
          <w:sz w:val="32"/>
          <w:szCs w:val="32"/>
        </w:rPr>
        <w:t>（三）改进措施</w:t>
      </w:r>
    </w:p>
    <w:p>
      <w:pPr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搭建“亲情直通车”平台加强政企关系，涵养以商招商模式，建立中介公司绩效考核机制，压实中介公司责任，优化营商环境，提升竞争意识。同时加快招商引资进度，互惠式促进政企发展，推进相关指标顺利完成。</w:t>
      </w:r>
    </w:p>
    <w:p>
      <w:pPr>
        <w:spacing w:line="560" w:lineRule="exact"/>
        <w:ind w:firstLine="600"/>
        <w:rPr>
          <w:rFonts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根据镇域整体发展规划与重点事项安排，及时调整资金结构，结合区级财政体制改革方案，做好镇级资金的统筹使用与成本管控工作。及时梳理项目进程，督促相关资金支出进度，发挥预算管理与调节作用。</w:t>
      </w:r>
    </w:p>
    <w:p>
      <w:pPr>
        <w:spacing w:line="560" w:lineRule="exact"/>
        <w:ind w:firstLine="636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对实施项目开展绩效运行监控，落实绩效自评工作，并合理运用考评结果，切实推动预算项目执行进度以及项目执行效果，发挥预算资金使用效益。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同时</w:t>
      </w:r>
      <w:r>
        <w:rPr>
          <w:rFonts w:hint="eastAsia" w:ascii="仿宋_GB2312" w:hAnsi="仿宋_GB2312" w:eastAsia="仿宋_GB2312" w:cs="仿宋_GB2312"/>
          <w:sz w:val="32"/>
          <w:szCs w:val="32"/>
        </w:rPr>
        <w:t>持续完善镇级内控平台建设，深化内控与风险防范理念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把控流程节点风险，充分发挥内部控制管理作用。</w:t>
      </w:r>
    </w:p>
    <w:p>
      <w:pPr>
        <w:spacing w:line="560" w:lineRule="exact"/>
        <w:ind w:firstLine="6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636" w:firstLineChars="200"/>
        <w:rPr>
          <w:rFonts w:ascii="仿宋_GB2312" w:hAnsi="仿宋" w:eastAsia="仿宋_GB2312" w:cs="Times New Roman"/>
          <w:sz w:val="32"/>
          <w:szCs w:val="32"/>
        </w:rPr>
      </w:pPr>
    </w:p>
    <w:bookmarkEnd w:id="3"/>
    <w:p>
      <w:pPr>
        <w:spacing w:line="520" w:lineRule="exact"/>
        <w:ind w:firstLine="636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</w:p>
    <w:p/>
    <w:sectPr>
      <w:footerReference r:id="rId9" w:type="default"/>
      <w:pgSz w:w="11907" w:h="16840"/>
      <w:pgMar w:top="1797" w:right="1440" w:bottom="1276" w:left="1440" w:header="851" w:footer="992" w:gutter="0"/>
      <w:pgNumType w:start="1"/>
      <w:cols w:space="425" w:num="1"/>
      <w:docGrid w:type="linesAndChars" w:linePitch="606" w:charSpace="-61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ind w:firstLine="360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ind w:firstLine="360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4</w:t>
    </w:r>
    <w:r>
      <w:rPr>
        <w:rStyle w:val="8"/>
      </w:rPr>
      <w:fldChar w:fldCharType="end"/>
    </w:r>
  </w:p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1791FF"/>
    <w:multiLevelType w:val="singleLevel"/>
    <w:tmpl w:val="661791FF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4502A"/>
    <w:rsid w:val="0015133D"/>
    <w:rsid w:val="001F1B65"/>
    <w:rsid w:val="00271F9E"/>
    <w:rsid w:val="00385D4E"/>
    <w:rsid w:val="00632E15"/>
    <w:rsid w:val="007C38C7"/>
    <w:rsid w:val="007C5969"/>
    <w:rsid w:val="00846439"/>
    <w:rsid w:val="008B4180"/>
    <w:rsid w:val="008C4DEF"/>
    <w:rsid w:val="0099769B"/>
    <w:rsid w:val="00A5549B"/>
    <w:rsid w:val="00AC3863"/>
    <w:rsid w:val="00B12733"/>
    <w:rsid w:val="00D92EAA"/>
    <w:rsid w:val="00D937A9"/>
    <w:rsid w:val="00E26073"/>
    <w:rsid w:val="00E430E2"/>
    <w:rsid w:val="00F578CA"/>
    <w:rsid w:val="069203A3"/>
    <w:rsid w:val="0FED3E66"/>
    <w:rsid w:val="11B142D7"/>
    <w:rsid w:val="12CC5766"/>
    <w:rsid w:val="155E14FA"/>
    <w:rsid w:val="1CCC16A0"/>
    <w:rsid w:val="218D4AE0"/>
    <w:rsid w:val="226D2586"/>
    <w:rsid w:val="2412363A"/>
    <w:rsid w:val="2644677F"/>
    <w:rsid w:val="2B496984"/>
    <w:rsid w:val="2BA1031B"/>
    <w:rsid w:val="30487561"/>
    <w:rsid w:val="309C35F1"/>
    <w:rsid w:val="39585370"/>
    <w:rsid w:val="3B814420"/>
    <w:rsid w:val="3BF92BC6"/>
    <w:rsid w:val="3DAF1206"/>
    <w:rsid w:val="3FEB43F7"/>
    <w:rsid w:val="43057AB7"/>
    <w:rsid w:val="441E72E1"/>
    <w:rsid w:val="44A942C1"/>
    <w:rsid w:val="4EA36B36"/>
    <w:rsid w:val="53664056"/>
    <w:rsid w:val="57D27216"/>
    <w:rsid w:val="5C130BE6"/>
    <w:rsid w:val="5DB42B0F"/>
    <w:rsid w:val="5F1739FD"/>
    <w:rsid w:val="68A211BC"/>
    <w:rsid w:val="6CD33946"/>
    <w:rsid w:val="6E010E4A"/>
    <w:rsid w:val="6EE679E5"/>
    <w:rsid w:val="79997E5C"/>
    <w:rsid w:val="7A6314F2"/>
    <w:rsid w:val="7F847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iPriority="99" w:semiHidden="0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spacing w:beforeLines="0" w:afterLines="0" w:line="288" w:lineRule="auto"/>
      <w:jc w:val="left"/>
    </w:pPr>
    <w:rPr>
      <w:rFonts w:hint="eastAsia" w:ascii="宋体" w:eastAsia="宋体"/>
      <w:color w:val="000000"/>
      <w:sz w:val="2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index 9"/>
    <w:basedOn w:val="1"/>
    <w:next w:val="1"/>
    <w:unhideWhenUsed/>
    <w:qFormat/>
    <w:uiPriority w:val="99"/>
    <w:pPr>
      <w:ind w:left="1600" w:leftChars="1600"/>
    </w:pPr>
    <w:rPr>
      <w:rFonts w:hint="eastAsia"/>
      <w:sz w:val="2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Lines="0" w:beforeAutospacing="1" w:after="100" w:afterLines="0" w:afterAutospacing="1"/>
      <w:ind w:firstLine="0" w:firstLineChars="0"/>
      <w:jc w:val="left"/>
    </w:pPr>
    <w:rPr>
      <w:rFonts w:hint="eastAsia" w:ascii="宋体" w:hAnsi="宋体" w:eastAsia="宋体"/>
      <w:color w:val="000000"/>
      <w:sz w:val="24"/>
    </w:rPr>
  </w:style>
  <w:style w:type="character" w:styleId="8">
    <w:name w:val="page number"/>
    <w:basedOn w:val="7"/>
    <w:semiHidden/>
    <w:qFormat/>
    <w:uiPriority w:val="99"/>
    <w:rPr>
      <w:rFonts w:cs="Times New Roman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198</Words>
  <Characters>1135</Characters>
  <Lines>9</Lines>
  <Paragraphs>2</Paragraphs>
  <ScaleCrop>false</ScaleCrop>
  <LinksUpToDate>false</LinksUpToDate>
  <CharactersWithSpaces>1331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2024-01-17T07:47:00Z</dcterms:created>
  <dc:creator>李菁</dc:creator>
  <cp:lastModifiedBy>Administrator</cp:lastModifiedBy>
  <cp:lastPrinted>2024-04-15T06:17:25Z</cp:lastPrinted>
  <dcterms:modified xsi:type="dcterms:W3CDTF">2024-04-15T06:46:55Z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