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312" w:lineRule="auto"/>
        <w:outlineLvl w:val="1"/>
        <w:rPr>
          <w:rFonts w:cs="Times New Roman" w:asciiTheme="majorEastAsia" w:hAnsiTheme="majorEastAsia" w:eastAsiaTheme="majorEastAsia"/>
          <w:b/>
          <w:bCs/>
          <w:sz w:val="28"/>
          <w:szCs w:val="28"/>
        </w:rPr>
      </w:pPr>
      <w:r>
        <w:rPr>
          <w:rFonts w:hint="eastAsia" w:cs="Times New Roman" w:asciiTheme="majorEastAsia" w:hAnsiTheme="majorEastAsia" w:eastAsiaTheme="majorEastAsia"/>
          <w:b/>
          <w:bCs/>
          <w:sz w:val="28"/>
          <w:szCs w:val="28"/>
        </w:rPr>
        <w:t>附件1-3</w:t>
      </w:r>
    </w:p>
    <w:p>
      <w:pPr>
        <w:widowControl/>
        <w:spacing w:line="560" w:lineRule="exact"/>
        <w:ind w:firstLine="716" w:firstLineChars="200"/>
        <w:jc w:val="center"/>
        <w:rPr>
          <w:rFonts w:ascii="宋体" w:hAnsi="宋体" w:eastAsia="宋体" w:cs="宋体"/>
          <w:b/>
          <w:sz w:val="36"/>
          <w:szCs w:val="36"/>
        </w:rPr>
      </w:pPr>
      <w:r>
        <w:rPr>
          <w:rFonts w:hint="eastAsia" w:ascii="宋体" w:hAnsi="宋体" w:eastAsia="宋体" w:cs="宋体"/>
          <w:b/>
          <w:sz w:val="36"/>
          <w:szCs w:val="36"/>
          <w:u w:val="single"/>
          <w:lang w:eastAsia="zh-CN"/>
        </w:rPr>
        <w:t>雁翅镇</w:t>
      </w:r>
      <w:r>
        <w:rPr>
          <w:rFonts w:hint="eastAsia" w:ascii="宋体" w:hAnsi="宋体" w:eastAsia="宋体" w:cs="宋体"/>
          <w:b/>
          <w:sz w:val="36"/>
          <w:szCs w:val="36"/>
        </w:rPr>
        <w:t>部门</w:t>
      </w:r>
      <w:r>
        <w:rPr>
          <w:rFonts w:ascii="宋体" w:hAnsi="宋体" w:eastAsia="宋体" w:cs="宋体"/>
          <w:b/>
          <w:sz w:val="36"/>
          <w:szCs w:val="36"/>
        </w:rPr>
        <w:t>2024</w:t>
      </w:r>
      <w:r>
        <w:rPr>
          <w:rFonts w:hint="eastAsia" w:ascii="宋体" w:hAnsi="宋体" w:eastAsia="宋体" w:cs="宋体"/>
          <w:b/>
          <w:sz w:val="36"/>
          <w:szCs w:val="36"/>
        </w:rPr>
        <w:t>年度部门整体支出绩效自评报告</w:t>
      </w:r>
    </w:p>
    <w:p>
      <w:pPr>
        <w:widowControl/>
        <w:spacing w:line="560" w:lineRule="exact"/>
        <w:ind w:firstLine="636" w:firstLineChars="200"/>
        <w:rPr>
          <w:rFonts w:ascii="黑体" w:hAnsi="黑体" w:eastAsia="黑体" w:cs="宋体"/>
          <w:sz w:val="32"/>
          <w:szCs w:val="32"/>
        </w:rPr>
      </w:pPr>
    </w:p>
    <w:p>
      <w:pPr>
        <w:widowControl/>
        <w:adjustRightInd w:val="0"/>
        <w:snapToGrid w:val="0"/>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一、部门概况</w:t>
      </w:r>
    </w:p>
    <w:p>
      <w:pPr>
        <w:adjustRightInd w:val="0"/>
        <w:snapToGrid w:val="0"/>
        <w:spacing w:line="520" w:lineRule="exact"/>
        <w:ind w:firstLine="636" w:firstLineChars="200"/>
        <w:rPr>
          <w:rFonts w:ascii="楷体_GB2312" w:hAnsi="仿宋" w:eastAsia="楷体_GB2312" w:cs="Times New Roman"/>
          <w:b/>
          <w:sz w:val="32"/>
          <w:szCs w:val="32"/>
        </w:rPr>
      </w:pPr>
      <w:bookmarkStart w:id="0" w:name="_Toc268005755"/>
      <w:r>
        <w:rPr>
          <w:rFonts w:hint="eastAsia" w:ascii="楷体_GB2312" w:hAnsi="仿宋" w:eastAsia="楷体_GB2312" w:cs="Times New Roman"/>
          <w:b/>
          <w:sz w:val="32"/>
          <w:szCs w:val="32"/>
        </w:rPr>
        <w:t>（一）部门职责情况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雁翅镇人民政府隶属于门头沟区人民政府，属于政府职能部门，其职责是加强对雁翅镇经济和社会发展的统筹规划和组织协调服务；加强社会主义民主政治和法制建设，依法行政，规范管理；完善农村社会化服务体系，为农业和农村经济发展创造条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主要职能职责如下：</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党委工作职责：（1）保证党的路线、方针、政策的坚决贯彻执行。（2）保证监督职能。（3）服从和服务于经济建设的职能。（4）负责抓好本乡党建工作、群团工作、精神文明建设工作、新闻宣传工作。（5）完成上级政府交给的其他工作任务。</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政府职能：（1）制定并组织实施村镇建设规划，部署重点工程建设，地方道路建设及公共设施，水利设施的管理，负责土地、林木、水等自然资源和生态环境的保护，做好护林防火工作。（2）负责本行政区域内的民政、计划生育、文化教育、卫生、体育等社会公益事业的综合性工作，维护一切经济单位和个人的正当经济权益，取缔非法经济活动，调解和处理民事纠纷，打击刑事犯罪维护社会稳定。（3）按计划组织本级财政收入和地方税的征收，完成国家财政计划，不断培植税源，管好财政资金，增强财政实力。（4）抓好精神文明建设，丰富群众文化生活，提倡移风易俗，反对封建迷信，破除陈规陋习，树立社会主义新风尚。（5）完成上级政府交办的其它事项。</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（二）部门机构设置情况</w:t>
      </w:r>
    </w:p>
    <w:p>
      <w:pPr>
        <w:adjustRightInd w:val="0"/>
        <w:snapToGrid w:val="0"/>
        <w:spacing w:beforeLines="0" w:afterLines="0" w:line="560" w:lineRule="atLeast"/>
        <w:ind w:firstLine="634"/>
        <w:rPr>
          <w:rFonts w:hint="eastAsia" w:ascii="仿宋_GB2312" w:hAnsi="仿宋"/>
          <w:sz w:val="32"/>
        </w:rPr>
      </w:pPr>
      <w:r>
        <w:rPr>
          <w:rFonts w:hint="eastAsia" w:ascii="仿宋_GB2312" w:hAnsi="仿宋"/>
          <w:sz w:val="32"/>
        </w:rPr>
        <w:t>1.机构设置情况</w:t>
      </w:r>
    </w:p>
    <w:p>
      <w:pPr>
        <w:snapToGrid w:val="0"/>
        <w:spacing w:line="520" w:lineRule="exact"/>
        <w:ind w:firstLine="636" w:firstLineChars="200"/>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雁翅镇内设机构共7个；包括综合办公室、党群工作办公室、平安建设办公室、城乡建设办公室、民生保障办公室、经济发展办公室，另有一个综合行政执法队；下设5个事业单位，包括雁翅镇市民活动中心（党群活动中心）、雁翅镇市民诉求处置中心（综治中心）、雁翅镇便民服务中心（退役军人服务站）、雁翅镇农业综合服务中心（区域经济发展服务中心）、雁翅镇农村经济经营管理站（农村三资管理服务中心），另有一个事业单位雁翅林业工作站，编制隶属于区园林绿化局。</w:t>
      </w:r>
    </w:p>
    <w:p>
      <w:pPr>
        <w:numPr>
          <w:ilvl w:val="0"/>
          <w:numId w:val="1"/>
        </w:numPr>
        <w:adjustRightInd w:val="0"/>
        <w:snapToGrid w:val="0"/>
        <w:spacing w:beforeLines="0" w:afterLines="0" w:line="560" w:lineRule="atLeast"/>
        <w:ind w:firstLine="634"/>
        <w:rPr>
          <w:rFonts w:hint="eastAsia" w:ascii="仿宋_GB2312" w:hAnsi="宋体" w:eastAsia="仿宋_GB2312" w:cs="宋体"/>
          <w:kern w:val="0"/>
          <w:sz w:val="32"/>
          <w:szCs w:val="32"/>
          <w:highlight w:val="none"/>
          <w:lang w:val="en-US" w:eastAsia="zh-CN"/>
        </w:rPr>
      </w:pPr>
      <w:r>
        <w:rPr>
          <w:rFonts w:hint="eastAsia" w:ascii="仿宋_GB2312" w:hAnsi="仿宋"/>
          <w:color w:val="auto"/>
          <w:sz w:val="32"/>
        </w:rPr>
        <w:t>人员构成情况</w:t>
      </w:r>
    </w:p>
    <w:p>
      <w:pPr>
        <w:snapToGrid w:val="0"/>
        <w:spacing w:line="520" w:lineRule="exact"/>
        <w:ind w:firstLine="636" w:firstLineChars="200"/>
        <w:rPr>
          <w:rFonts w:hint="eastAsia" w:ascii="仿宋_GB2312" w:hAnsi="宋体" w:eastAsia="仿宋_GB2312" w:cs="宋体"/>
          <w:kern w:val="0"/>
          <w:sz w:val="32"/>
          <w:szCs w:val="32"/>
          <w:highlight w:val="none"/>
          <w:lang w:val="en-US" w:eastAsia="zh-CN"/>
        </w:rPr>
      </w:pPr>
      <w:r>
        <w:rPr>
          <w:rFonts w:hint="eastAsia" w:ascii="仿宋_GB2312" w:hAnsi="仿宋" w:eastAsia="仿宋_GB2312"/>
          <w:sz w:val="32"/>
          <w:szCs w:val="32"/>
          <w:highlight w:val="none"/>
          <w:lang w:val="en-US" w:eastAsia="zh-CN"/>
        </w:rPr>
        <w:t xml:space="preserve">雁翅镇部门行政编制52名，另有机关工勤1名，执法大队4名，行政实际48人，机关工勤1人，执法大队实际4人；事业编制55名，林业站编制6名，我镇下属事业单位实际48人，林业站实际5人；离退休人员55人，其中：行政退休31人，事业退休24人。  </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w:t>
      </w:r>
      <w:r>
        <w:rPr>
          <w:rFonts w:ascii="楷体_GB2312" w:hAnsi="仿宋" w:eastAsia="楷体_GB2312" w:cs="Times New Roman"/>
          <w:b/>
          <w:sz w:val="32"/>
          <w:szCs w:val="32"/>
        </w:rPr>
        <w:t>2024</w:t>
      </w:r>
      <w:r>
        <w:rPr>
          <w:rFonts w:hint="eastAsia" w:ascii="楷体_GB2312" w:hAnsi="仿宋" w:eastAsia="楷体_GB2312" w:cs="Times New Roman"/>
          <w:b/>
          <w:sz w:val="32"/>
          <w:szCs w:val="32"/>
        </w:rPr>
        <w:t>年主要工作任务</w:t>
      </w:r>
    </w:p>
    <w:bookmarkEnd w:id="0"/>
    <w:p>
      <w:pPr>
        <w:adjustRightInd w:val="0"/>
        <w:snapToGrid w:val="0"/>
        <w:spacing w:line="520" w:lineRule="exact"/>
        <w:ind w:firstLine="636" w:firstLineChars="200"/>
        <w:rPr>
          <w:rFonts w:hint="eastAsia" w:ascii="仿宋_GB2312" w:hAnsi="仿宋" w:eastAsia="仿宋_GB2312" w:cs="Times New Roman"/>
          <w:sz w:val="32"/>
          <w:szCs w:val="32"/>
        </w:rPr>
      </w:pPr>
      <w:bookmarkStart w:id="1" w:name="_Toc268005759"/>
      <w:bookmarkStart w:id="2" w:name="_Toc263686375"/>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3</w:t>
      </w:r>
      <w:r>
        <w:rPr>
          <w:rFonts w:hint="eastAsia" w:ascii="仿宋_GB2312" w:hAnsi="仿宋" w:eastAsia="仿宋_GB2312" w:cs="Times New Roman"/>
          <w:sz w:val="32"/>
          <w:szCs w:val="32"/>
        </w:rPr>
        <w:t>年，我镇的财政工作在党委、政府的领导下，在上级主管部门的指导与支持下，立足实际、结合镇情、抢抓机遇、攻坚破难，坚持以发展为中心，强化财政管理，不断提高财政资金使用效益，切实缩减“三公经费”支出，优化财政支出结构，推动全镇经济社会全面协调可持续发展，圆满地完成202</w:t>
      </w:r>
      <w:r>
        <w:rPr>
          <w:rFonts w:hint="eastAsia" w:ascii="仿宋_GB2312" w:hAnsi="仿宋" w:eastAsia="仿宋_GB2312" w:cs="Times New Roman"/>
          <w:sz w:val="32"/>
          <w:szCs w:val="32"/>
          <w:lang w:val="en-US" w:eastAsia="zh-CN"/>
        </w:rPr>
        <w:t>3</w:t>
      </w:r>
      <w:r>
        <w:rPr>
          <w:rFonts w:hint="eastAsia" w:ascii="仿宋_GB2312" w:hAnsi="仿宋" w:eastAsia="仿宋_GB2312" w:cs="Times New Roman"/>
          <w:sz w:val="32"/>
          <w:szCs w:val="32"/>
        </w:rPr>
        <w:t>年财政工作任务。</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1</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维持正常运转投入及成效,我镇人员及办公经费</w:t>
      </w:r>
      <w:r>
        <w:rPr>
          <w:rFonts w:hint="eastAsia" w:ascii="仿宋_GB2312" w:hAnsi="仿宋" w:eastAsia="仿宋_GB2312"/>
          <w:sz w:val="32"/>
        </w:rPr>
        <w:t>3,570.75万元</w:t>
      </w:r>
      <w:r>
        <w:rPr>
          <w:rFonts w:hint="eastAsia" w:ascii="仿宋_GB2312" w:hAnsi="仿宋" w:eastAsia="仿宋_GB2312" w:cs="Times New Roman"/>
          <w:sz w:val="32"/>
          <w:szCs w:val="32"/>
        </w:rPr>
        <w:t>，足额保障了我镇人员工资和日常定额支出，使我镇能够正常运转。</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（2）各项工作的顺利进行，预算项目支出共计32,964</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8</w:t>
      </w:r>
      <w:r>
        <w:rPr>
          <w:rFonts w:hint="eastAsia" w:ascii="仿宋_GB2312" w:hAnsi="仿宋" w:eastAsia="仿宋_GB2312" w:cs="Times New Roman"/>
          <w:sz w:val="32"/>
          <w:szCs w:val="32"/>
          <w:lang w:val="en-US" w:eastAsia="zh-CN"/>
        </w:rPr>
        <w:t>9</w:t>
      </w:r>
      <w:r>
        <w:rPr>
          <w:rFonts w:hint="eastAsia" w:ascii="仿宋_GB2312" w:hAnsi="仿宋" w:eastAsia="仿宋_GB2312" w:cs="Times New Roman"/>
          <w:sz w:val="32"/>
          <w:szCs w:val="32"/>
        </w:rPr>
        <w:t xml:space="preserve">万元，提供农村地区农民就业机会，增加农民收入；不断改善农村地区人居环境，提高居住水平；社会事业发展，包含文化事业及旅游事业等项目，用于提高我镇文化及旅游发展水平，不断丰富群众文化生活，改善镇域内旅游基础设施水平，促进村民增收。具体体现在：（一）党群工作方面：通过基层党建工作，全面增强基层党组织政治功能和组织力。（二）平安建设方面：通过辖区平安建设工作，维护辖区社会稳定和长治久安。（三）城乡建设管理方面：通过制定并落实村镇建设发展规划，配合做好城乡规划管理有关工作，负责市政市容环境综合治理，全面改善居民生产生活条件。（四）民生保障服务方面：统筹完成落实各项民生保障政策，推进社区建设与发展，提高辖区人民生活保障水平。（五）市民诉求处理方面：协调解决城市管理分平台各类诉求，分析研判市民诉求热点问题，提高辖区居民幸福感。（六）经济发展方面：通过制定镇经济发展规划并组织实施，负责产业发展建设与各项事务管理，促进辖区经济健康有序发展。（七）机关运行方面：通过机关重要事项组织和综合协调等工作，保障机关正常运行。 </w:t>
      </w:r>
    </w:p>
    <w:p>
      <w:pPr>
        <w:adjustRightInd w:val="0"/>
        <w:snapToGrid w:val="0"/>
        <w:spacing w:line="520" w:lineRule="exact"/>
        <w:ind w:firstLine="636" w:firstLineChars="200"/>
        <w:rPr>
          <w:rFonts w:hint="eastAsia" w:ascii="楷体_GB2312" w:hAnsi="仿宋" w:eastAsia="楷体_GB2312" w:cs="Times New Roman"/>
          <w:b/>
          <w:sz w:val="32"/>
          <w:szCs w:val="32"/>
        </w:rPr>
      </w:pPr>
      <w:r>
        <w:rPr>
          <w:rFonts w:hint="eastAsia" w:ascii="楷体_GB2312" w:hAnsi="仿宋" w:eastAsia="楷体_GB2312" w:cs="Times New Roman"/>
          <w:b/>
          <w:sz w:val="32"/>
          <w:szCs w:val="32"/>
        </w:rPr>
        <w:t>（四）部门</w:t>
      </w:r>
      <w:bookmarkEnd w:id="1"/>
      <w:r>
        <w:rPr>
          <w:rFonts w:hint="eastAsia" w:ascii="楷体_GB2312" w:hAnsi="仿宋" w:eastAsia="楷体_GB2312" w:cs="Times New Roman"/>
          <w:b/>
          <w:sz w:val="32"/>
          <w:szCs w:val="32"/>
        </w:rPr>
        <w:t>整体绩效目标设立情况</w:t>
      </w:r>
    </w:p>
    <w:tbl>
      <w:tblPr>
        <w:tblStyle w:val="6"/>
        <w:tblW w:w="92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4"/>
        <w:gridCol w:w="1800"/>
        <w:gridCol w:w="4110"/>
        <w:gridCol w:w="2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7"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序号</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职责</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年度任务</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绩效指标及指标值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13"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1</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党群工作</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全面增强基层党组织政治功能和组织力。</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2</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平安建设</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维护辖区社会稳定和长治久安。</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3</w:t>
            </w:r>
          </w:p>
        </w:tc>
        <w:tc>
          <w:tcPr>
            <w:tcW w:w="1800"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城乡建设管理</w:t>
            </w:r>
          </w:p>
        </w:tc>
        <w:tc>
          <w:tcPr>
            <w:tcW w:w="4110"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负责市政市容环境综合治理，全面改善居民生产生活条件。完善配套政策，优化提升社区管理服务水平，加强基层民主政治建设</w:t>
            </w:r>
          </w:p>
        </w:tc>
        <w:tc>
          <w:tcPr>
            <w:tcW w:w="2529"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4</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民生服务保障</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统筹完成落实各项民生保障政策，推进社区建设与发展，提高辖区人民生活保障水平。</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5</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市民诉求处理</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协调解决城市管理分平台各类诉求，分析研判市民诉求热点问题。</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6</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经济发展</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做好农村集体资产及土地承包管理工作，完善村镇产业结构，做好财政及财务管理工作，整合统计与经济发展职能。</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7</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机关运行</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通过机关重要事项组织和综合协调等工作，保障机关正常运行</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bl>
    <w:p>
      <w:pPr>
        <w:adjustRightInd w:val="0"/>
        <w:snapToGrid w:val="0"/>
        <w:spacing w:line="520" w:lineRule="exact"/>
        <w:ind w:firstLine="636" w:firstLineChars="200"/>
        <w:rPr>
          <w:rFonts w:hint="eastAsia" w:ascii="楷体_GB2312" w:hAnsi="仿宋" w:eastAsia="楷体_GB2312" w:cs="Times New Roman"/>
          <w:b/>
          <w:sz w:val="32"/>
          <w:szCs w:val="32"/>
        </w:rPr>
      </w:pPr>
    </w:p>
    <w:p>
      <w:pPr>
        <w:widowControl/>
        <w:adjustRightInd w:val="0"/>
        <w:snapToGrid w:val="0"/>
        <w:spacing w:line="520" w:lineRule="exact"/>
        <w:ind w:firstLine="636" w:firstLineChars="200"/>
        <w:rPr>
          <w:rFonts w:ascii="黑体" w:hAnsi="黑体" w:eastAsia="黑体" w:cs="宋体"/>
          <w:sz w:val="32"/>
          <w:szCs w:val="32"/>
        </w:rPr>
      </w:pPr>
      <w:bookmarkStart w:id="3" w:name="_Toc268005761"/>
      <w:r>
        <w:rPr>
          <w:rFonts w:hint="eastAsia" w:ascii="黑体" w:hAnsi="黑体" w:eastAsia="黑体" w:cs="宋体"/>
          <w:sz w:val="32"/>
          <w:szCs w:val="32"/>
        </w:rPr>
        <w:t>二、当年预算执行情况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年全年预算数36,535</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6</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万元，其中：基本支出3,570</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7</w:t>
      </w:r>
      <w:r>
        <w:rPr>
          <w:rFonts w:hint="eastAsia" w:ascii="仿宋_GB2312" w:hAnsi="仿宋" w:eastAsia="仿宋_GB2312" w:cs="Times New Roman"/>
          <w:sz w:val="32"/>
          <w:szCs w:val="32"/>
          <w:lang w:val="en-US" w:eastAsia="zh-CN"/>
        </w:rPr>
        <w:t>5</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9.77</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；项目支出32,964</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8</w:t>
      </w:r>
      <w:r>
        <w:rPr>
          <w:rFonts w:hint="eastAsia" w:ascii="仿宋_GB2312" w:hAnsi="仿宋" w:eastAsia="仿宋_GB2312" w:cs="Times New Roman"/>
          <w:sz w:val="32"/>
          <w:szCs w:val="32"/>
          <w:lang w:val="en-US" w:eastAsia="zh-CN"/>
        </w:rPr>
        <w:t>9</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90.23</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截止到</w:t>
      </w:r>
      <w:r>
        <w:rPr>
          <w:rFonts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5</w:t>
      </w:r>
      <w:r>
        <w:rPr>
          <w:rFonts w:hint="eastAsia" w:ascii="仿宋_GB2312" w:hAnsi="仿宋" w:eastAsia="仿宋_GB2312" w:cs="Times New Roman"/>
          <w:sz w:val="32"/>
          <w:szCs w:val="32"/>
        </w:rPr>
        <w:t>年</w:t>
      </w:r>
      <w:r>
        <w:rPr>
          <w:rFonts w:ascii="仿宋_GB2312" w:hAnsi="仿宋" w:eastAsia="仿宋_GB2312" w:cs="Times New Roman"/>
          <w:sz w:val="32"/>
          <w:szCs w:val="32"/>
        </w:rPr>
        <w:t>12</w:t>
      </w:r>
      <w:r>
        <w:rPr>
          <w:rFonts w:hint="eastAsia" w:ascii="仿宋_GB2312" w:hAnsi="仿宋" w:eastAsia="仿宋_GB2312" w:cs="Times New Roman"/>
          <w:sz w:val="32"/>
          <w:szCs w:val="32"/>
        </w:rPr>
        <w:t>月</w:t>
      </w:r>
      <w:r>
        <w:rPr>
          <w:rFonts w:ascii="仿宋_GB2312" w:hAnsi="仿宋" w:eastAsia="仿宋_GB2312" w:cs="Times New Roman"/>
          <w:sz w:val="32"/>
          <w:szCs w:val="32"/>
        </w:rPr>
        <w:t>31</w:t>
      </w:r>
      <w:r>
        <w:rPr>
          <w:rFonts w:hint="eastAsia" w:ascii="仿宋_GB2312" w:hAnsi="仿宋" w:eastAsia="仿宋_GB2312" w:cs="Times New Roman"/>
          <w:sz w:val="32"/>
          <w:szCs w:val="32"/>
        </w:rPr>
        <w:t>日，预算资金总体支出36,535</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6</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万元，其中：基本支出3,570</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7</w:t>
      </w:r>
      <w:r>
        <w:rPr>
          <w:rFonts w:hint="eastAsia" w:ascii="仿宋_GB2312" w:hAnsi="仿宋" w:eastAsia="仿宋_GB2312" w:cs="Times New Roman"/>
          <w:sz w:val="32"/>
          <w:szCs w:val="32"/>
          <w:lang w:val="en-US" w:eastAsia="zh-CN"/>
        </w:rPr>
        <w:t>5</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9.77</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；项目支出32,964</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8</w:t>
      </w:r>
      <w:r>
        <w:rPr>
          <w:rFonts w:hint="eastAsia" w:ascii="仿宋_GB2312" w:hAnsi="仿宋" w:eastAsia="仿宋_GB2312" w:cs="Times New Roman"/>
          <w:sz w:val="32"/>
          <w:szCs w:val="32"/>
          <w:lang w:val="en-US" w:eastAsia="zh-CN"/>
        </w:rPr>
        <w:t>9</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90.23</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100</w:t>
      </w:r>
      <w:r>
        <w:rPr>
          <w:rFonts w:ascii="仿宋_GB2312" w:hAnsi="仿宋" w:eastAsia="仿宋_GB2312" w:cs="Times New Roman"/>
          <w:sz w:val="32"/>
          <w:szCs w:val="32"/>
        </w:rPr>
        <w:t>%</w:t>
      </w:r>
      <w:r>
        <w:rPr>
          <w:rFonts w:hint="eastAsia" w:ascii="仿宋_GB2312" w:hAnsi="仿宋" w:eastAsia="仿宋_GB2312" w:cs="Times New Roman"/>
          <w:sz w:val="32"/>
          <w:szCs w:val="32"/>
        </w:rPr>
        <w:t>。（支出数按照年底收回节约前的实际支出数填列）。</w:t>
      </w:r>
      <w:r>
        <w:rPr>
          <w:rFonts w:ascii="仿宋_GB2312" w:hAnsi="仿宋" w:eastAsia="仿宋_GB2312" w:cs="Times New Roman"/>
          <w:sz w:val="32"/>
          <w:szCs w:val="32"/>
        </w:rPr>
        <w:t xml:space="preserve">                                     </w:t>
      </w:r>
    </w:p>
    <w:bookmarkEnd w:id="3"/>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万元，全年支出预算数为</w:t>
      </w:r>
      <w:r>
        <w:rPr>
          <w:rFonts w:hint="eastAsia" w:ascii="仿宋_GB2312" w:hAnsi="仿宋" w:eastAsia="仿宋_GB2312"/>
          <w:sz w:val="32"/>
        </w:rPr>
        <w:t>36,535.64</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0</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仿宋" w:eastAsia="仿宋_GB2312" w:cs="Times New Roman"/>
          <w:sz w:val="32"/>
          <w:szCs w:val="32"/>
        </w:rPr>
        <w:t>2023</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万元，全年支出预算数为</w:t>
      </w:r>
      <w:r>
        <w:rPr>
          <w:rFonts w:hint="eastAsia" w:ascii="仿宋_GB2312" w:hAnsi="Times New Roman" w:eastAsia="仿宋_GB2312" w:cs="Times New Roman"/>
          <w:sz w:val="32"/>
          <w:szCs w:val="32"/>
          <w:lang w:val="en-US" w:eastAsia="zh-CN"/>
        </w:rPr>
        <w:t>26,162.24</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0</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2024</w:t>
      </w:r>
      <w:r>
        <w:rPr>
          <w:rFonts w:hint="eastAsia" w:ascii="仿宋_GB2312" w:hAnsi="Times New Roman" w:eastAsia="仿宋_GB2312" w:cs="Times New Roman"/>
          <w:sz w:val="32"/>
          <w:szCs w:val="32"/>
        </w:rPr>
        <w:t>年度部门结转结余率较上一年上升</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下降了</w:t>
      </w:r>
      <w:r>
        <w:rPr>
          <w:rFonts w:hint="eastAsia" w:ascii="仿宋_GB2312" w:hAnsi="Times New Roman" w:eastAsia="仿宋_GB2312" w:cs="Times New Roman"/>
          <w:sz w:val="32"/>
          <w:szCs w:val="32"/>
          <w:lang w:val="en-US" w:eastAsia="zh-CN"/>
        </w:rPr>
        <w:t>0</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三、整体绩效目标实现情况</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（一）产出完成情况分析</w:t>
      </w:r>
    </w:p>
    <w:p>
      <w:pPr>
        <w:spacing w:line="520" w:lineRule="exact"/>
        <w:ind w:firstLine="636" w:firstLineChars="200"/>
        <w:rPr>
          <w:rFonts w:hint="eastAsia" w:ascii="仿宋_GB2312" w:hAnsi="Times New Roman" w:eastAsia="仿宋_GB2312" w:cs="Times New Roman"/>
          <w:sz w:val="32"/>
          <w:szCs w:val="32"/>
          <w:lang w:eastAsia="zh-CN"/>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产出数量</w:t>
      </w:r>
      <w:r>
        <w:rPr>
          <w:rFonts w:hint="eastAsia" w:ascii="仿宋_GB2312" w:hAnsi="Times New Roman" w:eastAsia="仿宋_GB2312" w:cs="Times New Roman"/>
          <w:sz w:val="32"/>
          <w:szCs w:val="32"/>
          <w:lang w:eastAsia="zh-CN"/>
        </w:rPr>
        <w:t>：</w:t>
      </w:r>
      <w:r>
        <w:rPr>
          <w:rFonts w:hint="eastAsia" w:ascii="仿宋_GB2312" w:hAnsi="仿宋" w:eastAsia="仿宋_GB2312"/>
          <w:color w:val="000000"/>
          <w:sz w:val="32"/>
        </w:rPr>
        <w:t>行政村数量23个，社区数量1个</w:t>
      </w:r>
    </w:p>
    <w:p>
      <w:pPr>
        <w:spacing w:line="520" w:lineRule="exact"/>
        <w:ind w:firstLine="636" w:firstLineChars="200"/>
        <w:rPr>
          <w:rFonts w:hint="eastAsia" w:ascii="仿宋_GB2312" w:hAnsi="仿宋" w:eastAsia="仿宋_GB2312" w:cs="Times New Roman"/>
          <w:sz w:val="32"/>
          <w:szCs w:val="32"/>
          <w:lang w:val="en-US" w:eastAsia="zh-CN"/>
        </w:rPr>
      </w:pPr>
      <w:r>
        <w:rPr>
          <w:rFonts w:ascii="仿宋_GB2312" w:hAnsi="仿宋" w:eastAsia="仿宋_GB2312" w:cs="Times New Roman"/>
          <w:sz w:val="32"/>
          <w:szCs w:val="32"/>
        </w:rPr>
        <w:t>2.</w:t>
      </w:r>
      <w:r>
        <w:rPr>
          <w:rFonts w:hint="eastAsia" w:ascii="仿宋_GB2312" w:hAnsi="仿宋" w:eastAsia="仿宋_GB2312" w:cs="Times New Roman"/>
          <w:sz w:val="32"/>
          <w:szCs w:val="32"/>
        </w:rPr>
        <w:t>产出质量</w:t>
      </w:r>
      <w:r>
        <w:rPr>
          <w:rFonts w:hint="eastAsia" w:ascii="仿宋_GB2312" w:hAnsi="仿宋" w:eastAsia="仿宋_GB2312" w:cs="Times New Roman"/>
          <w:sz w:val="32"/>
          <w:szCs w:val="32"/>
          <w:lang w:eastAsia="zh-CN"/>
        </w:rPr>
        <w:t>：工作完成质量合格率</w:t>
      </w:r>
      <w:r>
        <w:rPr>
          <w:rFonts w:hint="eastAsia" w:ascii="仿宋_GB2312" w:hAnsi="仿宋" w:eastAsia="仿宋_GB2312" w:cs="Times New Roman"/>
          <w:sz w:val="32"/>
          <w:szCs w:val="32"/>
          <w:lang w:val="en-US" w:eastAsia="zh-CN"/>
        </w:rPr>
        <w:t>&gt;=90%</w:t>
      </w:r>
    </w:p>
    <w:p>
      <w:pPr>
        <w:spacing w:line="520" w:lineRule="exact"/>
        <w:ind w:firstLine="636" w:firstLineChars="200"/>
        <w:rPr>
          <w:rFonts w:hint="eastAsia" w:ascii="仿宋_GB2312" w:hAnsi="仿宋" w:eastAsia="仿宋_GB2312" w:cs="Times New Roman"/>
          <w:sz w:val="32"/>
          <w:szCs w:val="32"/>
          <w:lang w:val="en-US" w:eastAsia="zh-CN"/>
        </w:rPr>
      </w:pPr>
      <w:r>
        <w:rPr>
          <w:rFonts w:ascii="仿宋_GB2312" w:hAnsi="仿宋" w:eastAsia="仿宋_GB2312" w:cs="Times New Roman"/>
          <w:sz w:val="32"/>
          <w:szCs w:val="32"/>
        </w:rPr>
        <w:t>3.</w:t>
      </w:r>
      <w:r>
        <w:rPr>
          <w:rFonts w:hint="eastAsia" w:ascii="仿宋_GB2312" w:hAnsi="仿宋" w:eastAsia="仿宋_GB2312" w:cs="Times New Roman"/>
          <w:sz w:val="32"/>
          <w:szCs w:val="32"/>
        </w:rPr>
        <w:t>产出进度</w:t>
      </w:r>
      <w:r>
        <w:rPr>
          <w:rFonts w:hint="eastAsia" w:ascii="仿宋_GB2312" w:hAnsi="仿宋" w:eastAsia="仿宋_GB2312" w:cs="Times New Roman"/>
          <w:sz w:val="32"/>
          <w:szCs w:val="32"/>
          <w:lang w:eastAsia="zh-CN"/>
        </w:rPr>
        <w:t>：整体完成时效</w:t>
      </w:r>
      <w:r>
        <w:rPr>
          <w:rFonts w:hint="eastAsia" w:ascii="仿宋_GB2312" w:hAnsi="仿宋" w:eastAsia="仿宋_GB2312" w:cs="Times New Roman"/>
          <w:sz w:val="32"/>
          <w:szCs w:val="32"/>
          <w:lang w:val="en-US" w:eastAsia="zh-CN"/>
        </w:rPr>
        <w:t>&gt;=90%</w:t>
      </w:r>
    </w:p>
    <w:p>
      <w:pPr>
        <w:spacing w:line="520" w:lineRule="exact"/>
        <w:ind w:firstLine="636" w:firstLineChars="200"/>
        <w:rPr>
          <w:rFonts w:hint="eastAsia" w:ascii="仿宋_GB2312" w:hAnsi="仿宋" w:eastAsia="仿宋_GB2312" w:cs="Times New Roman"/>
          <w:sz w:val="32"/>
          <w:szCs w:val="32"/>
          <w:lang w:val="en-US" w:eastAsia="zh-CN"/>
        </w:rPr>
      </w:pPr>
      <w:r>
        <w:rPr>
          <w:rFonts w:ascii="仿宋_GB2312" w:hAnsi="仿宋" w:eastAsia="仿宋_GB2312" w:cs="Times New Roman"/>
          <w:sz w:val="32"/>
          <w:szCs w:val="32"/>
        </w:rPr>
        <w:t>4.</w:t>
      </w:r>
      <w:r>
        <w:rPr>
          <w:rFonts w:hint="eastAsia" w:ascii="仿宋_GB2312" w:hAnsi="仿宋" w:eastAsia="仿宋_GB2312" w:cs="Times New Roman"/>
          <w:sz w:val="32"/>
          <w:szCs w:val="32"/>
        </w:rPr>
        <w:t>产出成本</w:t>
      </w:r>
      <w:r>
        <w:rPr>
          <w:rFonts w:hint="eastAsia" w:ascii="仿宋_GB2312" w:hAnsi="仿宋" w:eastAsia="仿宋_GB2312" w:cs="Times New Roman"/>
          <w:sz w:val="32"/>
          <w:szCs w:val="32"/>
          <w:lang w:eastAsia="zh-CN"/>
        </w:rPr>
        <w:t>：预算控制数为</w:t>
      </w:r>
      <w:r>
        <w:rPr>
          <w:rFonts w:hint="eastAsia" w:ascii="仿宋_GB2312" w:hAnsi="仿宋" w:eastAsia="仿宋_GB2312" w:cs="Times New Roman"/>
          <w:sz w:val="32"/>
          <w:szCs w:val="32"/>
          <w:lang w:val="en-US" w:eastAsia="zh-CN"/>
        </w:rPr>
        <w:t>36,535.64万元</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（二）效果实现情况分析</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1.经济效益</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通过项目实施，提高农民经济收入。</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2.社会效益</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提高政府、村委会办公效率，更好的提供社会服务；保障居民收入，提高居民生活水平；通过工程的实施，继续完善基础设施建设水平，加强我镇生态保护力度，改善居民生活条件。</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3.环境效益</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通过投入，提高人居环境水平，镇村面貌焕然一新，新农村建设稳步提升，群众生活明显改善，社会秩序平安稳定。</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4.可持续影响</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可持续影响时间大于1年。</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5.服务对象满意度</w:t>
      </w:r>
    </w:p>
    <w:p>
      <w:pPr>
        <w:spacing w:beforeLines="0" w:afterLines="0" w:line="520" w:lineRule="exact"/>
        <w:ind w:firstLine="636" w:firstLineChars="200"/>
        <w:rPr>
          <w:rFonts w:hint="eastAsia" w:ascii="仿宋_GB2312" w:hAnsi="仿宋" w:eastAsia="仿宋_GB2312"/>
          <w:color w:val="000000"/>
          <w:sz w:val="32"/>
        </w:rPr>
      </w:pPr>
      <w:r>
        <w:rPr>
          <w:rFonts w:hint="eastAsia" w:ascii="仿宋_GB2312" w:hAnsi="仿宋" w:eastAsia="仿宋_GB2312"/>
          <w:color w:val="000000"/>
          <w:sz w:val="32"/>
        </w:rPr>
        <w:t>机关干部职工满意率达到90%以上，村居及镇域内服务群众满意度达85%以上。</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四、预算管理情况分析</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保障经济活动内部控制体系设计合理和实施有效，加强经济活动内部控制体系的监督检查和自我评价，建立内部控制体系的长效机制，提升风险管控水平，结合雁翅镇实际情况，制定了《雁翅镇经济活动内部控制体系监督评价办法》。根据《会计法》等相关规定，结合实际情况，制定了《雁翅镇会计基础工作管理办法》，规范会计行为，做好会计基础工作。根据内控管理相关规定，制定了《雁翅镇财政科内部稽核管理办法》，以加强财政科内部管理，保障资金安全高效运行并防范财务风险。为进一步加强雁翅镇财政财务管理工作，规范收入支出管理，保障资金安全，提高资金使用效益，制订了《雁翅镇收入支出管理办法》、《雁翅镇发票管理办法》、《雁翅镇现金管理办法》、《雁翅镇银行账户管理办法》、《雁翅镇支票管理办法》、《雁翅镇公务卡管理办法》。</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（二）资产管理</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加强固定资产管理，提高资产的使用效益，保障资产安全，根据固定资产管理相关规定，结合雁翅镇实际情况，制定了雁翅镇固定资产管理办法。固定资产的管理和使用遵循资产管理与预算管理相结合、资产管理与财务管理相结合、实物管理与价值管理相结合、集中与分级管理相结合的基本原则，做到统一政策、统一领导、责任到人、物尽其用。</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镇办公室为固定资产综合管理部门，办公室负债固定资产的采购和事物管理工作，财务负债固定资产账务管理工作，各科室负债本科室固定资产的日常管理工作。在固定资产日常管理中，各科室加强固定资产日常管理。</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（三）绩效管理</w:t>
      </w:r>
    </w:p>
    <w:p>
      <w:pPr>
        <w:spacing w:line="520" w:lineRule="exact"/>
        <w:ind w:firstLine="636" w:firstLineChars="200"/>
        <w:rPr>
          <w:rFonts w:hint="eastAsia"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预算绩效管理制度情况</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加强雁翅镇财政预决算管理，规范操作程序，确保财政资金科学合理安排和使用，有效促进镇域经济和社会事业的发展，根据《中华人民共和国预算法》和区财政预决算管理的相关规定，结合本镇实际，制订了《雁翅镇预决算管理办法》。预算管理的基本原则是坚持综合预算，各项收支均应纳入财政预算管理；保证重点，兼顾一般，确保各项任务的完成；统筹兼顾、勤俭节约、量力而行、讲求绩效和收支平衡；注重资金的规范管理和使用，严格审批程序。管理制度的内容包括：</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（1）预算编制工作</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 预算编制的内容包括收入预算、支出预算和政府采购预算。预算编制程序是实行科室申报，财政科审核汇总，镇党委会议研究决定，财政科具体编制，财政局预算批复，镇人代会审查批准等六个工作步骤进行。</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（2）预算执行工作</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财政支出预算执行，实行分类管理制度。一是3万元（不含）以下的工程类项目建设资金支出，1万元以下（不含）以下的非工程类项目资金支出需经政府专题会议研究通过。二是年度预算安排的单笔3-50万元（不含）镇政府实施的工程类项目资金支出；年度预算安排的除镇政府实施的工程类项目外单笔1-30万元（不含）的其他资金支出，年度预算安排以外的3万元（不含）以下的资金支出需经政府办公会研究通过。三是年度预算安排的单笔50万元（含）以上镇政府实施的工程类项目资金支出，年度预算安排的除镇政府实施的工程类项目外单笔30万元（含）以上的其他资金支出，年度预算安排以外的3万元（含）以上的资金支出需经镇党委会议研究通过。各科室按照本办法相关规定和雁翅镇议事决策管理办法的要求，在年度预算范围内履行预算执行申请审批程序和资金支付审批程序后执行。</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预算执行申请审批程序：由用款科室先行按照《雁翅镇关于规范党政领导班子议事规则的实施细则（试行）》要求，提交相应会议决策后填写《雁翅镇预算执行申请审批表》，并由经办人签字、经科室负责人审核、科室主管领导审批后，交财政科，财政科收到《雁翅镇预算执行申请审批表》后，预算会计根据年度下达的预算和执行情况，核实预算资金来源后，提出资金安排意见，经财政科长、财政主管领导审核后，交镇主要领导审批。</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资金支付审批程序：由用款科室填写《雁翅镇资金支付审批表》，并由经办人签字、科室负责人审核、主管领导审批后交财政科，财政科会计提出支付意见后，经财政科长审核，财政主管领导审批后办理资金支付。</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我镇预算公开工作，按照区财政统一部署，进行向社会公开工作。雁翅镇建立预决算信息内部公开制度，内部信息公开内容包括年度预算内部信息公开、年度决算内部信息公开和年度预算执行情况按季内部信息公开三部分。符合财政部门的管理要求。</w:t>
      </w:r>
    </w:p>
    <w:p>
      <w:pPr>
        <w:numPr>
          <w:ilvl w:val="0"/>
          <w:numId w:val="0"/>
        </w:numPr>
        <w:spacing w:line="520" w:lineRule="exact"/>
        <w:ind w:left="634" w:leftChars="0"/>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2.</w:t>
      </w:r>
      <w:r>
        <w:rPr>
          <w:rFonts w:hint="eastAsia" w:ascii="仿宋_GB2312" w:hAnsi="仿宋" w:eastAsia="仿宋_GB2312" w:cs="Times New Roman"/>
          <w:sz w:val="32"/>
          <w:szCs w:val="32"/>
        </w:rPr>
        <w:t>绩效目标管理情况</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建立并设置绩效管理组织机构，通过在预算上报过程中，对</w:t>
      </w:r>
      <w:bookmarkStart w:id="4" w:name="_GoBack"/>
      <w:r>
        <w:rPr>
          <w:rFonts w:hint="eastAsia" w:ascii="仿宋_GB2312" w:hAnsi="仿宋" w:eastAsia="仿宋_GB2312" w:cs="Times New Roman"/>
          <w:sz w:val="32"/>
          <w:szCs w:val="32"/>
        </w:rPr>
        <w:t>所报预算项目绩效目标的填报情况进行梳理；以及对预算项目绩效目标完成审核，确定项目所设立的绩效目标有依据、有数据、落实处；再通过一年来对预算项目的绩效目标具体实施和管理情况的追踪，对绩效信息进行情况收集及结果管理，通过收集到的信息和实施管理的结果，对绩效管理组织机构和预算科室进行反馈，强化绩效管理，提升绩效目标。</w:t>
      </w:r>
    </w:p>
    <w:p>
      <w:pPr>
        <w:spacing w:line="520" w:lineRule="exact"/>
        <w:ind w:firstLine="636" w:firstLineChars="200"/>
        <w:rPr>
          <w:rFonts w:ascii="仿宋_GB2312" w:hAnsi="微软雅黑" w:eastAsia="仿宋_GB2312" w:cs="微软雅黑"/>
          <w:color w:val="404040"/>
          <w:sz w:val="32"/>
          <w:szCs w:val="32"/>
          <w:shd w:val="clear" w:color="auto" w:fill="FFFFFF"/>
        </w:rPr>
      </w:pPr>
      <w:r>
        <w:rPr>
          <w:rFonts w:ascii="仿宋_GB2312" w:hAnsi="微软雅黑" w:eastAsia="仿宋_GB2312" w:cs="微软雅黑"/>
          <w:color w:val="404040"/>
          <w:sz w:val="32"/>
          <w:szCs w:val="32"/>
          <w:shd w:val="clear" w:color="auto" w:fill="FFFFFF"/>
        </w:rPr>
        <w:t>202</w:t>
      </w:r>
      <w:r>
        <w:rPr>
          <w:rFonts w:hint="eastAsia" w:ascii="仿宋_GB2312" w:hAnsi="微软雅黑" w:eastAsia="仿宋_GB2312" w:cs="微软雅黑"/>
          <w:color w:val="404040"/>
          <w:sz w:val="32"/>
          <w:szCs w:val="32"/>
          <w:shd w:val="clear" w:color="auto" w:fill="FFFFFF"/>
          <w:lang w:val="en-US" w:eastAsia="zh-CN"/>
        </w:rPr>
        <w:t>4</w:t>
      </w:r>
      <w:r>
        <w:rPr>
          <w:rFonts w:hint="eastAsia" w:ascii="仿宋_GB2312" w:hAnsi="微软雅黑" w:eastAsia="仿宋_GB2312" w:cs="微软雅黑"/>
          <w:color w:val="404040"/>
          <w:sz w:val="32"/>
          <w:szCs w:val="32"/>
          <w:shd w:val="clear" w:color="auto" w:fill="FFFFFF"/>
        </w:rPr>
        <w:t>年部门预算项目</w:t>
      </w:r>
      <w:r>
        <w:rPr>
          <w:rFonts w:hint="eastAsia" w:ascii="仿宋_GB2312" w:hAnsi="微软雅黑" w:eastAsia="仿宋_GB2312" w:cs="微软雅黑"/>
          <w:color w:val="404040"/>
          <w:sz w:val="32"/>
          <w:szCs w:val="32"/>
          <w:shd w:val="clear" w:color="auto" w:fill="FFFFFF"/>
          <w:lang w:val="en-US" w:eastAsia="zh-CN"/>
        </w:rPr>
        <w:t>58</w:t>
      </w:r>
      <w:r>
        <w:rPr>
          <w:rFonts w:hint="eastAsia" w:ascii="仿宋_GB2312" w:hAnsi="微软雅黑" w:eastAsia="仿宋_GB2312" w:cs="微软雅黑"/>
          <w:color w:val="404040"/>
          <w:sz w:val="32"/>
          <w:szCs w:val="32"/>
          <w:shd w:val="clear" w:color="auto" w:fill="FFFFFF"/>
        </w:rPr>
        <w:t>个，部门预算公开绩效目标的预算项目</w:t>
      </w:r>
      <w:r>
        <w:rPr>
          <w:rFonts w:hint="eastAsia" w:ascii="仿宋_GB2312" w:hAnsi="微软雅黑" w:eastAsia="仿宋_GB2312" w:cs="微软雅黑"/>
          <w:color w:val="404040"/>
          <w:sz w:val="32"/>
          <w:szCs w:val="32"/>
          <w:shd w:val="clear" w:color="auto" w:fill="FFFFFF"/>
          <w:lang w:val="en-US" w:eastAsia="zh-CN"/>
        </w:rPr>
        <w:t>58</w:t>
      </w:r>
      <w:r>
        <w:rPr>
          <w:rFonts w:hint="eastAsia" w:ascii="仿宋_GB2312" w:hAnsi="微软雅黑" w:eastAsia="仿宋_GB2312" w:cs="微软雅黑"/>
          <w:color w:val="404040"/>
          <w:sz w:val="32"/>
          <w:szCs w:val="32"/>
          <w:shd w:val="clear" w:color="auto" w:fill="FFFFFF"/>
        </w:rPr>
        <w:t>个，占本部门全部预算项目的</w:t>
      </w:r>
      <w:r>
        <w:rPr>
          <w:rFonts w:hint="eastAsia" w:ascii="仿宋_GB2312" w:hAnsi="微软雅黑" w:eastAsia="仿宋_GB2312" w:cs="微软雅黑"/>
          <w:color w:val="404040"/>
          <w:sz w:val="32"/>
          <w:szCs w:val="32"/>
          <w:shd w:val="clear" w:color="auto" w:fill="FFFFFF"/>
          <w:lang w:val="en-US" w:eastAsia="zh-CN"/>
        </w:rPr>
        <w:t>100</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w:t>
      </w:r>
    </w:p>
    <w:bookmarkEnd w:id="4"/>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绩效运行监控情况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年对</w:t>
      </w:r>
      <w:r>
        <w:rPr>
          <w:rFonts w:hint="eastAsia" w:ascii="仿宋_GB2312" w:hAnsi="Times New Roman" w:eastAsia="仿宋_GB2312" w:cs="Times New Roman"/>
          <w:sz w:val="32"/>
          <w:szCs w:val="32"/>
        </w:rPr>
        <w:t>本部门及所属单位</w:t>
      </w:r>
      <w:r>
        <w:rPr>
          <w:rFonts w:hint="eastAsia" w:ascii="仿宋_GB2312" w:hAnsi="仿宋" w:eastAsia="仿宋_GB2312" w:cs="Times New Roman"/>
          <w:sz w:val="32"/>
          <w:szCs w:val="32"/>
          <w:lang w:val="en-US" w:eastAsia="zh-CN"/>
        </w:rPr>
        <w:t>58</w:t>
      </w:r>
      <w:r>
        <w:rPr>
          <w:rFonts w:hint="eastAsia" w:ascii="仿宋_GB2312" w:hAnsi="仿宋" w:eastAsia="仿宋_GB2312" w:cs="Times New Roman"/>
          <w:sz w:val="32"/>
          <w:szCs w:val="32"/>
        </w:rPr>
        <w:t>个预算项目进行绩效运行监控，占部门项目总数的</w:t>
      </w:r>
      <w:r>
        <w:rPr>
          <w:rFonts w:hint="eastAsia" w:ascii="仿宋_GB2312" w:hAnsi="微软雅黑" w:eastAsia="仿宋_GB2312" w:cs="微软雅黑"/>
          <w:color w:val="404040"/>
          <w:sz w:val="32"/>
          <w:szCs w:val="32"/>
          <w:shd w:val="clear" w:color="auto" w:fill="FFFFFF"/>
          <w:lang w:val="en-US" w:eastAsia="zh-CN"/>
        </w:rPr>
        <w:t>100</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，涉及资金</w:t>
      </w:r>
      <w:r>
        <w:rPr>
          <w:rFonts w:hint="eastAsia" w:ascii="仿宋_GB2312" w:hAnsi="微软雅黑" w:eastAsia="仿宋_GB2312" w:cs="微软雅黑"/>
          <w:color w:val="404040"/>
          <w:sz w:val="32"/>
          <w:szCs w:val="32"/>
          <w:shd w:val="clear" w:color="auto" w:fill="FFFFFF"/>
          <w:lang w:val="en-US" w:eastAsia="zh-CN"/>
        </w:rPr>
        <w:t>11,841.07</w:t>
      </w:r>
      <w:r>
        <w:rPr>
          <w:rFonts w:hint="eastAsia" w:ascii="仿宋_GB2312" w:hAnsi="微软雅黑" w:eastAsia="仿宋_GB2312" w:cs="微软雅黑"/>
          <w:color w:val="404040"/>
          <w:sz w:val="32"/>
          <w:szCs w:val="32"/>
          <w:shd w:val="clear" w:color="auto" w:fill="FFFFFF"/>
        </w:rPr>
        <w:t>万元。</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绩效自评情况</w:t>
      </w:r>
    </w:p>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w:t>
      </w:r>
      <w:r>
        <w:rPr>
          <w:rFonts w:hint="eastAsia" w:ascii="仿宋_GB2312" w:hAnsi="Times New Roman" w:eastAsia="仿宋_GB2312" w:cs="Times New Roman"/>
          <w:sz w:val="32"/>
          <w:szCs w:val="32"/>
        </w:rPr>
        <w:t>对本部门及所属单位</w:t>
      </w:r>
      <w:r>
        <w:rPr>
          <w:rFonts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年项目支出实施了绩效自评，评价项目</w:t>
      </w:r>
      <w:r>
        <w:rPr>
          <w:rFonts w:hint="eastAsia" w:ascii="仿宋_GB2312" w:hAnsi="Times New Roman" w:eastAsia="仿宋_GB2312" w:cs="Times New Roman"/>
          <w:sz w:val="32"/>
          <w:szCs w:val="32"/>
          <w:lang w:val="en-US" w:eastAsia="zh-CN"/>
        </w:rPr>
        <w:t>162</w:t>
      </w:r>
      <w:r>
        <w:rPr>
          <w:rFonts w:hint="eastAsia" w:ascii="仿宋_GB2312" w:hAnsi="Times New Roman" w:eastAsia="仿宋_GB2312" w:cs="Times New Roman"/>
          <w:sz w:val="32"/>
          <w:szCs w:val="32"/>
        </w:rPr>
        <w:t>个，涉及金额</w:t>
      </w:r>
      <w:r>
        <w:rPr>
          <w:rFonts w:hint="eastAsia" w:ascii="仿宋_GB2312" w:hAnsi="Times New Roman" w:eastAsia="仿宋_GB2312" w:cs="Times New Roman"/>
          <w:sz w:val="32"/>
          <w:szCs w:val="32"/>
          <w:lang w:val="en-US" w:eastAsia="zh-CN"/>
        </w:rPr>
        <w:t>32,964.89</w:t>
      </w:r>
      <w:r>
        <w:rPr>
          <w:rFonts w:hint="eastAsia" w:ascii="仿宋_GB2312" w:hAnsi="Times New Roman" w:eastAsia="仿宋_GB2312" w:cs="Times New Roman"/>
          <w:sz w:val="32"/>
          <w:szCs w:val="32"/>
        </w:rPr>
        <w:t>万元。</w:t>
      </w:r>
    </w:p>
    <w:p>
      <w:pPr>
        <w:widowControl/>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五、总体评价结论</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（一）评价得分情况</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请结合《部门整体支出绩效自评表》中的得分情况填写以下内容。</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绩效自评总分：</w:t>
      </w:r>
      <w:r>
        <w:rPr>
          <w:rFonts w:hint="eastAsia" w:ascii="仿宋_GB2312" w:hAnsi="仿宋" w:eastAsia="仿宋_GB2312" w:cs="Times New Roman"/>
          <w:sz w:val="32"/>
          <w:szCs w:val="32"/>
          <w:lang w:val="en-US" w:eastAsia="zh-CN"/>
        </w:rPr>
        <w:t>95</w:t>
      </w:r>
      <w:r>
        <w:rPr>
          <w:rFonts w:hint="eastAsia" w:ascii="仿宋_GB2312" w:hAnsi="仿宋" w:eastAsia="仿宋_GB2312" w:cs="Times New Roman"/>
          <w:sz w:val="32"/>
          <w:szCs w:val="32"/>
        </w:rPr>
        <w:t>分</w:t>
      </w:r>
    </w:p>
    <w:p>
      <w:pPr>
        <w:widowControl/>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rPr>
        <w:t>绩效自评等级：</w:t>
      </w:r>
      <w:r>
        <w:rPr>
          <w:rFonts w:hint="eastAsia" w:ascii="仿宋_GB2312" w:hAnsi="仿宋" w:eastAsia="仿宋_GB2312" w:cs="Times New Roman"/>
          <w:sz w:val="32"/>
          <w:szCs w:val="32"/>
          <w:lang w:eastAsia="zh-CN"/>
        </w:rPr>
        <w:t>优秀</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四类评价等级：优秀（</w:t>
      </w:r>
      <w:r>
        <w:rPr>
          <w:rFonts w:ascii="仿宋_GB2312" w:hAnsi="仿宋" w:eastAsia="仿宋_GB2312" w:cs="Times New Roman"/>
          <w:sz w:val="32"/>
          <w:szCs w:val="32"/>
        </w:rPr>
        <w:t>90</w:t>
      </w:r>
      <w:r>
        <w:rPr>
          <w:rFonts w:hint="eastAsia" w:ascii="仿宋_GB2312" w:hAnsi="仿宋" w:eastAsia="仿宋_GB2312" w:cs="Times New Roman"/>
          <w:sz w:val="32"/>
          <w:szCs w:val="32"/>
        </w:rPr>
        <w:t>（含）</w:t>
      </w:r>
      <w:r>
        <w:rPr>
          <w:rFonts w:ascii="仿宋_GB2312" w:hAnsi="仿宋" w:eastAsia="仿宋_GB2312" w:cs="Times New Roman"/>
          <w:sz w:val="32"/>
          <w:szCs w:val="32"/>
        </w:rPr>
        <w:t>-100</w:t>
      </w:r>
      <w:r>
        <w:rPr>
          <w:rFonts w:hint="eastAsia" w:ascii="仿宋_GB2312" w:hAnsi="仿宋" w:eastAsia="仿宋_GB2312" w:cs="Times New Roman"/>
          <w:sz w:val="32"/>
          <w:szCs w:val="32"/>
        </w:rPr>
        <w:t>分）、良好</w:t>
      </w:r>
      <w:r>
        <w:rPr>
          <w:rFonts w:ascii="仿宋_GB2312" w:hAnsi="仿宋" w:eastAsia="仿宋_GB2312" w:cs="Times New Roman"/>
          <w:sz w:val="32"/>
          <w:szCs w:val="32"/>
        </w:rPr>
        <w:t>80</w:t>
      </w:r>
      <w:r>
        <w:rPr>
          <w:rFonts w:hint="eastAsia" w:ascii="仿宋_GB2312" w:hAnsi="仿宋" w:eastAsia="仿宋_GB2312" w:cs="Times New Roman"/>
          <w:sz w:val="32"/>
          <w:szCs w:val="32"/>
        </w:rPr>
        <w:t>（含）</w:t>
      </w:r>
      <w:r>
        <w:rPr>
          <w:rFonts w:ascii="仿宋_GB2312" w:hAnsi="仿宋" w:eastAsia="仿宋_GB2312" w:cs="Times New Roman"/>
          <w:sz w:val="32"/>
          <w:szCs w:val="32"/>
        </w:rPr>
        <w:t>-90</w:t>
      </w:r>
      <w:r>
        <w:rPr>
          <w:rFonts w:hint="eastAsia" w:ascii="仿宋_GB2312" w:hAnsi="仿宋" w:eastAsia="仿宋_GB2312" w:cs="Times New Roman"/>
          <w:sz w:val="32"/>
          <w:szCs w:val="32"/>
        </w:rPr>
        <w:t>分、一般</w:t>
      </w:r>
      <w:r>
        <w:rPr>
          <w:rFonts w:ascii="仿宋_GB2312" w:hAnsi="仿宋" w:eastAsia="仿宋_GB2312" w:cs="Times New Roman"/>
          <w:sz w:val="32"/>
          <w:szCs w:val="32"/>
        </w:rPr>
        <w:t>60</w:t>
      </w:r>
      <w:r>
        <w:rPr>
          <w:rFonts w:hint="eastAsia" w:ascii="仿宋_GB2312" w:hAnsi="仿宋" w:eastAsia="仿宋_GB2312" w:cs="Times New Roman"/>
          <w:sz w:val="32"/>
          <w:szCs w:val="32"/>
        </w:rPr>
        <w:t>（含）</w:t>
      </w:r>
      <w:r>
        <w:rPr>
          <w:rFonts w:ascii="仿宋_GB2312" w:hAnsi="仿宋" w:eastAsia="仿宋_GB2312" w:cs="Times New Roman"/>
          <w:sz w:val="32"/>
          <w:szCs w:val="32"/>
        </w:rPr>
        <w:t>-80</w:t>
      </w:r>
      <w:r>
        <w:rPr>
          <w:rFonts w:hint="eastAsia" w:ascii="仿宋_GB2312" w:hAnsi="仿宋" w:eastAsia="仿宋_GB2312" w:cs="Times New Roman"/>
          <w:sz w:val="32"/>
          <w:szCs w:val="32"/>
        </w:rPr>
        <w:t>分、较差</w:t>
      </w:r>
      <w:r>
        <w:rPr>
          <w:rFonts w:ascii="仿宋_GB2312" w:hAnsi="仿宋" w:eastAsia="仿宋_GB2312" w:cs="Times New Roman"/>
          <w:sz w:val="32"/>
          <w:szCs w:val="32"/>
        </w:rPr>
        <w:t>60</w:t>
      </w:r>
      <w:r>
        <w:rPr>
          <w:rFonts w:hint="eastAsia" w:ascii="仿宋_GB2312" w:hAnsi="仿宋" w:eastAsia="仿宋_GB2312" w:cs="Times New Roman"/>
          <w:sz w:val="32"/>
          <w:szCs w:val="32"/>
        </w:rPr>
        <w:t>分以下</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（二）存在的问题及原因分析</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1.资金支出进度相对缓慢,预算执行效率较低。</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2.对资金支出的合理性审核不严谨；时有超支现象发生。</w:t>
      </w:r>
    </w:p>
    <w:p>
      <w:pPr>
        <w:spacing w:line="520" w:lineRule="exact"/>
        <w:ind w:firstLine="636" w:firstLineChars="200"/>
        <w:rPr>
          <w:rFonts w:hint="eastAsia" w:ascii="楷体_GB2312" w:hAnsi="仿宋" w:eastAsia="楷体_GB2312" w:cs="Times New Roman"/>
          <w:b/>
          <w:sz w:val="32"/>
          <w:szCs w:val="32"/>
        </w:rPr>
      </w:pPr>
      <w:r>
        <w:rPr>
          <w:rFonts w:hint="eastAsia" w:ascii="楷体_GB2312" w:hAnsi="仿宋" w:eastAsia="楷体_GB2312" w:cs="Times New Roman"/>
          <w:b/>
          <w:sz w:val="32"/>
          <w:szCs w:val="32"/>
        </w:rPr>
        <w:t>（三）改进措施（请对照问题，分别填写相应改进措施）</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1.加快支出进度，提高预算执行效率</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加强与各业务科室的沟通，提高预算支出各环节执行效率。对支出实施分类管理，确保支出各环节畅通运行。基本支出按照月度用款计划，均衡拨款；村级人员经费类项目支出按季度及时进行拨付，工程类项目按照实施进度和合同约定及时办理拨款手续。</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2.加强财政财务管理，保障科室工作平稳运行。</w:t>
      </w:r>
    </w:p>
    <w:p>
      <w:pPr>
        <w:spacing w:beforeLines="0" w:afterLines="0" w:line="520" w:lineRule="exact"/>
        <w:ind w:firstLine="636" w:firstLineChars="200"/>
        <w:rPr>
          <w:rFonts w:hint="eastAsia" w:ascii="仿宋_GB2312" w:hAnsi="仿宋" w:eastAsia="仿宋_GB2312"/>
          <w:sz w:val="32"/>
        </w:rPr>
      </w:pPr>
      <w:r>
        <w:rPr>
          <w:rFonts w:hint="eastAsia" w:ascii="仿宋_GB2312" w:hAnsi="仿宋" w:eastAsia="仿宋_GB2312"/>
          <w:sz w:val="32"/>
        </w:rPr>
        <w:t>一是加强财务管理，严格财务审核。加强单位财务管理，健全单位财务管理制度体系，规范单位财务行为。在费用报账支付时，按照预算规定的费用项目和用途进行资金使用审核、财务严格核算，杜绝超支现象的发生。二是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spacing w:line="520" w:lineRule="exact"/>
        <w:ind w:firstLine="636" w:firstLineChars="200"/>
        <w:rPr>
          <w:rFonts w:ascii="仿宋_GB2312" w:hAnsi="仿宋" w:eastAsia="仿宋_GB2312" w:cs="Times New Roman"/>
          <w:sz w:val="32"/>
          <w:szCs w:val="32"/>
        </w:rPr>
      </w:pPr>
    </w:p>
    <w:bookmarkEnd w:id="2"/>
    <w:p>
      <w:pPr>
        <w:spacing w:line="520" w:lineRule="exact"/>
        <w:ind w:firstLine="636" w:firstLineChars="200"/>
        <w:jc w:val="left"/>
        <w:rPr>
          <w:rFonts w:ascii="仿宋_GB2312" w:hAnsi="Times New Roman" w:eastAsia="仿宋_GB2312" w:cs="Times New Roman"/>
          <w:sz w:val="32"/>
          <w:szCs w:val="32"/>
        </w:rPr>
      </w:pPr>
    </w:p>
    <w:p/>
    <w:sectPr>
      <w:footerReference r:id="rId3" w:type="default"/>
      <w:pgSz w:w="11907" w:h="16840"/>
      <w:pgMar w:top="1797" w:right="1440" w:bottom="1276" w:left="1440" w:header="851" w:footer="992" w:gutter="0"/>
      <w:pgNumType w:start="1"/>
      <w:cols w:space="425" w:num="1"/>
      <w:docGrid w:type="linesAndChars" w:linePitch="606"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360"/>
      <w:rPr>
        <w:rStyle w:val="5"/>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440483"/>
    <w:multiLevelType w:val="multilevel"/>
    <w:tmpl w:val="62440483"/>
    <w:lvl w:ilvl="0" w:tentative="0">
      <w:start w:val="2"/>
      <w:numFmt w:val="decimal"/>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502A"/>
    <w:rsid w:val="0010736B"/>
    <w:rsid w:val="00136430"/>
    <w:rsid w:val="0015133D"/>
    <w:rsid w:val="001F1B65"/>
    <w:rsid w:val="0020720A"/>
    <w:rsid w:val="00271F9E"/>
    <w:rsid w:val="00335359"/>
    <w:rsid w:val="00385D4E"/>
    <w:rsid w:val="00632E15"/>
    <w:rsid w:val="00765990"/>
    <w:rsid w:val="007C5969"/>
    <w:rsid w:val="007D514A"/>
    <w:rsid w:val="00846439"/>
    <w:rsid w:val="00861964"/>
    <w:rsid w:val="008B4180"/>
    <w:rsid w:val="008C4DEF"/>
    <w:rsid w:val="0099769B"/>
    <w:rsid w:val="00A50C4B"/>
    <w:rsid w:val="00A5549B"/>
    <w:rsid w:val="00AC3863"/>
    <w:rsid w:val="00B12733"/>
    <w:rsid w:val="00B60F78"/>
    <w:rsid w:val="00CF6DF6"/>
    <w:rsid w:val="00D92EAA"/>
    <w:rsid w:val="00D937A9"/>
    <w:rsid w:val="00DA3A1A"/>
    <w:rsid w:val="00E26073"/>
    <w:rsid w:val="00E430E2"/>
    <w:rsid w:val="00E56FD1"/>
    <w:rsid w:val="00ED7BD7"/>
    <w:rsid w:val="00F578CA"/>
    <w:rsid w:val="00F806E1"/>
    <w:rsid w:val="01BD061F"/>
    <w:rsid w:val="03962F18"/>
    <w:rsid w:val="03E22E64"/>
    <w:rsid w:val="16AC5F56"/>
    <w:rsid w:val="1F124D7A"/>
    <w:rsid w:val="35C0527D"/>
    <w:rsid w:val="4FDD635A"/>
    <w:rsid w:val="565E49EE"/>
    <w:rsid w:val="5CCB5260"/>
    <w:rsid w:val="5FC870EC"/>
    <w:rsid w:val="63C55E22"/>
    <w:rsid w:val="79477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page number"/>
    <w:semiHidden/>
    <w:qFormat/>
    <w:uiPriority w:val="99"/>
    <w:rPr>
      <w:rFonts w:cs="Times New Roman"/>
    </w:rPr>
  </w:style>
  <w:style w:type="character" w:customStyle="1" w:styleId="7">
    <w:name w:val="页眉 Char"/>
    <w:basedOn w:val="4"/>
    <w:link w:val="3"/>
    <w:qFormat/>
    <w:uiPriority w:val="99"/>
    <w:rPr>
      <w:sz w:val="18"/>
      <w:szCs w:val="18"/>
    </w:rPr>
  </w:style>
  <w:style w:type="character" w:customStyle="1" w:styleId="8">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184</Words>
  <Characters>1054</Characters>
  <Lines>8</Lines>
  <Paragraphs>2</Paragraphs>
  <TotalTime>222</TotalTime>
  <ScaleCrop>false</ScaleCrop>
  <LinksUpToDate>false</LinksUpToDate>
  <CharactersWithSpaces>1236</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2025-03-05T08:16:00Z</dcterms:created>
  <dc:creator>李菁</dc:creator>
  <cp:lastModifiedBy>hp</cp:lastModifiedBy>
  <dcterms:modified xsi:type="dcterms:W3CDTF">2025-06-13T03:01:04Z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