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312" w:lineRule="auto"/>
        <w:outlineLvl w:val="1"/>
        <w:rPr>
          <w:rFonts w:ascii="Cambria" w:hAnsi="Cambria" w:eastAsia="宋体" w:cs="Times New Roman"/>
          <w:b/>
          <w:bCs/>
          <w:szCs w:val="21"/>
        </w:rPr>
      </w:pPr>
      <w:bookmarkStart w:id="0" w:name="_Toc396293518"/>
      <w:r>
        <w:rPr>
          <w:rFonts w:hint="eastAsia" w:ascii="Cambria" w:hAnsi="Cambria" w:eastAsia="宋体" w:cs="Times New Roman"/>
          <w:b/>
          <w:bCs/>
          <w:szCs w:val="21"/>
        </w:rPr>
        <w:t>附件</w:t>
      </w:r>
      <w:r>
        <w:rPr>
          <w:rFonts w:ascii="Cambria" w:hAnsi="Cambria" w:eastAsia="宋体" w:cs="Times New Roman"/>
          <w:b/>
          <w:bCs/>
          <w:szCs w:val="21"/>
        </w:rPr>
        <w:t>3</w:t>
      </w:r>
    </w:p>
    <w:p>
      <w:pPr>
        <w:keepNext/>
        <w:keepLines/>
        <w:spacing w:line="312" w:lineRule="auto"/>
        <w:jc w:val="center"/>
        <w:outlineLvl w:val="1"/>
        <w:rPr>
          <w:rFonts w:ascii="Cambria" w:hAnsi="Cambria" w:eastAsia="宋体" w:cs="Times New Roman"/>
          <w:b/>
          <w:bCs/>
          <w:sz w:val="52"/>
          <w:szCs w:val="52"/>
        </w:rPr>
      </w:pPr>
    </w:p>
    <w:bookmarkEnd w:id="0"/>
    <w:p>
      <w:pPr>
        <w:jc w:val="center"/>
        <w:rPr>
          <w:rFonts w:ascii="宋体" w:hAnsi="Times New Roman" w:eastAsia="宋体" w:cs="Times New Roman"/>
          <w:b/>
          <w:color w:val="000000"/>
          <w:sz w:val="48"/>
          <w:szCs w:val="48"/>
        </w:rPr>
      </w:pPr>
      <w:r>
        <w:rPr>
          <w:rFonts w:hint="eastAsia" w:ascii="宋体" w:hAnsi="宋体" w:eastAsia="宋体" w:cs="宋体"/>
          <w:b/>
          <w:color w:val="000000"/>
          <w:sz w:val="48"/>
          <w:szCs w:val="48"/>
        </w:rPr>
        <w:t>部门整体支出绩效自评报告</w:t>
      </w:r>
    </w:p>
    <w:p>
      <w:pPr>
        <w:jc w:val="center"/>
        <w:rPr>
          <w:rFonts w:ascii="宋体" w:hAnsi="宋体" w:eastAsia="宋体" w:cs="Times New Roman"/>
          <w:b/>
          <w:color w:val="000000"/>
          <w:sz w:val="48"/>
          <w:szCs w:val="48"/>
        </w:rPr>
      </w:pPr>
      <w:r>
        <w:rPr>
          <w:rFonts w:ascii="宋体" w:hAnsi="宋体" w:eastAsia="宋体" w:cs="Times New Roman"/>
          <w:b/>
          <w:color w:val="000000"/>
          <w:sz w:val="48"/>
          <w:szCs w:val="48"/>
        </w:rPr>
        <w:t>(202</w:t>
      </w:r>
      <w:r>
        <w:rPr>
          <w:rFonts w:hint="eastAsia" w:ascii="宋体" w:hAnsi="宋体" w:eastAsia="宋体" w:cs="Times New Roman"/>
          <w:b/>
          <w:color w:val="000000"/>
          <w:sz w:val="48"/>
          <w:szCs w:val="48"/>
        </w:rPr>
        <w:t>3</w:t>
      </w:r>
      <w:r>
        <w:rPr>
          <w:rFonts w:hint="eastAsia" w:ascii="宋体" w:hAnsi="宋体" w:eastAsia="宋体" w:cs="宋体"/>
          <w:b/>
          <w:color w:val="000000"/>
          <w:sz w:val="48"/>
          <w:szCs w:val="48"/>
        </w:rPr>
        <w:t>年度</w:t>
      </w:r>
      <w:r>
        <w:rPr>
          <w:rFonts w:ascii="宋体" w:hAnsi="宋体" w:eastAsia="宋体" w:cs="Times New Roman"/>
          <w:b/>
          <w:color w:val="000000"/>
          <w:sz w:val="48"/>
          <w:szCs w:val="48"/>
        </w:rPr>
        <w:t>)</w:t>
      </w:r>
    </w:p>
    <w:p>
      <w:pPr>
        <w:adjustRightInd w:val="0"/>
        <w:snapToGrid w:val="0"/>
        <w:spacing w:before="100" w:beforeAutospacing="1" w:after="100" w:afterAutospacing="1" w:line="312" w:lineRule="auto"/>
        <w:ind w:firstLine="636" w:firstLineChars="200"/>
        <w:rPr>
          <w:rFonts w:ascii="仿宋_GB2312" w:hAnsi="宋体" w:eastAsia="仿宋_GB2312" w:cs="Times New Roman"/>
          <w:color w:val="000000"/>
          <w:sz w:val="32"/>
          <w:szCs w:val="32"/>
        </w:rPr>
      </w:pPr>
    </w:p>
    <w:p>
      <w:pPr>
        <w:adjustRightInd w:val="0"/>
        <w:snapToGrid w:val="0"/>
        <w:spacing w:before="100" w:beforeAutospacing="1" w:after="100" w:afterAutospacing="1" w:line="312" w:lineRule="auto"/>
        <w:ind w:firstLine="636" w:firstLineChars="200"/>
        <w:rPr>
          <w:rFonts w:ascii="仿宋_GB2312" w:hAnsi="宋体" w:eastAsia="仿宋_GB2312" w:cs="Times New Roman"/>
          <w:color w:val="000000"/>
          <w:sz w:val="32"/>
          <w:szCs w:val="32"/>
        </w:rPr>
      </w:pPr>
    </w:p>
    <w:p>
      <w:pPr>
        <w:adjustRightInd w:val="0"/>
        <w:snapToGrid w:val="0"/>
        <w:spacing w:before="100" w:beforeAutospacing="1" w:after="100" w:afterAutospacing="1" w:line="312" w:lineRule="auto"/>
        <w:ind w:firstLine="636" w:firstLineChars="200"/>
        <w:rPr>
          <w:rFonts w:ascii="仿宋_GB2312" w:hAnsi="宋体" w:eastAsia="仿宋_GB2312" w:cs="Times New Roman"/>
          <w:color w:val="000000"/>
          <w:sz w:val="32"/>
          <w:szCs w:val="32"/>
        </w:rPr>
      </w:pPr>
    </w:p>
    <w:p>
      <w:pPr>
        <w:adjustRightInd w:val="0"/>
        <w:snapToGrid w:val="0"/>
        <w:spacing w:before="100" w:beforeAutospacing="1" w:after="100" w:afterAutospacing="1" w:line="312" w:lineRule="auto"/>
        <w:rPr>
          <w:rFonts w:ascii="宋体" w:hAnsi="Times New Roman" w:eastAsia="宋体" w:cs="Times New Roman"/>
          <w:color w:val="000000"/>
          <w:sz w:val="32"/>
          <w:szCs w:val="32"/>
        </w:rPr>
      </w:pPr>
    </w:p>
    <w:p>
      <w:pPr>
        <w:spacing w:line="360" w:lineRule="auto"/>
        <w:ind w:firstLine="1059" w:firstLineChars="333"/>
        <w:jc w:val="left"/>
        <w:rPr>
          <w:rFonts w:hint="eastAsia" w:ascii="宋体" w:hAnsi="宋体" w:eastAsia="宋体" w:cs="Times New Roman"/>
          <w:b/>
          <w:color w:val="000000"/>
          <w:spacing w:val="-14"/>
          <w:sz w:val="32"/>
          <w:szCs w:val="32"/>
          <w:u w:val="single"/>
        </w:rPr>
      </w:pPr>
      <w:r>
        <w:rPr>
          <w:rFonts w:hint="eastAsia" w:ascii="宋体" w:hAnsi="宋体" w:eastAsia="宋体" w:cs="宋体"/>
          <w:b/>
          <w:color w:val="000000"/>
          <w:sz w:val="32"/>
          <w:szCs w:val="32"/>
        </w:rPr>
        <w:t>部门名称：</w:t>
      </w:r>
      <w:r>
        <w:rPr>
          <w:rFonts w:ascii="宋体" w:hAnsi="宋体" w:eastAsia="宋体" w:cs="Times New Roman"/>
          <w:b/>
          <w:color w:val="000000"/>
          <w:spacing w:val="-14"/>
          <w:sz w:val="32"/>
          <w:szCs w:val="32"/>
        </w:rPr>
        <w:t xml:space="preserve"> </w:t>
      </w:r>
      <w:r>
        <w:rPr>
          <w:rFonts w:hint="eastAsia" w:ascii="宋体" w:hAnsi="宋体" w:eastAsia="宋体" w:cs="Times New Roman"/>
          <w:b/>
          <w:color w:val="000000"/>
          <w:spacing w:val="-14"/>
          <w:sz w:val="32"/>
          <w:szCs w:val="32"/>
          <w:u w:val="single"/>
        </w:rPr>
        <w:t>北京市门头沟区雁翅镇人民政府（盖章）</w:t>
      </w:r>
    </w:p>
    <w:p>
      <w:pPr>
        <w:spacing w:line="360" w:lineRule="auto"/>
        <w:ind w:firstLine="1059" w:firstLineChars="333"/>
        <w:jc w:val="left"/>
        <w:rPr>
          <w:rFonts w:ascii="宋体" w:hAnsi="宋体" w:eastAsia="宋体" w:cs="Times New Roman"/>
          <w:b/>
          <w:color w:val="000000"/>
          <w:sz w:val="32"/>
          <w:szCs w:val="32"/>
        </w:rPr>
      </w:pPr>
      <w:r>
        <w:rPr>
          <w:rFonts w:hint="eastAsia" w:ascii="宋体" w:hAnsi="宋体" w:eastAsia="宋体" w:cs="宋体"/>
          <w:b/>
          <w:color w:val="000000"/>
          <w:sz w:val="32"/>
          <w:szCs w:val="32"/>
        </w:rPr>
        <w:t>填报日期：</w:t>
      </w:r>
      <w:r>
        <w:rPr>
          <w:rFonts w:ascii="宋体" w:hAnsi="宋体" w:eastAsia="宋体" w:cs="Times New Roman"/>
          <w:b/>
          <w:color w:val="000000"/>
          <w:sz w:val="32"/>
          <w:szCs w:val="32"/>
        </w:rPr>
        <w:t xml:space="preserve"> </w:t>
      </w:r>
      <w:r>
        <w:rPr>
          <w:rFonts w:ascii="宋体" w:hAnsi="宋体" w:eastAsia="宋体" w:cs="Times New Roman"/>
          <w:b/>
          <w:color w:val="000000"/>
          <w:sz w:val="32"/>
          <w:szCs w:val="32"/>
          <w:u w:val="single"/>
        </w:rPr>
        <w:t xml:space="preserve"> </w:t>
      </w:r>
      <w:r>
        <w:rPr>
          <w:rFonts w:hint="eastAsia" w:ascii="宋体" w:hAnsi="宋体" w:eastAsia="宋体" w:cs="Times New Roman"/>
          <w:b/>
          <w:color w:val="000000"/>
          <w:sz w:val="32"/>
          <w:szCs w:val="32"/>
          <w:u w:val="single"/>
          <w:lang w:val="en-US" w:eastAsia="zh-CN"/>
        </w:rPr>
        <w:t>2024</w:t>
      </w:r>
      <w:r>
        <w:rPr>
          <w:rFonts w:hint="eastAsia" w:ascii="宋体" w:hAnsi="宋体" w:eastAsia="宋体" w:cs="宋体"/>
          <w:b/>
          <w:color w:val="000000"/>
          <w:sz w:val="32"/>
          <w:szCs w:val="32"/>
          <w:u w:val="single"/>
        </w:rPr>
        <w:t>年</w:t>
      </w:r>
      <w:r>
        <w:rPr>
          <w:rFonts w:hint="eastAsia" w:ascii="宋体" w:hAnsi="宋体" w:eastAsia="宋体" w:cs="Times New Roman"/>
          <w:b/>
          <w:color w:val="000000"/>
          <w:sz w:val="32"/>
          <w:szCs w:val="32"/>
          <w:u w:val="single"/>
          <w:lang w:val="en-US" w:eastAsia="zh-CN"/>
        </w:rPr>
        <w:t>4</w:t>
      </w:r>
      <w:r>
        <w:rPr>
          <w:rFonts w:hint="eastAsia" w:ascii="宋体" w:hAnsi="宋体" w:eastAsia="宋体" w:cs="宋体"/>
          <w:b/>
          <w:sz w:val="32"/>
          <w:szCs w:val="32"/>
          <w:u w:val="single"/>
        </w:rPr>
        <w:t>月</w:t>
      </w:r>
      <w:r>
        <w:rPr>
          <w:rFonts w:ascii="宋体" w:hAnsi="宋体" w:eastAsia="宋体" w:cs="Times New Roman"/>
          <w:b/>
          <w:sz w:val="32"/>
          <w:szCs w:val="32"/>
          <w:u w:val="single"/>
        </w:rPr>
        <w:t xml:space="preserve"> </w:t>
      </w:r>
      <w:r>
        <w:rPr>
          <w:rFonts w:hint="eastAsia" w:ascii="宋体" w:hAnsi="宋体" w:eastAsia="宋体" w:cs="Times New Roman"/>
          <w:b/>
          <w:sz w:val="32"/>
          <w:szCs w:val="32"/>
          <w:u w:val="single"/>
          <w:lang w:val="en-US" w:eastAsia="zh-CN"/>
        </w:rPr>
        <w:t>10</w:t>
      </w:r>
      <w:r>
        <w:rPr>
          <w:rFonts w:ascii="宋体" w:hAnsi="宋体" w:eastAsia="宋体" w:cs="Times New Roman"/>
          <w:b/>
          <w:sz w:val="32"/>
          <w:szCs w:val="32"/>
          <w:u w:val="single"/>
        </w:rPr>
        <w:t xml:space="preserve"> </w:t>
      </w:r>
      <w:r>
        <w:rPr>
          <w:rFonts w:hint="eastAsia" w:ascii="宋体" w:hAnsi="宋体" w:eastAsia="宋体" w:cs="宋体"/>
          <w:b/>
          <w:sz w:val="32"/>
          <w:szCs w:val="32"/>
          <w:u w:val="single"/>
        </w:rPr>
        <w:t>日</w:t>
      </w:r>
      <w:r>
        <w:rPr>
          <w:rFonts w:ascii="宋体" w:hAnsi="宋体" w:eastAsia="宋体" w:cs="Times New Roman"/>
          <w:b/>
          <w:sz w:val="32"/>
          <w:szCs w:val="32"/>
          <w:u w:val="single"/>
        </w:rPr>
        <w:t xml:space="preserve"> </w:t>
      </w:r>
      <w:r>
        <w:rPr>
          <w:rFonts w:ascii="宋体" w:hAnsi="宋体" w:eastAsia="宋体" w:cs="Times New Roman"/>
          <w:b/>
          <w:color w:val="000000"/>
          <w:sz w:val="32"/>
          <w:szCs w:val="32"/>
          <w:u w:val="single"/>
        </w:rPr>
        <w:t xml:space="preserve">   </w:t>
      </w:r>
    </w:p>
    <w:p>
      <w:pPr>
        <w:adjustRightInd w:val="0"/>
        <w:snapToGrid w:val="0"/>
        <w:spacing w:before="100" w:beforeAutospacing="1" w:after="100" w:afterAutospacing="1" w:line="312" w:lineRule="auto"/>
        <w:ind w:firstLine="1310" w:firstLineChars="412"/>
        <w:rPr>
          <w:rFonts w:ascii="仿宋_GB2312" w:hAnsi="宋体" w:eastAsia="仿宋_GB2312" w:cs="Times New Roman"/>
          <w:color w:val="000000"/>
          <w:sz w:val="32"/>
          <w:szCs w:val="32"/>
        </w:rPr>
      </w:pPr>
    </w:p>
    <w:p>
      <w:pPr>
        <w:adjustRightInd w:val="0"/>
        <w:snapToGrid w:val="0"/>
        <w:spacing w:before="100" w:beforeAutospacing="1" w:after="100" w:afterAutospacing="1" w:line="312" w:lineRule="auto"/>
        <w:ind w:firstLine="1310" w:firstLineChars="412"/>
        <w:rPr>
          <w:rFonts w:ascii="宋体" w:hAnsi="Times New Roman" w:eastAsia="宋体" w:cs="Times New Roman"/>
          <w:color w:val="000000"/>
          <w:sz w:val="32"/>
          <w:szCs w:val="32"/>
        </w:rPr>
      </w:pPr>
    </w:p>
    <w:p>
      <w:pPr>
        <w:widowControl/>
        <w:adjustRightInd w:val="0"/>
        <w:snapToGrid w:val="0"/>
        <w:spacing w:before="100" w:beforeAutospacing="1" w:after="100" w:afterAutospacing="1" w:line="312" w:lineRule="auto"/>
        <w:ind w:right="45" w:firstLine="476" w:firstLineChars="200"/>
        <w:rPr>
          <w:rFonts w:ascii="宋体" w:hAnsi="宋体" w:eastAsia="宋体" w:cs="宋体"/>
          <w:color w:val="000000"/>
          <w:kern w:val="0"/>
          <w:sz w:val="24"/>
          <w:szCs w:val="24"/>
        </w:rPr>
      </w:pPr>
    </w:p>
    <w:p>
      <w:pPr>
        <w:widowControl/>
        <w:adjustRightInd w:val="0"/>
        <w:snapToGrid w:val="0"/>
        <w:spacing w:before="100" w:beforeAutospacing="1" w:after="100" w:afterAutospacing="1" w:line="360" w:lineRule="auto"/>
        <w:jc w:val="center"/>
        <w:rPr>
          <w:rFonts w:ascii="宋体" w:hAnsi="宋体" w:eastAsia="宋体" w:cs="宋体"/>
          <w:b/>
          <w:color w:val="000000"/>
          <w:kern w:val="0"/>
          <w:sz w:val="36"/>
          <w:szCs w:val="36"/>
        </w:rPr>
        <w:sectPr>
          <w:headerReference r:id="rId5" w:type="first"/>
          <w:footerReference r:id="rId8" w:type="first"/>
          <w:headerReference r:id="rId3" w:type="default"/>
          <w:footerReference r:id="rId6" w:type="default"/>
          <w:headerReference r:id="rId4" w:type="even"/>
          <w:footerReference r:id="rId7" w:type="even"/>
          <w:pgSz w:w="11907" w:h="16840"/>
          <w:pgMar w:top="1440" w:right="1797" w:bottom="1440" w:left="1797" w:header="851" w:footer="992" w:gutter="0"/>
          <w:cols w:space="425" w:num="1"/>
          <w:docGrid w:type="linesAndChars" w:linePitch="606" w:charSpace="-614"/>
        </w:sectPr>
      </w:pPr>
    </w:p>
    <w:p>
      <w:pPr>
        <w:widowControl/>
        <w:spacing w:line="560" w:lineRule="exact"/>
        <w:ind w:firstLine="716" w:firstLineChars="200"/>
        <w:jc w:val="center"/>
        <w:rPr>
          <w:rFonts w:ascii="宋体" w:hAnsi="宋体" w:eastAsia="宋体" w:cs="宋体"/>
          <w:b/>
          <w:sz w:val="36"/>
          <w:szCs w:val="36"/>
        </w:rPr>
      </w:pPr>
      <w:r>
        <w:rPr>
          <w:rFonts w:ascii="宋体" w:hAnsi="宋体" w:eastAsia="宋体" w:cs="宋体"/>
          <w:b/>
          <w:sz w:val="36"/>
          <w:szCs w:val="36"/>
        </w:rPr>
        <w:t>202</w:t>
      </w:r>
      <w:r>
        <w:rPr>
          <w:rFonts w:hint="eastAsia" w:ascii="宋体" w:hAnsi="宋体" w:eastAsia="宋体" w:cs="宋体"/>
          <w:b/>
          <w:sz w:val="36"/>
          <w:szCs w:val="36"/>
        </w:rPr>
        <w:t>3年部门整体支出绩效自评报告</w:t>
      </w:r>
    </w:p>
    <w:p>
      <w:pPr>
        <w:widowControl/>
        <w:spacing w:line="560" w:lineRule="exact"/>
        <w:ind w:firstLine="636" w:firstLineChars="200"/>
        <w:rPr>
          <w:rFonts w:ascii="黑体" w:hAnsi="黑体" w:eastAsia="黑体" w:cs="宋体"/>
          <w:sz w:val="32"/>
          <w:szCs w:val="32"/>
        </w:rPr>
      </w:pPr>
    </w:p>
    <w:p>
      <w:pPr>
        <w:widowControl/>
        <w:adjustRightInd w:val="0"/>
        <w:snapToGrid w:val="0"/>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一、部门概况</w:t>
      </w:r>
    </w:p>
    <w:p>
      <w:pPr>
        <w:adjustRightInd w:val="0"/>
        <w:snapToGrid w:val="0"/>
        <w:spacing w:line="520" w:lineRule="exact"/>
        <w:ind w:firstLine="636" w:firstLineChars="200"/>
        <w:rPr>
          <w:rFonts w:ascii="楷体_GB2312" w:hAnsi="仿宋" w:eastAsia="楷体_GB2312" w:cs="Times New Roman"/>
          <w:sz w:val="32"/>
          <w:szCs w:val="32"/>
        </w:rPr>
      </w:pPr>
      <w:bookmarkStart w:id="1" w:name="_Toc268005755"/>
      <w:r>
        <w:rPr>
          <w:rFonts w:hint="eastAsia" w:ascii="楷体_GB2312" w:hAnsi="仿宋" w:eastAsia="楷体_GB2312" w:cs="Times New Roman"/>
          <w:sz w:val="32"/>
          <w:szCs w:val="32"/>
        </w:rPr>
        <w:t>（一）部门职责情况</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雁翅镇人民政府隶属于门头沟区人民政府，属于政府职能部门，其职责是加强对雁翅镇经济和社会发展的统筹规划和组织协调服务；加强社会主义民主政治和法制建设，依法行政，规范管理；完善农村社会化服务体系，为农业和农村经济发展创造条件。</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主要职能职责如下：</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党委工作职责：（1）保证党的路线、方针、政策的坚决贯彻执行。（2）保证监督职能。（3）服从和服务于经济建设的职能。（4）负责抓好本乡党建工作、群团工作、精神文明建设工作、新闻宣传工作。（5）完成上级政府交给的其他工作任务。</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政府职能：（1）制定并组织实施村镇建设规划，部署重点工程建设，地方道路建设及公共设施，水利设施的管理，负责土地、林木、水等自然资源和生态环境的保护，做好护林防火工作。（2）负责本行政区域内的民政、计划生育、文化教育、卫生、体育等社会公益事业的综合性工作，维护一切经济单位和个人的正当经济权益，取缔非法经济活动，调解和处理民事纠纷，打击刑事犯罪维护社会稳定。（3）按计划组织本级财政收入和地方税的征收，完成国家财政计划，不断培植税源，管好财政资金，增强财政实力。（4）抓好精神文明建设，丰富群众文化生活，提倡移风易俗，反对封建迷信，破除陈规陋习，树立社会主义新风尚。（5）完成上级政府交办的其它事项。</w:t>
      </w:r>
    </w:p>
    <w:p>
      <w:pPr>
        <w:adjustRightInd w:val="0"/>
        <w:snapToGrid w:val="0"/>
        <w:spacing w:line="520" w:lineRule="exact"/>
        <w:ind w:firstLine="636" w:firstLineChars="200"/>
        <w:rPr>
          <w:rFonts w:ascii="楷体_GB2312" w:hAnsi="仿宋" w:eastAsia="楷体_GB2312" w:cs="Times New Roman"/>
          <w:sz w:val="32"/>
          <w:szCs w:val="32"/>
        </w:rPr>
      </w:pPr>
      <w:r>
        <w:rPr>
          <w:rFonts w:hint="eastAsia" w:ascii="楷体_GB2312" w:hAnsi="仿宋" w:eastAsia="楷体_GB2312" w:cs="Times New Roman"/>
          <w:sz w:val="32"/>
          <w:szCs w:val="32"/>
        </w:rPr>
        <w:t>（二）部门机构设置情况</w:t>
      </w:r>
    </w:p>
    <w:p>
      <w:pPr>
        <w:adjustRightInd w:val="0"/>
        <w:snapToGrid w:val="0"/>
        <w:spacing w:beforeLines="0" w:afterLines="0" w:line="560" w:lineRule="atLeast"/>
        <w:ind w:firstLine="634"/>
        <w:rPr>
          <w:rFonts w:hint="eastAsia" w:ascii="仿宋_GB2312" w:hAnsi="仿宋"/>
          <w:sz w:val="32"/>
        </w:rPr>
      </w:pPr>
      <w:r>
        <w:rPr>
          <w:rFonts w:hint="eastAsia" w:ascii="仿宋_GB2312" w:hAnsi="仿宋"/>
          <w:sz w:val="32"/>
        </w:rPr>
        <w:t>1.机构设置情况</w:t>
      </w:r>
    </w:p>
    <w:p>
      <w:pPr>
        <w:snapToGrid w:val="0"/>
        <w:spacing w:line="520" w:lineRule="exact"/>
        <w:ind w:firstLine="636" w:firstLineChars="200"/>
        <w:rPr>
          <w:rFonts w:hint="eastAsia" w:ascii="仿宋_GB2312" w:hAnsi="宋体" w:eastAsia="仿宋_GB2312" w:cs="宋体"/>
          <w:kern w:val="0"/>
          <w:sz w:val="32"/>
          <w:szCs w:val="32"/>
          <w:highlight w:val="none"/>
          <w:lang w:val="en-US" w:eastAsia="zh-CN"/>
        </w:rPr>
      </w:pPr>
      <w:r>
        <w:rPr>
          <w:rFonts w:hint="eastAsia" w:ascii="仿宋_GB2312" w:hAnsi="宋体" w:eastAsia="仿宋_GB2312" w:cs="宋体"/>
          <w:kern w:val="0"/>
          <w:sz w:val="32"/>
          <w:szCs w:val="32"/>
          <w:highlight w:val="none"/>
          <w:lang w:val="en-US" w:eastAsia="zh-CN"/>
        </w:rPr>
        <w:t>雁翅镇内设机构共7个；包括综合办公室、党群工作办公室、平安建设办公室、城乡建设办公室、民生保障办公室、经济发展办公室，另有一个综合行政执法队；下设5个事业单位，包括雁翅镇市民活动中心（党群活动中心）、雁翅镇市民诉求处置中心（综治中心）、雁翅镇便民服务中心（退役军人服务站）、雁翅镇农业综合服务中心（区域经济发展服务中心）、雁翅镇农村经济经营管理站（农村三资管理服务中心），另有一个事业单位雁翅林业工作站，编制隶属于区园林绿化局。</w:t>
      </w:r>
    </w:p>
    <w:p>
      <w:pPr>
        <w:numPr>
          <w:ilvl w:val="0"/>
          <w:numId w:val="1"/>
        </w:numPr>
        <w:adjustRightInd w:val="0"/>
        <w:snapToGrid w:val="0"/>
        <w:spacing w:beforeLines="0" w:afterLines="0" w:line="560" w:lineRule="atLeast"/>
        <w:ind w:firstLine="634"/>
        <w:rPr>
          <w:rFonts w:hint="eastAsia" w:ascii="仿宋_GB2312" w:hAnsi="仿宋" w:eastAsia="仿宋_GB2312"/>
          <w:sz w:val="32"/>
          <w:szCs w:val="32"/>
          <w:highlight w:val="none"/>
          <w:u w:val="none"/>
        </w:rPr>
      </w:pPr>
      <w:r>
        <w:rPr>
          <w:rFonts w:hint="eastAsia" w:ascii="仿宋_GB2312" w:hAnsi="仿宋"/>
          <w:color w:val="auto"/>
          <w:sz w:val="32"/>
        </w:rPr>
        <w:t>人员构成情况</w:t>
      </w:r>
    </w:p>
    <w:p>
      <w:pPr>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宋体" w:eastAsia="仿宋_GB2312" w:cs="宋体"/>
          <w:kern w:val="0"/>
          <w:sz w:val="32"/>
          <w:szCs w:val="32"/>
          <w:highlight w:val="none"/>
          <w:lang w:val="en-US" w:eastAsia="zh-CN"/>
        </w:rPr>
        <w:t>雁翅镇部门行政编制52名，另有机关工勤1名，执法大队4名，行政实际52人，机关工勤1人，执法大队实际4人；事业编制55名，林业站编制6名，我镇下属事业单位实际48人，林业站实际5人；离退休人员55人，其中：行政退休31人，事业退休24人。</w:t>
      </w:r>
      <w:r>
        <w:rPr>
          <w:rFonts w:hint="eastAsia" w:ascii="仿宋_GB2312" w:hAnsi="仿宋" w:eastAsia="仿宋_GB2312"/>
          <w:sz w:val="32"/>
          <w:szCs w:val="32"/>
          <w:lang w:eastAsia="zh-CN"/>
        </w:rPr>
        <w:t>人员变动主要原是因为机构改革编制从新核定，二是新招录人员及退休人员增加。</w:t>
      </w:r>
    </w:p>
    <w:p>
      <w:pPr>
        <w:adjustRightInd w:val="0"/>
        <w:snapToGrid w:val="0"/>
        <w:spacing w:line="520" w:lineRule="exact"/>
        <w:ind w:firstLine="636" w:firstLineChars="200"/>
        <w:rPr>
          <w:rFonts w:ascii="楷体_GB2312" w:hAnsi="仿宋" w:eastAsia="楷体_GB2312" w:cs="Times New Roman"/>
          <w:sz w:val="32"/>
          <w:szCs w:val="32"/>
        </w:rPr>
      </w:pPr>
      <w:r>
        <w:rPr>
          <w:rFonts w:hint="eastAsia" w:ascii="楷体_GB2312" w:hAnsi="仿宋" w:eastAsia="楷体_GB2312" w:cs="Times New Roman"/>
          <w:sz w:val="32"/>
          <w:szCs w:val="32"/>
        </w:rPr>
        <w:t>（三）</w:t>
      </w:r>
      <w:r>
        <w:rPr>
          <w:rFonts w:ascii="楷体_GB2312" w:hAnsi="仿宋" w:eastAsia="楷体_GB2312" w:cs="Times New Roman"/>
          <w:sz w:val="32"/>
          <w:szCs w:val="32"/>
        </w:rPr>
        <w:t>202</w:t>
      </w:r>
      <w:r>
        <w:rPr>
          <w:rFonts w:hint="eastAsia" w:ascii="楷体_GB2312" w:hAnsi="仿宋" w:eastAsia="楷体_GB2312" w:cs="Times New Roman"/>
          <w:sz w:val="32"/>
          <w:szCs w:val="32"/>
        </w:rPr>
        <w:t>3年主要工作任务</w:t>
      </w:r>
    </w:p>
    <w:bookmarkEnd w:id="1"/>
    <w:p>
      <w:pPr>
        <w:adjustRightInd w:val="0"/>
        <w:snapToGrid w:val="0"/>
        <w:spacing w:line="520" w:lineRule="exact"/>
        <w:ind w:firstLine="636" w:firstLineChars="200"/>
        <w:rPr>
          <w:rFonts w:hint="eastAsia" w:ascii="仿宋_GB2312" w:hAnsi="仿宋" w:eastAsia="仿宋_GB2312" w:cs="Times New Roman"/>
          <w:sz w:val="32"/>
          <w:szCs w:val="32"/>
        </w:rPr>
      </w:pPr>
      <w:bookmarkStart w:id="2" w:name="_Toc268005759"/>
      <w:bookmarkStart w:id="3" w:name="_Toc263686375"/>
      <w:r>
        <w:rPr>
          <w:rFonts w:hint="eastAsia"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3</w:t>
      </w:r>
      <w:r>
        <w:rPr>
          <w:rFonts w:hint="eastAsia" w:ascii="仿宋_GB2312" w:hAnsi="仿宋" w:eastAsia="仿宋_GB2312" w:cs="Times New Roman"/>
          <w:sz w:val="32"/>
          <w:szCs w:val="32"/>
        </w:rPr>
        <w:t>年，我镇的财政工作在党委、政府的领导下，在上级主管部门的指导与支持下，立足实际、结合镇情、抢抓机遇、攻坚破难，坚持以发展为中心，强化财政管理，不断提高财政资金使用效益，切实缩减“三公经费”支出，优化财政支出结构，推动全镇经济社会全面协调可持续发展，圆满地完成202</w:t>
      </w:r>
      <w:r>
        <w:rPr>
          <w:rFonts w:hint="eastAsia" w:ascii="仿宋_GB2312" w:hAnsi="仿宋" w:eastAsia="仿宋_GB2312" w:cs="Times New Roman"/>
          <w:sz w:val="32"/>
          <w:szCs w:val="32"/>
          <w:lang w:val="en-US" w:eastAsia="zh-CN"/>
        </w:rPr>
        <w:t>3</w:t>
      </w:r>
      <w:r>
        <w:rPr>
          <w:rFonts w:hint="eastAsia" w:ascii="仿宋_GB2312" w:hAnsi="仿宋" w:eastAsia="仿宋_GB2312" w:cs="Times New Roman"/>
          <w:sz w:val="32"/>
          <w:szCs w:val="32"/>
        </w:rPr>
        <w:t>年财政工作任务。</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1</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维持正常运转投入及成效,我镇人员及办公经费37,196,501.39元，足额保障了我镇人员工资和日常定额支出，使我镇能够正常运转。</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 xml:space="preserve">（2）各项工作的顺利进行，预算项目支出共计217,988,699.1元，提供农村地区农民就业机会，增加农民收入；不断改善农村地区人居环境，提高居住水平；社会事业发展，包含文化事业及旅游事业等项目，用于提高我镇文化及旅游发展水平，不断丰富群众文化生活，改善镇域内旅游基础设施水平，促进村民增收。具体体现在：（一）党群工作方面：通过基层党建工作，全面增强基层党组织政治功能和组织力。（二）平安建设方面：通过辖区平安建设工作，维护辖区社会稳定和长治久安。（三）城乡建设管理方面：通过制定并落实村镇建设发展规划，配合做好城乡规划管理有关工作，负责市政市容环境综合治理，全面改善居民生产生活条件。（四）民生保障服务方面：统筹完成落实各项民生保障政策，推进社区建设与发展，提高辖区人民生活保障水平。（五）市民诉求处理方面：协调解决城市管理分平台各类诉求，分析研判市民诉求热点问题，提高辖区居民幸福感。（六）经济发展方面：通过制定镇经济发展规划并组织实施，负责产业发展建设与各项事务管理，促进辖区经济健康有序发展。（七）机关运行方面：通过机关重要事项组织和综合协调等工作，保障机关正常运行。 </w:t>
      </w:r>
    </w:p>
    <w:p>
      <w:pPr>
        <w:adjustRightInd w:val="0"/>
        <w:snapToGrid w:val="0"/>
        <w:spacing w:line="520" w:lineRule="exact"/>
        <w:ind w:firstLine="636" w:firstLineChars="200"/>
        <w:rPr>
          <w:rFonts w:ascii="楷体_GB2312" w:hAnsi="仿宋" w:eastAsia="楷体_GB2312" w:cs="Times New Roman"/>
          <w:sz w:val="32"/>
          <w:szCs w:val="32"/>
        </w:rPr>
      </w:pPr>
      <w:r>
        <w:rPr>
          <w:rFonts w:hint="eastAsia" w:ascii="楷体_GB2312" w:hAnsi="仿宋" w:eastAsia="楷体_GB2312" w:cs="Times New Roman"/>
          <w:sz w:val="32"/>
          <w:szCs w:val="32"/>
        </w:rPr>
        <w:t>（四）部门</w:t>
      </w:r>
      <w:bookmarkEnd w:id="2"/>
      <w:r>
        <w:rPr>
          <w:rFonts w:hint="eastAsia" w:ascii="楷体_GB2312" w:hAnsi="仿宋" w:eastAsia="楷体_GB2312" w:cs="Times New Roman"/>
          <w:sz w:val="32"/>
          <w:szCs w:val="32"/>
        </w:rPr>
        <w:t>整体绩效目标设立情况</w:t>
      </w:r>
    </w:p>
    <w:tbl>
      <w:tblPr>
        <w:tblStyle w:val="6"/>
        <w:tblW w:w="92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4"/>
        <w:gridCol w:w="1800"/>
        <w:gridCol w:w="4110"/>
        <w:gridCol w:w="25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57"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序号</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职责</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年度任务</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center"/>
              <w:rPr>
                <w:rFonts w:hint="eastAsia" w:ascii="仿宋_GB2312" w:hAnsi="仿宋"/>
                <w:sz w:val="28"/>
              </w:rPr>
            </w:pPr>
            <w:r>
              <w:rPr>
                <w:rFonts w:hint="eastAsia" w:ascii="仿宋_GB2312" w:hAnsi="仿宋"/>
                <w:sz w:val="28"/>
              </w:rPr>
              <w:t>绩效指标及指标值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13"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1</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党群工作</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全面增强基层党组织政治功能和组织力。</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2</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平安建设</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维护辖区社会稳定和长治久安。</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3</w:t>
            </w:r>
          </w:p>
        </w:tc>
        <w:tc>
          <w:tcPr>
            <w:tcW w:w="1800"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城乡建设管理</w:t>
            </w:r>
          </w:p>
        </w:tc>
        <w:tc>
          <w:tcPr>
            <w:tcW w:w="4110"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负责市政市容环境综合治理，全面改善居民生产生活条件。完善配套政策，优化提升社区管理服务水平，加强基层民主政治建设</w:t>
            </w:r>
          </w:p>
        </w:tc>
        <w:tc>
          <w:tcPr>
            <w:tcW w:w="2529"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　4</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民生服务保障</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统筹完成落实各项民生保障政策，推进社区建设与发展，提高辖区人民生活保障水平。</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278" w:firstLineChars="100"/>
              <w:jc w:val="left"/>
              <w:rPr>
                <w:rFonts w:hint="eastAsia" w:ascii="仿宋_GB2312" w:hAnsi="仿宋"/>
                <w:sz w:val="28"/>
              </w:rPr>
            </w:pPr>
            <w:r>
              <w:rPr>
                <w:rFonts w:hint="eastAsia" w:ascii="仿宋_GB2312" w:hAnsi="仿宋"/>
                <w:sz w:val="28"/>
              </w:rPr>
              <w:t>5</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市民诉求处理</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协调解决城市管理分平台各类诉求，分析研判市民诉求热点问题。</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278" w:firstLineChars="100"/>
              <w:jc w:val="left"/>
              <w:rPr>
                <w:rFonts w:hint="eastAsia" w:ascii="仿宋_GB2312" w:hAnsi="仿宋"/>
                <w:sz w:val="28"/>
              </w:rPr>
            </w:pPr>
            <w:r>
              <w:rPr>
                <w:rFonts w:hint="eastAsia" w:ascii="仿宋_GB2312" w:hAnsi="仿宋"/>
                <w:sz w:val="28"/>
              </w:rPr>
              <w:t>6</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经济发展</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做好农村集体资产及土地承包管理工作，完善村镇产业结构，做好财政及财务管理工作，整合统计与经济发展职能。</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04"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278" w:firstLineChars="100"/>
              <w:jc w:val="left"/>
              <w:rPr>
                <w:rFonts w:hint="eastAsia" w:ascii="仿宋_GB2312" w:hAnsi="仿宋"/>
                <w:sz w:val="28"/>
              </w:rPr>
            </w:pPr>
            <w:r>
              <w:rPr>
                <w:rFonts w:hint="eastAsia" w:ascii="仿宋_GB2312" w:hAnsi="仿宋"/>
                <w:sz w:val="28"/>
              </w:rPr>
              <w:t>7</w:t>
            </w:r>
          </w:p>
        </w:tc>
        <w:tc>
          <w:tcPr>
            <w:tcW w:w="180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机关运行</w:t>
            </w:r>
          </w:p>
        </w:tc>
        <w:tc>
          <w:tcPr>
            <w:tcW w:w="4110"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通过机关重要事项组织和综合协调等工作，保障机关正常运行</w:t>
            </w:r>
          </w:p>
        </w:tc>
        <w:tc>
          <w:tcPr>
            <w:tcW w:w="2529"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line="560" w:lineRule="atLeast"/>
              <w:ind w:firstLine="0" w:firstLineChars="0"/>
              <w:jc w:val="left"/>
              <w:rPr>
                <w:rFonts w:hint="eastAsia" w:ascii="仿宋_GB2312" w:hAnsi="仿宋"/>
                <w:sz w:val="28"/>
              </w:rPr>
            </w:pPr>
            <w:r>
              <w:rPr>
                <w:rFonts w:hint="eastAsia" w:ascii="仿宋_GB2312" w:hAnsi="仿宋"/>
                <w:sz w:val="28"/>
              </w:rPr>
              <w:t>完成任务</w:t>
            </w:r>
          </w:p>
        </w:tc>
      </w:tr>
    </w:tbl>
    <w:p>
      <w:pPr>
        <w:adjustRightInd w:val="0"/>
        <w:snapToGrid w:val="0"/>
        <w:spacing w:line="520" w:lineRule="exact"/>
        <w:rPr>
          <w:rFonts w:ascii="仿宋_GB2312" w:hAnsi="仿宋" w:eastAsia="仿宋_GB2312" w:cs="Times New Roman"/>
          <w:sz w:val="32"/>
          <w:szCs w:val="32"/>
        </w:rPr>
      </w:pPr>
    </w:p>
    <w:p>
      <w:pPr>
        <w:widowControl/>
        <w:adjustRightInd w:val="0"/>
        <w:snapToGrid w:val="0"/>
        <w:spacing w:line="520" w:lineRule="exact"/>
        <w:ind w:firstLine="636" w:firstLineChars="200"/>
        <w:rPr>
          <w:rFonts w:ascii="黑体" w:hAnsi="黑体" w:eastAsia="黑体" w:cs="宋体"/>
          <w:sz w:val="32"/>
          <w:szCs w:val="32"/>
        </w:rPr>
      </w:pPr>
      <w:bookmarkStart w:id="4" w:name="_Toc268005761"/>
      <w:r>
        <w:rPr>
          <w:rFonts w:hint="eastAsia" w:ascii="黑体" w:hAnsi="黑体" w:eastAsia="黑体" w:cs="宋体"/>
          <w:sz w:val="32"/>
          <w:szCs w:val="32"/>
        </w:rPr>
        <w:t>二、当年预算执行情况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w:t>
      </w:r>
      <w:r>
        <w:rPr>
          <w:rFonts w:hint="eastAsia" w:ascii="仿宋_GB2312" w:hAnsi="仿宋" w:eastAsia="仿宋_GB2312" w:cs="Times New Roman"/>
          <w:sz w:val="32"/>
          <w:szCs w:val="32"/>
        </w:rPr>
        <w:t>3年全年预算数26162.24万元，其中：基本支出3719.65万元，占比</w:t>
      </w:r>
      <w:r>
        <w:rPr>
          <w:rFonts w:hint="eastAsia" w:ascii="仿宋_GB2312" w:hAnsi="仿宋" w:eastAsia="仿宋_GB2312" w:cs="Times New Roman"/>
          <w:sz w:val="32"/>
          <w:szCs w:val="32"/>
          <w:lang w:val="en-US" w:eastAsia="zh-CN"/>
        </w:rPr>
        <w:t>14.2</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；项目支出22442.59万元，占比</w:t>
      </w:r>
      <w:r>
        <w:rPr>
          <w:rFonts w:hint="eastAsia" w:ascii="仿宋_GB2312" w:hAnsi="仿宋" w:eastAsia="仿宋_GB2312" w:cs="Times New Roman"/>
          <w:sz w:val="32"/>
          <w:szCs w:val="32"/>
          <w:lang w:val="en-US" w:eastAsia="zh-CN"/>
        </w:rPr>
        <w:t>85.8</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w:t>
      </w:r>
    </w:p>
    <w:p>
      <w:pPr>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截止到</w:t>
      </w:r>
      <w:r>
        <w:rPr>
          <w:rFonts w:ascii="仿宋_GB2312" w:hAnsi="仿宋" w:eastAsia="仿宋_GB2312" w:cs="Times New Roman"/>
          <w:sz w:val="32"/>
          <w:szCs w:val="32"/>
        </w:rPr>
        <w:t>202</w:t>
      </w:r>
      <w:r>
        <w:rPr>
          <w:rFonts w:hint="eastAsia" w:ascii="仿宋_GB2312" w:hAnsi="仿宋" w:eastAsia="仿宋_GB2312" w:cs="Times New Roman"/>
          <w:sz w:val="32"/>
          <w:szCs w:val="32"/>
        </w:rPr>
        <w:t>3年</w:t>
      </w:r>
      <w:r>
        <w:rPr>
          <w:rFonts w:ascii="仿宋_GB2312" w:hAnsi="仿宋" w:eastAsia="仿宋_GB2312" w:cs="Times New Roman"/>
          <w:sz w:val="32"/>
          <w:szCs w:val="32"/>
        </w:rPr>
        <w:t>12</w:t>
      </w:r>
      <w:r>
        <w:rPr>
          <w:rFonts w:hint="eastAsia" w:ascii="仿宋_GB2312" w:hAnsi="仿宋" w:eastAsia="仿宋_GB2312" w:cs="Times New Roman"/>
          <w:sz w:val="32"/>
          <w:szCs w:val="32"/>
        </w:rPr>
        <w:t>月</w:t>
      </w:r>
      <w:r>
        <w:rPr>
          <w:rFonts w:ascii="仿宋_GB2312" w:hAnsi="仿宋" w:eastAsia="仿宋_GB2312" w:cs="Times New Roman"/>
          <w:sz w:val="32"/>
          <w:szCs w:val="32"/>
        </w:rPr>
        <w:t>31</w:t>
      </w:r>
      <w:r>
        <w:rPr>
          <w:rFonts w:hint="eastAsia" w:ascii="仿宋_GB2312" w:hAnsi="仿宋" w:eastAsia="仿宋_GB2312" w:cs="Times New Roman"/>
          <w:sz w:val="32"/>
          <w:szCs w:val="32"/>
        </w:rPr>
        <w:t>日，预算资金总体支出26162.24万元，其中：基本支出3719.65万元，占比</w:t>
      </w:r>
      <w:r>
        <w:rPr>
          <w:rFonts w:hint="eastAsia" w:ascii="仿宋_GB2312" w:hAnsi="仿宋" w:eastAsia="仿宋_GB2312" w:cs="Times New Roman"/>
          <w:sz w:val="32"/>
          <w:szCs w:val="32"/>
          <w:lang w:val="en-US" w:eastAsia="zh-CN"/>
        </w:rPr>
        <w:t>14.2</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；项目支出22442.59万元，占比</w:t>
      </w:r>
      <w:r>
        <w:rPr>
          <w:rFonts w:hint="eastAsia" w:ascii="仿宋_GB2312" w:hAnsi="仿宋" w:eastAsia="仿宋_GB2312" w:cs="Times New Roman"/>
          <w:sz w:val="32"/>
          <w:szCs w:val="32"/>
          <w:lang w:val="en-US" w:eastAsia="zh-CN"/>
        </w:rPr>
        <w:t>85.8</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。部门预算执行率为</w:t>
      </w:r>
      <w:r>
        <w:rPr>
          <w:rFonts w:hint="eastAsia" w:ascii="仿宋_GB2312" w:hAnsi="仿宋" w:eastAsia="仿宋_GB2312" w:cs="Times New Roman"/>
          <w:sz w:val="32"/>
          <w:szCs w:val="32"/>
          <w:lang w:val="en-US" w:eastAsia="zh-CN"/>
        </w:rPr>
        <w:t>100</w:t>
      </w:r>
      <w:r>
        <w:rPr>
          <w:rFonts w:ascii="仿宋_GB2312" w:hAnsi="仿宋" w:eastAsia="仿宋_GB2312" w:cs="Times New Roman"/>
          <w:sz w:val="32"/>
          <w:szCs w:val="32"/>
        </w:rPr>
        <w:t>%</w:t>
      </w:r>
      <w:r>
        <w:rPr>
          <w:rFonts w:hint="eastAsia" w:ascii="仿宋_GB2312" w:hAnsi="仿宋" w:eastAsia="仿宋_GB2312" w:cs="Times New Roman"/>
          <w:sz w:val="32"/>
          <w:szCs w:val="32"/>
        </w:rPr>
        <w:t>。</w:t>
      </w:r>
      <w:r>
        <w:rPr>
          <w:rFonts w:ascii="仿宋_GB2312" w:hAnsi="仿宋" w:eastAsia="仿宋_GB2312" w:cs="Times New Roman"/>
          <w:sz w:val="32"/>
          <w:szCs w:val="32"/>
        </w:rPr>
        <w:t xml:space="preserve">                                     </w:t>
      </w:r>
    </w:p>
    <w:bookmarkEnd w:id="4"/>
    <w:p>
      <w:pPr>
        <w:spacing w:line="520" w:lineRule="exact"/>
        <w:ind w:firstLine="636" w:firstLineChars="200"/>
        <w:rPr>
          <w:rFonts w:ascii="仿宋_GB2312" w:hAnsi="Times New Roman" w:eastAsia="仿宋_GB2312" w:cs="Times New Roman"/>
          <w:color w:val="000000" w:themeColor="text1"/>
          <w:sz w:val="32"/>
          <w:szCs w:val="32"/>
          <w14:textFill>
            <w14:solidFill>
              <w14:schemeClr w14:val="tx1"/>
            </w14:solidFill>
          </w14:textFill>
        </w:rPr>
      </w:pPr>
      <w:r>
        <w:rPr>
          <w:rFonts w:ascii="仿宋_GB2312" w:hAnsi="仿宋" w:eastAsia="仿宋_GB2312" w:cs="Times New Roman"/>
          <w:sz w:val="32"/>
          <w:szCs w:val="32"/>
        </w:rPr>
        <w:t>202</w:t>
      </w:r>
      <w:r>
        <w:rPr>
          <w:rFonts w:hint="eastAsia" w:ascii="仿宋_GB2312" w:hAnsi="仿宋" w:eastAsia="仿宋_GB2312" w:cs="Times New Roman"/>
          <w:sz w:val="32"/>
          <w:szCs w:val="32"/>
        </w:rPr>
        <w:t>3年年末结转结余资金总额为</w:t>
      </w:r>
      <w:r>
        <w:rPr>
          <w:rFonts w:hint="eastAsia" w:ascii="仿宋_GB2312" w:hAnsi="Times New Roman" w:eastAsia="仿宋_GB2312" w:cs="Times New Roman"/>
          <w:sz w:val="32"/>
          <w:szCs w:val="32"/>
          <w:lang w:val="en-US" w:eastAsia="zh-CN"/>
        </w:rPr>
        <w:t>0</w:t>
      </w:r>
      <w:r>
        <w:rPr>
          <w:rFonts w:hint="eastAsia" w:ascii="仿宋_GB2312" w:hAnsi="Times New Roman" w:eastAsia="仿宋_GB2312" w:cs="Times New Roman"/>
          <w:sz w:val="32"/>
          <w:szCs w:val="32"/>
        </w:rPr>
        <w:t>万元，全年支出预算数为</w:t>
      </w:r>
      <w:r>
        <w:rPr>
          <w:rFonts w:hint="eastAsia" w:ascii="仿宋_GB2312" w:hAnsi="仿宋" w:eastAsia="仿宋_GB2312" w:cs="Times New Roman"/>
          <w:sz w:val="32"/>
          <w:szCs w:val="32"/>
        </w:rPr>
        <w:t>26162.24</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0</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仿宋" w:eastAsia="仿宋_GB2312" w:cs="Times New Roman"/>
          <w:color w:val="000000" w:themeColor="text1"/>
          <w:sz w:val="32"/>
          <w:szCs w:val="32"/>
          <w14:textFill>
            <w14:solidFill>
              <w14:schemeClr w14:val="tx1"/>
            </w14:solidFill>
          </w14:textFill>
        </w:rPr>
        <w:t>202</w:t>
      </w:r>
      <w:r>
        <w:rPr>
          <w:rFonts w:hint="eastAsia" w:ascii="仿宋_GB2312" w:hAnsi="仿宋" w:eastAsia="仿宋_GB2312" w:cs="Times New Roman"/>
          <w:color w:val="000000" w:themeColor="text1"/>
          <w:sz w:val="32"/>
          <w:szCs w:val="32"/>
          <w14:textFill>
            <w14:solidFill>
              <w14:schemeClr w14:val="tx1"/>
            </w14:solidFill>
          </w14:textFill>
        </w:rPr>
        <w:t>2年年末结转结余资金总额为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hint="eastAsia" w:ascii="仿宋_GB2312" w:hAnsi="Times New Roman" w:eastAsia="仿宋_GB2312" w:cs="Times New Roman"/>
          <w:color w:val="000000" w:themeColor="text1"/>
          <w:sz w:val="32"/>
          <w:szCs w:val="32"/>
          <w14:textFill>
            <w14:solidFill>
              <w14:schemeClr w14:val="tx1"/>
            </w14:solidFill>
          </w14:textFill>
        </w:rPr>
        <w:t>万元，全年支出预算数为25,320.43万元，资金结转结余率为</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ascii="仿宋_GB2312" w:hAnsi="Times New Roman" w:eastAsia="仿宋_GB2312" w:cs="Times New Roman"/>
          <w:color w:val="000000" w:themeColor="text1"/>
          <w:sz w:val="32"/>
          <w:szCs w:val="32"/>
          <w14:textFill>
            <w14:solidFill>
              <w14:schemeClr w14:val="tx1"/>
            </w14:solidFill>
          </w14:textFill>
        </w:rPr>
        <w:t>%</w:t>
      </w:r>
      <w:r>
        <w:rPr>
          <w:rFonts w:hint="eastAsia" w:ascii="仿宋_GB2312" w:hAnsi="Times New Roman" w:eastAsia="仿宋_GB2312" w:cs="Times New Roman"/>
          <w:color w:val="000000" w:themeColor="text1"/>
          <w:sz w:val="32"/>
          <w:szCs w:val="32"/>
          <w14:textFill>
            <w14:solidFill>
              <w14:schemeClr w14:val="tx1"/>
            </w14:solidFill>
          </w14:textFill>
        </w:rPr>
        <w:t>；</w:t>
      </w:r>
      <w:r>
        <w:rPr>
          <w:rFonts w:ascii="仿宋_GB2312" w:hAnsi="Times New Roman" w:eastAsia="仿宋_GB2312" w:cs="Times New Roman"/>
          <w:color w:val="000000" w:themeColor="text1"/>
          <w:sz w:val="32"/>
          <w:szCs w:val="32"/>
          <w14:textFill>
            <w14:solidFill>
              <w14:schemeClr w14:val="tx1"/>
            </w14:solidFill>
          </w14:textFill>
        </w:rPr>
        <w:t>202</w:t>
      </w:r>
      <w:r>
        <w:rPr>
          <w:rFonts w:hint="eastAsia" w:ascii="仿宋_GB2312" w:hAnsi="Times New Roman" w:eastAsia="仿宋_GB2312" w:cs="Times New Roman"/>
          <w:color w:val="000000" w:themeColor="text1"/>
          <w:sz w:val="32"/>
          <w:szCs w:val="32"/>
          <w14:textFill>
            <w14:solidFill>
              <w14:schemeClr w14:val="tx1"/>
            </w14:solidFill>
          </w14:textFill>
        </w:rPr>
        <w:t>3年度部门结转结余率较上一年上升</w:t>
      </w:r>
      <w:r>
        <w:rPr>
          <w:rFonts w:ascii="仿宋_GB2312" w:hAnsi="Times New Roman" w:eastAsia="仿宋_GB2312" w:cs="Times New Roman"/>
          <w:color w:val="000000" w:themeColor="text1"/>
          <w:sz w:val="32"/>
          <w:szCs w:val="32"/>
          <w14:textFill>
            <w14:solidFill>
              <w14:schemeClr w14:val="tx1"/>
            </w14:solidFill>
          </w14:textFill>
        </w:rPr>
        <w:t>/</w:t>
      </w:r>
      <w:r>
        <w:rPr>
          <w:rFonts w:hint="eastAsia" w:ascii="仿宋_GB2312" w:hAnsi="Times New Roman" w:eastAsia="仿宋_GB2312" w:cs="Times New Roman"/>
          <w:color w:val="000000" w:themeColor="text1"/>
          <w:sz w:val="32"/>
          <w:szCs w:val="32"/>
          <w14:textFill>
            <w14:solidFill>
              <w14:schemeClr w14:val="tx1"/>
            </w14:solidFill>
          </w14:textFill>
        </w:rPr>
        <w:t>下降了</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w:t>
      </w:r>
      <w:r>
        <w:rPr>
          <w:rFonts w:ascii="仿宋_GB2312" w:hAnsi="Times New Roman" w:eastAsia="仿宋_GB2312" w:cs="Times New Roman"/>
          <w:color w:val="000000" w:themeColor="text1"/>
          <w:sz w:val="32"/>
          <w:szCs w:val="32"/>
          <w14:textFill>
            <w14:solidFill>
              <w14:schemeClr w14:val="tx1"/>
            </w14:solidFill>
          </w14:textFill>
        </w:rPr>
        <w:t>%</w:t>
      </w:r>
      <w:r>
        <w:rPr>
          <w:rFonts w:hint="eastAsia" w:ascii="仿宋_GB2312" w:hAnsi="Times New Roman" w:eastAsia="仿宋_GB2312" w:cs="Times New Roman"/>
          <w:color w:val="000000" w:themeColor="text1"/>
          <w:sz w:val="32"/>
          <w:szCs w:val="32"/>
          <w14:textFill>
            <w14:solidFill>
              <w14:schemeClr w14:val="tx1"/>
            </w14:solidFill>
          </w14:textFill>
        </w:rPr>
        <w:t>。</w:t>
      </w:r>
    </w:p>
    <w:p>
      <w:pPr>
        <w:spacing w:line="520" w:lineRule="exact"/>
        <w:ind w:firstLine="636" w:firstLineChars="200"/>
        <w:rPr>
          <w:rFonts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三、整体绩效目标实现情况</w:t>
      </w:r>
    </w:p>
    <w:p>
      <w:pPr>
        <w:spacing w:line="520" w:lineRule="exact"/>
        <w:ind w:firstLine="636" w:firstLineChars="200"/>
        <w:rPr>
          <w:rFonts w:ascii="楷体_GB2312" w:hAnsi="Times New Roman" w:eastAsia="楷体_GB2312" w:cs="Times New Roman"/>
          <w:color w:val="000000" w:themeColor="text1"/>
          <w:sz w:val="32"/>
          <w:szCs w:val="32"/>
          <w14:textFill>
            <w14:solidFill>
              <w14:schemeClr w14:val="tx1"/>
            </w14:solidFill>
          </w14:textFill>
        </w:rPr>
      </w:pPr>
      <w:r>
        <w:rPr>
          <w:rFonts w:hint="eastAsia" w:ascii="楷体_GB2312" w:hAnsi="Times New Roman" w:eastAsia="楷体_GB2312" w:cs="Times New Roman"/>
          <w:color w:val="000000" w:themeColor="text1"/>
          <w:sz w:val="32"/>
          <w:szCs w:val="32"/>
          <w14:textFill>
            <w14:solidFill>
              <w14:schemeClr w14:val="tx1"/>
            </w14:solidFill>
          </w14:textFill>
        </w:rPr>
        <w:t>（一）产出完成情况分析</w:t>
      </w:r>
    </w:p>
    <w:p>
      <w:pPr>
        <w:spacing w:line="520" w:lineRule="exact"/>
        <w:ind w:firstLine="636" w:firstLineChars="200"/>
        <w:rPr>
          <w:rFonts w:hint="eastAsia" w:ascii="仿宋_GB2312" w:hAnsi="仿宋" w:eastAsia="仿宋_GB2312" w:cs="Times New Roman"/>
          <w:color w:val="000000" w:themeColor="text1"/>
          <w:sz w:val="32"/>
          <w:szCs w:val="32"/>
          <w:lang w:eastAsia="zh-CN"/>
          <w14:textFill>
            <w14:solidFill>
              <w14:schemeClr w14:val="tx1"/>
            </w14:solidFill>
          </w14:textFill>
        </w:rPr>
      </w:pPr>
      <w:r>
        <w:rPr>
          <w:rFonts w:ascii="仿宋_GB2312" w:hAnsi="Times New Roman" w:eastAsia="仿宋_GB2312" w:cs="Times New Roman"/>
          <w:color w:val="000000" w:themeColor="text1"/>
          <w:sz w:val="32"/>
          <w:szCs w:val="32"/>
          <w14:textFill>
            <w14:solidFill>
              <w14:schemeClr w14:val="tx1"/>
            </w14:solidFill>
          </w14:textFill>
        </w:rPr>
        <w:t>1.</w:t>
      </w:r>
      <w:r>
        <w:rPr>
          <w:rFonts w:hint="eastAsia" w:ascii="仿宋_GB2312" w:hAnsi="Times New Roman" w:eastAsia="仿宋_GB2312" w:cs="Times New Roman"/>
          <w:color w:val="000000" w:themeColor="text1"/>
          <w:sz w:val="32"/>
          <w:szCs w:val="32"/>
          <w14:textFill>
            <w14:solidFill>
              <w14:schemeClr w14:val="tx1"/>
            </w14:solidFill>
          </w14:textFill>
        </w:rPr>
        <w:t>产出数量</w:t>
      </w:r>
      <w:r>
        <w:rPr>
          <w:rFonts w:hint="eastAsia" w:ascii="仿宋_GB2312" w:hAnsi="仿宋" w:eastAsia="仿宋_GB2312" w:cs="Times New Roman"/>
          <w:color w:val="000000" w:themeColor="text1"/>
          <w:sz w:val="32"/>
          <w:szCs w:val="32"/>
          <w:lang w:eastAsia="zh-CN"/>
          <w14:textFill>
            <w14:solidFill>
              <w14:schemeClr w14:val="tx1"/>
            </w14:solidFill>
          </w14:textFill>
        </w:rPr>
        <w:t>：行政村数量23个，社区数量1个。</w:t>
      </w:r>
    </w:p>
    <w:p>
      <w:pPr>
        <w:spacing w:line="520" w:lineRule="exact"/>
        <w:ind w:firstLine="636" w:firstLineChars="200"/>
        <w:rPr>
          <w:rFonts w:hint="eastAsia" w:ascii="仿宋_GB2312" w:hAnsi="仿宋" w:eastAsia="仿宋_GB2312" w:cs="Times New Roman"/>
          <w:color w:val="000000" w:themeColor="text1"/>
          <w:sz w:val="32"/>
          <w:szCs w:val="32"/>
          <w:lang w:eastAsia="zh-CN"/>
          <w14:textFill>
            <w14:solidFill>
              <w14:schemeClr w14:val="tx1"/>
            </w14:solidFill>
          </w14:textFill>
        </w:rPr>
      </w:pPr>
      <w:r>
        <w:rPr>
          <w:rFonts w:hint="eastAsia" w:ascii="仿宋_GB2312" w:hAnsi="仿宋" w:eastAsia="仿宋_GB2312" w:cs="Times New Roman"/>
          <w:color w:val="000000" w:themeColor="text1"/>
          <w:sz w:val="32"/>
          <w:szCs w:val="32"/>
          <w:lang w:eastAsia="zh-CN"/>
          <w14:textFill>
            <w14:solidFill>
              <w14:schemeClr w14:val="tx1"/>
            </w14:solidFill>
          </w14:textFill>
        </w:rPr>
        <w:t>2.产出质量</w:t>
      </w:r>
      <w:r>
        <w:rPr>
          <w:rFonts w:hint="eastAsia" w:ascii="仿宋_GB2312" w:hAnsi="仿宋" w:eastAsia="仿宋_GB2312" w:cs="Times New Roman"/>
          <w:color w:val="000000" w:themeColor="text1"/>
          <w:sz w:val="32"/>
          <w:szCs w:val="32"/>
          <w:lang w:eastAsia="zh-CN"/>
          <w14:textFill>
            <w14:solidFill>
              <w14:schemeClr w14:val="tx1"/>
            </w14:solidFill>
          </w14:textFill>
        </w:rPr>
        <w:t>：工作完成质量合格率&gt;=90%</w:t>
      </w:r>
    </w:p>
    <w:p>
      <w:pPr>
        <w:spacing w:line="520" w:lineRule="exact"/>
        <w:ind w:firstLine="636" w:firstLineChars="200"/>
        <w:rPr>
          <w:rFonts w:hint="eastAsia" w:ascii="仿宋_GB2312" w:hAnsi="仿宋" w:eastAsia="仿宋_GB2312" w:cs="Times New Roman"/>
          <w:color w:val="000000" w:themeColor="text1"/>
          <w:sz w:val="32"/>
          <w:szCs w:val="32"/>
          <w:lang w:eastAsia="zh-CN"/>
          <w14:textFill>
            <w14:solidFill>
              <w14:schemeClr w14:val="tx1"/>
            </w14:solidFill>
          </w14:textFill>
        </w:rPr>
      </w:pPr>
      <w:r>
        <w:rPr>
          <w:rFonts w:hint="eastAsia" w:ascii="仿宋_GB2312" w:hAnsi="仿宋" w:eastAsia="仿宋_GB2312" w:cs="Times New Roman"/>
          <w:color w:val="000000" w:themeColor="text1"/>
          <w:sz w:val="32"/>
          <w:szCs w:val="32"/>
          <w:lang w:eastAsia="zh-CN"/>
          <w14:textFill>
            <w14:solidFill>
              <w14:schemeClr w14:val="tx1"/>
            </w14:solidFill>
          </w14:textFill>
        </w:rPr>
        <w:t>3.产出进度</w:t>
      </w:r>
      <w:r>
        <w:rPr>
          <w:rFonts w:hint="eastAsia" w:ascii="仿宋_GB2312" w:hAnsi="仿宋" w:eastAsia="仿宋_GB2312" w:cs="Times New Roman"/>
          <w:color w:val="000000" w:themeColor="text1"/>
          <w:sz w:val="32"/>
          <w:szCs w:val="32"/>
          <w:lang w:eastAsia="zh-CN"/>
          <w14:textFill>
            <w14:solidFill>
              <w14:schemeClr w14:val="tx1"/>
            </w14:solidFill>
          </w14:textFill>
        </w:rPr>
        <w:t>：整体完成时效&gt;=90%</w:t>
      </w:r>
    </w:p>
    <w:p>
      <w:pPr>
        <w:spacing w:line="520" w:lineRule="exact"/>
        <w:ind w:firstLine="636" w:firstLineChars="200"/>
        <w:rPr>
          <w:rFonts w:hint="eastAsia" w:ascii="仿宋_GB2312" w:hAnsi="仿宋" w:eastAsia="仿宋_GB2312" w:cs="Times New Roman"/>
          <w:color w:val="000000" w:themeColor="text1"/>
          <w:sz w:val="32"/>
          <w:szCs w:val="32"/>
          <w:lang w:eastAsia="zh-CN"/>
          <w14:textFill>
            <w14:solidFill>
              <w14:schemeClr w14:val="tx1"/>
            </w14:solidFill>
          </w14:textFill>
        </w:rPr>
      </w:pPr>
      <w:r>
        <w:rPr>
          <w:rFonts w:hint="eastAsia" w:ascii="仿宋_GB2312" w:hAnsi="仿宋" w:eastAsia="仿宋_GB2312" w:cs="Times New Roman"/>
          <w:color w:val="000000" w:themeColor="text1"/>
          <w:sz w:val="32"/>
          <w:szCs w:val="32"/>
          <w:lang w:eastAsia="zh-CN"/>
          <w14:textFill>
            <w14:solidFill>
              <w14:schemeClr w14:val="tx1"/>
            </w14:solidFill>
          </w14:textFill>
        </w:rPr>
        <w:t>4.产出成本</w:t>
      </w:r>
      <w:r>
        <w:rPr>
          <w:rFonts w:hint="eastAsia" w:ascii="仿宋_GB2312" w:hAnsi="仿宋" w:eastAsia="仿宋_GB2312" w:cs="Times New Roman"/>
          <w:color w:val="000000" w:themeColor="text1"/>
          <w:sz w:val="32"/>
          <w:szCs w:val="32"/>
          <w:lang w:eastAsia="zh-CN"/>
          <w14:textFill>
            <w14:solidFill>
              <w14:schemeClr w14:val="tx1"/>
            </w14:solidFill>
          </w14:textFill>
        </w:rPr>
        <w:t>：预算控制数26162.24</w:t>
      </w:r>
      <w:r>
        <w:rPr>
          <w:rFonts w:hint="eastAsia" w:ascii="仿宋_GB2312" w:hAnsi="仿宋" w:eastAsia="仿宋_GB2312" w:cs="Times New Roman"/>
          <w:color w:val="000000" w:themeColor="text1"/>
          <w:sz w:val="32"/>
          <w:szCs w:val="32"/>
          <w:lang w:eastAsia="zh-CN"/>
          <w14:textFill>
            <w14:solidFill>
              <w14:schemeClr w14:val="tx1"/>
            </w14:solidFill>
          </w14:textFill>
        </w:rPr>
        <w:t>万元</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（二）效果实现情况分析</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1.经济效益</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通过项目实施，提高农民经济收入。</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lang w:val="en-US" w:eastAsia="zh-CN"/>
          <w14:textFill>
            <w14:solidFill>
              <w14:schemeClr w14:val="tx1"/>
            </w14:solidFill>
          </w14:textFill>
        </w:rPr>
        <w:t>2.</w:t>
      </w:r>
      <w:r>
        <w:rPr>
          <w:rFonts w:hint="eastAsia" w:ascii="仿宋_GB2312" w:hAnsi="仿宋" w:eastAsia="仿宋_GB2312" w:cs="Times New Roman"/>
          <w:color w:val="000000" w:themeColor="text1"/>
          <w:sz w:val="32"/>
          <w:szCs w:val="32"/>
          <w14:textFill>
            <w14:solidFill>
              <w14:schemeClr w14:val="tx1"/>
            </w14:solidFill>
          </w14:textFill>
        </w:rPr>
        <w:t>社会效益</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提高政府、村委会办公效率，更好的提供社会服务；保障居民收入，提高居民生活水平；通过工程的实施，继续完善基础设施建设水平，加强我镇生态保护力度，改善居民生活条件。</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lang w:val="en-US" w:eastAsia="zh-CN"/>
          <w14:textFill>
            <w14:solidFill>
              <w14:schemeClr w14:val="tx1"/>
            </w14:solidFill>
          </w14:textFill>
        </w:rPr>
        <w:t>3.</w:t>
      </w:r>
      <w:r>
        <w:rPr>
          <w:rFonts w:hint="eastAsia" w:ascii="仿宋_GB2312" w:hAnsi="仿宋" w:eastAsia="仿宋_GB2312" w:cs="Times New Roman"/>
          <w:color w:val="000000" w:themeColor="text1"/>
          <w:sz w:val="32"/>
          <w:szCs w:val="32"/>
          <w14:textFill>
            <w14:solidFill>
              <w14:schemeClr w14:val="tx1"/>
            </w14:solidFill>
          </w14:textFill>
        </w:rPr>
        <w:t>环境效益</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通过投入，提高人居环境水平，镇村面貌焕然一新，新农村建设稳步提升，群众生活明显改善，社会秩序平安稳定。</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lang w:val="en-US" w:eastAsia="zh-CN"/>
          <w14:textFill>
            <w14:solidFill>
              <w14:schemeClr w14:val="tx1"/>
            </w14:solidFill>
          </w14:textFill>
        </w:rPr>
        <w:t>4.</w:t>
      </w:r>
      <w:r>
        <w:rPr>
          <w:rFonts w:hint="eastAsia" w:ascii="仿宋_GB2312" w:hAnsi="仿宋" w:eastAsia="仿宋_GB2312" w:cs="Times New Roman"/>
          <w:color w:val="000000" w:themeColor="text1"/>
          <w:sz w:val="32"/>
          <w:szCs w:val="32"/>
          <w14:textFill>
            <w14:solidFill>
              <w14:schemeClr w14:val="tx1"/>
            </w14:solidFill>
          </w14:textFill>
        </w:rPr>
        <w:t>可持续影响</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可持续影响时间大于1年。</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lang w:val="en-US" w:eastAsia="zh-CN"/>
          <w14:textFill>
            <w14:solidFill>
              <w14:schemeClr w14:val="tx1"/>
            </w14:solidFill>
          </w14:textFill>
        </w:rPr>
        <w:t>5.</w:t>
      </w:r>
      <w:r>
        <w:rPr>
          <w:rFonts w:hint="eastAsia" w:ascii="仿宋_GB2312" w:hAnsi="仿宋" w:eastAsia="仿宋_GB2312" w:cs="Times New Roman"/>
          <w:color w:val="000000" w:themeColor="text1"/>
          <w:sz w:val="32"/>
          <w:szCs w:val="32"/>
          <w14:textFill>
            <w14:solidFill>
              <w14:schemeClr w14:val="tx1"/>
            </w14:solidFill>
          </w14:textFill>
        </w:rPr>
        <w:t>服务对象满意度</w:t>
      </w:r>
    </w:p>
    <w:p>
      <w:pPr>
        <w:spacing w:line="520" w:lineRule="exact"/>
        <w:ind w:firstLine="636" w:firstLineChars="200"/>
        <w:rPr>
          <w:rFonts w:hint="eastAsia"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机关干部职工满意率达到90%以上，村居及镇域内服务群众满意度达85%以上。</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四、预算管理情况分析</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（一）财务管理</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为保障经济活动内部控制体系设计合理和实施有效，加强经济活动内部控制体系的监督检查和自我评价，建立内部控制体系的长效机制，提升风险管控水平，结合雁翅镇实际情况，制定了《雁翅镇经济活动内部控制体系监督评价办法》。根据《会计法》等相关规定，结合实际情况，制定了《雁翅镇会计基础工作管理办法》，规范会计行为，做好会计基础工作。根据内控管理相关规定，制定了《雁翅镇财政科内部稽核管理办法》，以加强财政科内部管理，保障资金安全高效运行并防范财务风险。为进一步加强雁翅镇财政财务管理工作，规范收入支出管理，保障资金安全，提高资金使用效益，制订了《雁翅镇收入支出管理办法》、《雁翅镇发票管理办法》、《雁翅镇现金管理办法》、《雁翅镇银行账户管理办法》、《雁翅镇支票管理办法》、《雁翅镇公务卡管理办法》。</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（二）资产管理</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为加强固定资产管理，提高资产的使用效益，保障资产安全，根据固定资产管理相关规定，结合雁翅镇实际情况，制定了雁翅镇固定资产管理办法。固定资产的管理和使用遵循资产管理与预算管理相结合、资产管理与财务管理相结合、实物管理与价值管理相结合、集中与分级管理相结合的基本原则，做到统一政策、统一领导、责任到人、物尽其用。</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镇办公室为固定资产综合管理部门，办公室负债固定资产的采购和事物管理工作，财务负债固定资产账务管理工作，各科室负债本科室固定资产的日常管理工作。在固定资产日常管理中，各科室加强固定资产日常管理。</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（三）绩效管理</w:t>
      </w:r>
    </w:p>
    <w:p>
      <w:pPr>
        <w:spacing w:line="520" w:lineRule="exact"/>
        <w:ind w:firstLine="636" w:firstLineChars="200"/>
        <w:rPr>
          <w:rFonts w:hint="eastAsia"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预算绩效管理制度情况</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为加强雁翅镇财政预决算管理，规范操作程序，确保财政资金科学合理安排和使用，有效促进镇域经济和社会事业的发展，根据《中华人民共和国预算法》和区财政预决算管理的相关规定，结合本镇实际，制订了《雁翅镇预决算管理办法》。预算管理的基本原则是坚持综合预算，各项收支均应纳入财政预算管理；保证重点，兼顾一般，确保各项任务的完成；统筹兼顾、勤俭节约、量力而行、讲求绩效和收支平衡；注重资金的规范管理和使用，严格审批程序。管理制度的内容包括：</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（1）预算编制工作</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 xml:space="preserve"> 预算编制的内容包括收入预算、支出预算和政府采购预算。预算编制程序是实行科室申报，财政科审核汇总，镇党委会议研究决定，财政科具体编制，财政局预算批复，镇人代会审查批准等六个工作步骤进行。</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（2）预算执行工作</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财政支出预算执行，实行分类管理制度。一是3万元（不含）以下的工程类项目建设资金支出，1万元以下（不含）以下的非工程类项目资金支出需经政府专题会议研究通过。二是年度预算安排的单笔3-50万元（不含）镇政府实施的工程类项目资金支出；年度预算安排的除镇政府实施的工程类项目外单笔1-30万元（不含）的其他资金支出，年度预算安排以外的3万元（不含）以下的资金支出需经政府办公会研究通过。三是年度预算安排的单笔50万元（含）以上镇政府实施的工程类项目资金支出，年度预算安排的除镇政府实施的工程类项目外单笔30万元（含）以上的其他资金支出，年度预算安排以外的3万元（含）以上的资金支出需经镇党委会议研究通过。各科室按照本办法相关规定和雁翅镇议事决策管理办法的要求，在年度预算范围内履行预算执行申请审批程序和资金支付审批程序后执行。</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预算执行申请审批程序：由用款科室先行按照《雁翅镇关于规范党政领导班子议事规则的实施细则（试行）》要求，提交相应会议决策后填写《雁翅镇预算执行申请审批表》，并由经办人签字、经科室负责人审核、科室主管领导审批后，交财政科，财政科收到《雁翅镇预算执行申请审批表》后，预算会计根据年度下达的预算和执行情况，核实预算资金来源后，提出资金安排意见，经财政科长、财政主管领导审核后，交镇主要领导审批。</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资金支付审批程序：由用款科室填写《雁翅镇资金支付审批表》，并由经办人签字、科室负责人审核、主管领导审批后交财政科，财政科会计提出支付意见后，经财政科长审核，财政主管领导审批后办理资金支付。</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我镇预算公开工作，按照区财政统一部署，进行向社会公开工作。雁翅镇建立预决算信息内部公开制度，内部信息公开内容包括年度预算内部信息公开、年度决算内部信息公开和年度预算执行情况按季内部信息公开三部分。符合财政部门的管理要求。</w:t>
      </w:r>
    </w:p>
    <w:p>
      <w:pPr>
        <w:numPr>
          <w:numId w:val="0"/>
        </w:numPr>
        <w:spacing w:line="520" w:lineRule="exact"/>
        <w:ind w:left="634" w:leftChars="0"/>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2.</w:t>
      </w:r>
      <w:bookmarkStart w:id="5" w:name="_GoBack"/>
      <w:bookmarkEnd w:id="5"/>
      <w:r>
        <w:rPr>
          <w:rFonts w:hint="eastAsia" w:ascii="仿宋_GB2312" w:hAnsi="仿宋" w:eastAsia="仿宋_GB2312" w:cs="Times New Roman"/>
          <w:sz w:val="32"/>
          <w:szCs w:val="32"/>
        </w:rPr>
        <w:t>绩效目标管理情况</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建立并设置绩效管理组织机构，通过在预算上报过程中，对所报预算项目绩效目标的填报情况进行梳理；以及对预算项目绩效目标完成审核，确定项目所设立的绩效目标有依据、有数据、落实处；再通过一年来对预算项目的绩效目标具体实施和管理情况的追踪，对绩效信息进行情况收集及结果管理，通过收集到的信息和实施管理的结果，对绩效管理组织机构和预算科室进行反馈，强化绩效管理，提升绩效目标。</w:t>
      </w:r>
    </w:p>
    <w:p>
      <w:pPr>
        <w:spacing w:line="520" w:lineRule="exact"/>
        <w:ind w:firstLine="636" w:firstLineChars="200"/>
        <w:rPr>
          <w:rFonts w:ascii="仿宋_GB2312" w:hAnsi="微软雅黑" w:eastAsia="仿宋_GB2312" w:cs="微软雅黑"/>
          <w:color w:val="404040"/>
          <w:sz w:val="32"/>
          <w:szCs w:val="32"/>
          <w:shd w:val="clear" w:color="auto" w:fill="FFFFFF"/>
        </w:rPr>
      </w:pPr>
      <w:r>
        <w:rPr>
          <w:rFonts w:ascii="仿宋_GB2312" w:hAnsi="微软雅黑" w:eastAsia="仿宋_GB2312" w:cs="微软雅黑"/>
          <w:color w:val="404040"/>
          <w:sz w:val="32"/>
          <w:szCs w:val="32"/>
          <w:shd w:val="clear" w:color="auto" w:fill="FFFFFF"/>
        </w:rPr>
        <w:t>202</w:t>
      </w:r>
      <w:r>
        <w:rPr>
          <w:rFonts w:hint="eastAsia" w:ascii="仿宋_GB2312" w:hAnsi="微软雅黑" w:eastAsia="仿宋_GB2312" w:cs="微软雅黑"/>
          <w:color w:val="404040"/>
          <w:sz w:val="32"/>
          <w:szCs w:val="32"/>
          <w:shd w:val="clear" w:color="auto" w:fill="FFFFFF"/>
        </w:rPr>
        <w:t>3年部门预算项目</w:t>
      </w:r>
      <w:r>
        <w:rPr>
          <w:rFonts w:hint="eastAsia" w:ascii="仿宋_GB2312" w:hAnsi="微软雅黑" w:eastAsia="仿宋_GB2312" w:cs="微软雅黑"/>
          <w:color w:val="404040"/>
          <w:sz w:val="32"/>
          <w:szCs w:val="32"/>
          <w:shd w:val="clear" w:color="auto" w:fill="FFFFFF"/>
          <w:lang w:val="en-US" w:eastAsia="zh-CN"/>
        </w:rPr>
        <w:t>67</w:t>
      </w:r>
      <w:r>
        <w:rPr>
          <w:rFonts w:hint="eastAsia" w:ascii="仿宋_GB2312" w:hAnsi="微软雅黑" w:eastAsia="仿宋_GB2312" w:cs="微软雅黑"/>
          <w:color w:val="404040"/>
          <w:sz w:val="32"/>
          <w:szCs w:val="32"/>
          <w:shd w:val="clear" w:color="auto" w:fill="FFFFFF"/>
        </w:rPr>
        <w:t>个，部门预算公开绩效目标的预算项目</w:t>
      </w:r>
      <w:r>
        <w:rPr>
          <w:rFonts w:hint="eastAsia" w:ascii="仿宋_GB2312" w:hAnsi="微软雅黑" w:eastAsia="仿宋_GB2312" w:cs="微软雅黑"/>
          <w:color w:val="404040"/>
          <w:sz w:val="32"/>
          <w:szCs w:val="32"/>
          <w:shd w:val="clear" w:color="auto" w:fill="FFFFFF"/>
          <w:lang w:val="en-US" w:eastAsia="zh-CN"/>
        </w:rPr>
        <w:t>67</w:t>
      </w:r>
      <w:r>
        <w:rPr>
          <w:rFonts w:hint="eastAsia" w:ascii="仿宋_GB2312" w:hAnsi="微软雅黑" w:eastAsia="仿宋_GB2312" w:cs="微软雅黑"/>
          <w:color w:val="404040"/>
          <w:sz w:val="32"/>
          <w:szCs w:val="32"/>
          <w:shd w:val="clear" w:color="auto" w:fill="FFFFFF"/>
        </w:rPr>
        <w:t>个，占本部门全部预算项目的</w:t>
      </w:r>
      <w:r>
        <w:rPr>
          <w:rFonts w:hint="eastAsia" w:ascii="仿宋_GB2312" w:hAnsi="微软雅黑" w:eastAsia="仿宋_GB2312" w:cs="微软雅黑"/>
          <w:color w:val="404040"/>
          <w:sz w:val="32"/>
          <w:szCs w:val="32"/>
          <w:shd w:val="clear" w:color="auto" w:fill="FFFFFF"/>
          <w:lang w:val="en-US" w:eastAsia="zh-CN"/>
        </w:rPr>
        <w:t>100</w:t>
      </w:r>
      <w:r>
        <w:rPr>
          <w:rFonts w:ascii="仿宋_GB2312" w:hAnsi="微软雅黑" w:eastAsia="仿宋_GB2312" w:cs="微软雅黑"/>
          <w:color w:val="404040"/>
          <w:sz w:val="32"/>
          <w:szCs w:val="32"/>
          <w:shd w:val="clear" w:color="auto" w:fill="FFFFFF"/>
        </w:rPr>
        <w:t>%</w:t>
      </w:r>
      <w:r>
        <w:rPr>
          <w:rFonts w:hint="eastAsia" w:ascii="仿宋_GB2312" w:hAnsi="微软雅黑" w:eastAsia="仿宋_GB2312" w:cs="微软雅黑"/>
          <w:color w:val="404040"/>
          <w:sz w:val="32"/>
          <w:szCs w:val="32"/>
          <w:shd w:val="clear" w:color="auto" w:fill="FFFFFF"/>
        </w:rPr>
        <w:t>。</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绩效运行监控情况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w:t>
      </w:r>
      <w:r>
        <w:rPr>
          <w:rFonts w:hint="eastAsia" w:ascii="仿宋_GB2312" w:hAnsi="仿宋" w:eastAsia="仿宋_GB2312" w:cs="Times New Roman"/>
          <w:sz w:val="32"/>
          <w:szCs w:val="32"/>
        </w:rPr>
        <w:t>3年对</w:t>
      </w:r>
      <w:r>
        <w:rPr>
          <w:rFonts w:hint="eastAsia" w:ascii="仿宋_GB2312" w:hAnsi="Times New Roman" w:eastAsia="仿宋_GB2312" w:cs="Times New Roman"/>
          <w:sz w:val="32"/>
          <w:szCs w:val="32"/>
        </w:rPr>
        <w:t>本部门及所属单位</w:t>
      </w:r>
      <w:r>
        <w:rPr>
          <w:rFonts w:hint="eastAsia" w:ascii="仿宋_GB2312" w:hAnsi="仿宋" w:eastAsia="仿宋_GB2312" w:cs="Times New Roman"/>
          <w:sz w:val="32"/>
          <w:szCs w:val="32"/>
          <w:lang w:val="en-US" w:eastAsia="zh-CN"/>
        </w:rPr>
        <w:t>67</w:t>
      </w:r>
      <w:r>
        <w:rPr>
          <w:rFonts w:hint="eastAsia" w:ascii="仿宋_GB2312" w:hAnsi="仿宋" w:eastAsia="仿宋_GB2312" w:cs="Times New Roman"/>
          <w:sz w:val="32"/>
          <w:szCs w:val="32"/>
        </w:rPr>
        <w:t>个预算项目进行绩效运行监控，占部门项目总数的</w:t>
      </w:r>
      <w:r>
        <w:rPr>
          <w:rFonts w:hint="eastAsia" w:ascii="仿宋_GB2312" w:hAnsi="微软雅黑" w:eastAsia="仿宋_GB2312" w:cs="微软雅黑"/>
          <w:color w:val="404040"/>
          <w:sz w:val="32"/>
          <w:szCs w:val="32"/>
          <w:shd w:val="clear" w:color="auto" w:fill="FFFFFF"/>
          <w:lang w:val="en-US" w:eastAsia="zh-CN"/>
        </w:rPr>
        <w:t>100</w:t>
      </w:r>
      <w:r>
        <w:rPr>
          <w:rFonts w:ascii="仿宋_GB2312" w:hAnsi="微软雅黑" w:eastAsia="仿宋_GB2312" w:cs="微软雅黑"/>
          <w:color w:val="404040"/>
          <w:sz w:val="32"/>
          <w:szCs w:val="32"/>
          <w:shd w:val="clear" w:color="auto" w:fill="FFFFFF"/>
        </w:rPr>
        <w:t>%</w:t>
      </w:r>
      <w:r>
        <w:rPr>
          <w:rFonts w:hint="eastAsia" w:ascii="仿宋_GB2312" w:hAnsi="微软雅黑" w:eastAsia="仿宋_GB2312" w:cs="微软雅黑"/>
          <w:color w:val="404040"/>
          <w:sz w:val="32"/>
          <w:szCs w:val="32"/>
          <w:shd w:val="clear" w:color="auto" w:fill="FFFFFF"/>
        </w:rPr>
        <w:t>，涉及资金</w:t>
      </w:r>
      <w:r>
        <w:rPr>
          <w:rFonts w:hint="eastAsia" w:ascii="仿宋_GB2312" w:hAnsi="微软雅黑" w:eastAsia="仿宋_GB2312" w:cs="微软雅黑"/>
          <w:color w:val="404040"/>
          <w:sz w:val="32"/>
          <w:szCs w:val="32"/>
          <w:shd w:val="clear" w:color="auto" w:fill="FFFFFF"/>
          <w:lang w:val="en-US" w:eastAsia="zh-CN"/>
        </w:rPr>
        <w:t>13,246.53</w:t>
      </w:r>
      <w:r>
        <w:rPr>
          <w:rFonts w:hint="eastAsia" w:ascii="仿宋_GB2312" w:hAnsi="微软雅黑" w:eastAsia="仿宋_GB2312" w:cs="微软雅黑"/>
          <w:color w:val="404040"/>
          <w:sz w:val="32"/>
          <w:szCs w:val="32"/>
          <w:shd w:val="clear" w:color="auto" w:fill="FFFFFF"/>
        </w:rPr>
        <w:t>万元。</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绩效自评情况</w:t>
      </w:r>
    </w:p>
    <w:p>
      <w:pPr>
        <w:spacing w:line="520" w:lineRule="exact"/>
        <w:ind w:firstLine="636" w:firstLineChars="200"/>
        <w:rPr>
          <w:rFonts w:ascii="仿宋_GB2312" w:hAnsi="Times New Roman" w:eastAsia="仿宋_GB2312" w:cs="Times New Roman"/>
          <w:sz w:val="32"/>
          <w:szCs w:val="32"/>
        </w:rPr>
      </w:pPr>
      <w:r>
        <w:rPr>
          <w:rFonts w:ascii="仿宋_GB2312" w:hAnsi="仿宋" w:eastAsia="仿宋_GB2312" w:cs="Times New Roman"/>
          <w:sz w:val="32"/>
          <w:szCs w:val="32"/>
        </w:rPr>
        <w:t>202</w:t>
      </w:r>
      <w:r>
        <w:rPr>
          <w:rFonts w:hint="eastAsia" w:ascii="仿宋_GB2312" w:hAnsi="仿宋" w:eastAsia="仿宋_GB2312" w:cs="Times New Roman"/>
          <w:sz w:val="32"/>
          <w:szCs w:val="32"/>
        </w:rPr>
        <w:t>3年</w:t>
      </w:r>
      <w:r>
        <w:rPr>
          <w:rFonts w:hint="eastAsia" w:ascii="仿宋_GB2312" w:hAnsi="Times New Roman" w:eastAsia="仿宋_GB2312" w:cs="Times New Roman"/>
          <w:sz w:val="32"/>
          <w:szCs w:val="32"/>
        </w:rPr>
        <w:t>对本部门及所属单位</w:t>
      </w:r>
      <w:r>
        <w:rPr>
          <w:rFonts w:ascii="仿宋_GB2312" w:hAnsi="Times New Roman" w:eastAsia="仿宋_GB2312" w:cs="Times New Roman"/>
          <w:sz w:val="32"/>
          <w:szCs w:val="32"/>
        </w:rPr>
        <w:t>202</w:t>
      </w:r>
      <w:r>
        <w:rPr>
          <w:rFonts w:hint="eastAsia" w:ascii="仿宋_GB2312" w:hAnsi="Times New Roman" w:eastAsia="仿宋_GB2312" w:cs="Times New Roman"/>
          <w:sz w:val="32"/>
          <w:szCs w:val="32"/>
        </w:rPr>
        <w:t>2年项目支出实施了绩效自评，评价项目</w:t>
      </w:r>
      <w:r>
        <w:rPr>
          <w:rFonts w:hint="eastAsia" w:ascii="仿宋_GB2312" w:hAnsi="Times New Roman" w:eastAsia="仿宋_GB2312" w:cs="Times New Roman"/>
          <w:sz w:val="32"/>
          <w:szCs w:val="32"/>
          <w:lang w:val="en-US" w:eastAsia="zh-CN"/>
        </w:rPr>
        <w:t>135</w:t>
      </w:r>
      <w:r>
        <w:rPr>
          <w:rFonts w:hint="eastAsia" w:ascii="仿宋_GB2312" w:hAnsi="Times New Roman" w:eastAsia="仿宋_GB2312" w:cs="Times New Roman"/>
          <w:sz w:val="32"/>
          <w:szCs w:val="32"/>
        </w:rPr>
        <w:t>个，涉及金额</w:t>
      </w:r>
      <w:r>
        <w:rPr>
          <w:rFonts w:hint="eastAsia" w:ascii="仿宋_GB2312" w:hAnsi="Times New Roman" w:eastAsia="仿宋_GB2312" w:cs="Times New Roman"/>
          <w:sz w:val="32"/>
          <w:szCs w:val="32"/>
          <w:lang w:val="en-US" w:eastAsia="zh-CN"/>
        </w:rPr>
        <w:t>22,930.14</w:t>
      </w:r>
      <w:r>
        <w:rPr>
          <w:rFonts w:hint="eastAsia" w:ascii="仿宋_GB2312" w:hAnsi="Times New Roman" w:eastAsia="仿宋_GB2312" w:cs="Times New Roman"/>
          <w:sz w:val="32"/>
          <w:szCs w:val="32"/>
        </w:rPr>
        <w:t>万元。</w:t>
      </w:r>
    </w:p>
    <w:p>
      <w:pPr>
        <w:widowControl/>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五、总体评价结论</w:t>
      </w:r>
    </w:p>
    <w:p>
      <w:pPr>
        <w:spacing w:line="520" w:lineRule="exact"/>
        <w:ind w:firstLine="636" w:firstLineChars="200"/>
        <w:rPr>
          <w:rFonts w:ascii="楷体_GB2312" w:hAnsi="仿宋" w:eastAsia="楷体_GB2312" w:cs="Times New Roman"/>
          <w:sz w:val="32"/>
          <w:szCs w:val="32"/>
        </w:rPr>
      </w:pPr>
      <w:r>
        <w:rPr>
          <w:rFonts w:hint="eastAsia" w:ascii="楷体_GB2312" w:hAnsi="仿宋" w:eastAsia="楷体_GB2312" w:cs="Times New Roman"/>
          <w:sz w:val="32"/>
          <w:szCs w:val="32"/>
        </w:rPr>
        <w:t>（一）评价得分情况</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请结合《部门整体支出绩效自评表》中的得分情况填写以下内容。</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绩效自评总分：</w:t>
      </w:r>
      <w:r>
        <w:rPr>
          <w:rFonts w:hint="eastAsia" w:ascii="仿宋_GB2312" w:hAnsi="仿宋" w:eastAsia="仿宋_GB2312" w:cs="Times New Roman"/>
          <w:sz w:val="32"/>
          <w:szCs w:val="32"/>
          <w:lang w:val="en-US" w:eastAsia="zh-CN"/>
        </w:rPr>
        <w:t>95</w:t>
      </w:r>
      <w:r>
        <w:rPr>
          <w:rFonts w:hint="eastAsia" w:ascii="仿宋_GB2312" w:hAnsi="仿宋" w:eastAsia="仿宋_GB2312" w:cs="Times New Roman"/>
          <w:sz w:val="32"/>
          <w:szCs w:val="32"/>
        </w:rPr>
        <w:t>分</w:t>
      </w:r>
    </w:p>
    <w:p>
      <w:pPr>
        <w:widowControl/>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rPr>
        <w:t>绩效自评等级：</w:t>
      </w:r>
      <w:r>
        <w:rPr>
          <w:rFonts w:hint="eastAsia" w:ascii="仿宋_GB2312" w:hAnsi="仿宋" w:eastAsia="仿宋_GB2312" w:cs="Times New Roman"/>
          <w:sz w:val="32"/>
          <w:szCs w:val="32"/>
          <w:lang w:eastAsia="zh-CN"/>
        </w:rPr>
        <w:t>优秀</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四类评价等级：优秀</w:t>
      </w:r>
    </w:p>
    <w:p>
      <w:pPr>
        <w:spacing w:line="520" w:lineRule="exact"/>
        <w:ind w:firstLine="636" w:firstLineChars="200"/>
        <w:rPr>
          <w:rFonts w:ascii="楷体_GB2312" w:hAnsi="仿宋" w:eastAsia="楷体_GB2312" w:cs="Times New Roman"/>
          <w:sz w:val="32"/>
          <w:szCs w:val="32"/>
        </w:rPr>
      </w:pPr>
      <w:r>
        <w:rPr>
          <w:rFonts w:hint="eastAsia" w:ascii="楷体_GB2312" w:hAnsi="仿宋" w:eastAsia="楷体_GB2312" w:cs="Times New Roman"/>
          <w:sz w:val="32"/>
          <w:szCs w:val="32"/>
        </w:rPr>
        <w:t>（二）存在的问题及原因分析</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1.资金支出进度相对缓慢,预算执行效率较低。</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2.对资金支出的合理性审核不严谨；时有超支现象发生。</w:t>
      </w:r>
    </w:p>
    <w:p>
      <w:pPr>
        <w:spacing w:line="520" w:lineRule="exact"/>
        <w:ind w:firstLine="636" w:firstLineChars="200"/>
        <w:rPr>
          <w:rFonts w:ascii="楷体_GB2312" w:hAnsi="仿宋" w:eastAsia="楷体_GB2312" w:cs="Times New Roman"/>
          <w:sz w:val="32"/>
          <w:szCs w:val="32"/>
        </w:rPr>
      </w:pPr>
      <w:r>
        <w:rPr>
          <w:rFonts w:hint="eastAsia" w:ascii="楷体_GB2312" w:hAnsi="仿宋" w:eastAsia="楷体_GB2312" w:cs="Times New Roman"/>
          <w:sz w:val="32"/>
          <w:szCs w:val="32"/>
        </w:rPr>
        <w:t>（三）改进措施（请对照问题，分别填写相应改进措施）</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1.加快支出进度，提高预算执行效率</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加强与各业务科室的沟通，提高预算支出各环节执行效率。对支出实施分类管理，确保支出各环节畅通运行。基本支出按照月度用款计划，均衡拨款；村级人员经费类项目支出按季度及时进行拨付，工程类项目按照实施进度和合同约定及时办理拨款手续。</w:t>
      </w:r>
    </w:p>
    <w:p>
      <w:pPr>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2.加强财政财务管理，保障科室工作平稳运行。</w:t>
      </w:r>
    </w:p>
    <w:p>
      <w:pPr>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一是加强财务管理，严格财务审核。加强单位财务管理，健全单位财务管理制度体系，规范单位财务行为。在费用报账支付时，按照预算规定的费用项目和用途进行资金使用审核、财务严格核算，杜绝超支现象的发生。二是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bookmarkEnd w:id="3"/>
    <w:p>
      <w:pPr>
        <w:spacing w:line="520" w:lineRule="exact"/>
        <w:ind w:firstLine="636" w:firstLineChars="200"/>
        <w:jc w:val="left"/>
        <w:rPr>
          <w:rFonts w:ascii="仿宋_GB2312" w:hAnsi="Times New Roman" w:eastAsia="仿宋_GB2312" w:cs="Times New Roman"/>
          <w:sz w:val="32"/>
          <w:szCs w:val="32"/>
        </w:rPr>
      </w:pPr>
    </w:p>
    <w:p/>
    <w:sectPr>
      <w:footerReference r:id="rId9" w:type="default"/>
      <w:pgSz w:w="11907" w:h="16840"/>
      <w:pgMar w:top="1797" w:right="1440" w:bottom="1276" w:left="1440" w:header="851" w:footer="992" w:gutter="0"/>
      <w:pgNumType w:start="1"/>
      <w:cols w:space="425" w:num="1"/>
      <w:docGrid w:type="linesAndChars" w:linePitch="606" w:charSpace="-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firstLine="360"/>
      <w:rPr>
        <w:rStyle w:val="5"/>
      </w:rPr>
    </w:pPr>
    <w:r>
      <w:rPr>
        <w:rStyle w:val="5"/>
      </w:rPr>
      <w:fldChar w:fldCharType="begin"/>
    </w:r>
    <w:r>
      <w:rPr>
        <w:rStyle w:val="5"/>
      </w:rPr>
      <w:instrText xml:space="preserve">PAGE  </w:instrText>
    </w:r>
    <w:r>
      <w:rPr>
        <w:rStyle w:val="5"/>
      </w:rPr>
      <w:fldChar w:fldCharType="end"/>
    </w:r>
  </w:p>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firstLine="360"/>
      <w:rPr>
        <w:rStyle w:val="5"/>
      </w:rPr>
    </w:pPr>
    <w:r>
      <w:rPr>
        <w:rStyle w:val="5"/>
      </w:rPr>
      <w:fldChar w:fldCharType="begin"/>
    </w:r>
    <w:r>
      <w:rPr>
        <w:rStyle w:val="5"/>
      </w:rPr>
      <w:instrText xml:space="preserve">PAGE  </w:instrText>
    </w:r>
    <w:r>
      <w:rPr>
        <w:rStyle w:val="5"/>
      </w:rPr>
      <w:fldChar w:fldCharType="separate"/>
    </w:r>
    <w:r>
      <w:rPr>
        <w:rStyle w:val="5"/>
      </w:rPr>
      <w:t>4</w:t>
    </w:r>
    <w:r>
      <w:rPr>
        <w:rStyle w:val="5"/>
      </w:rPr>
      <w:fldChar w:fldCharType="end"/>
    </w:r>
  </w:p>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440483"/>
    <w:multiLevelType w:val="multilevel"/>
    <w:tmpl w:val="62440483"/>
    <w:lvl w:ilvl="0" w:tentative="0">
      <w:start w:val="2"/>
      <w:numFmt w:val="decimal"/>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969"/>
    <w:rsid w:val="0004502A"/>
    <w:rsid w:val="0015133D"/>
    <w:rsid w:val="001F1B65"/>
    <w:rsid w:val="00271F9E"/>
    <w:rsid w:val="00385D4E"/>
    <w:rsid w:val="00632E15"/>
    <w:rsid w:val="007C5969"/>
    <w:rsid w:val="00846439"/>
    <w:rsid w:val="008B4180"/>
    <w:rsid w:val="008C4DEF"/>
    <w:rsid w:val="0099769B"/>
    <w:rsid w:val="00A5549B"/>
    <w:rsid w:val="00AC3863"/>
    <w:rsid w:val="00B12733"/>
    <w:rsid w:val="00D92EAA"/>
    <w:rsid w:val="00D937A9"/>
    <w:rsid w:val="00E26073"/>
    <w:rsid w:val="00E430E2"/>
    <w:rsid w:val="00F578CA"/>
    <w:rsid w:val="10A13094"/>
    <w:rsid w:val="4CE24CFE"/>
    <w:rsid w:val="793A0489"/>
    <w:rsid w:val="7DDF6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5">
    <w:name w:val="page number"/>
    <w:semiHidden/>
    <w:uiPriority w:val="99"/>
    <w:rPr>
      <w:rFonts w:cs="Times New Roman"/>
    </w:rPr>
  </w:style>
  <w:style w:type="character" w:customStyle="1" w:styleId="7">
    <w:name w:val="页眉 Char"/>
    <w:basedOn w:val="4"/>
    <w:link w:val="3"/>
    <w:qFormat/>
    <w:uiPriority w:val="99"/>
    <w:rPr>
      <w:sz w:val="18"/>
      <w:szCs w:val="18"/>
    </w:rPr>
  </w:style>
  <w:style w:type="character" w:customStyle="1" w:styleId="8">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198</Words>
  <Characters>1135</Characters>
  <Lines>9</Lines>
  <Paragraphs>2</Paragraphs>
  <TotalTime>1</TotalTime>
  <ScaleCrop>false</ScaleCrop>
  <LinksUpToDate>false</LinksUpToDate>
  <CharactersWithSpaces>1331</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2024-01-17T07:47:00Z</dcterms:created>
  <dc:creator>李菁</dc:creator>
  <cp:lastModifiedBy>hp</cp:lastModifiedBy>
  <dcterms:modified xsi:type="dcterms:W3CDTF">2024-04-08T05:47:32Z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