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66E349">
      <w:pPr>
        <w:keepNext w:val="0"/>
        <w:keepLines w:val="0"/>
        <w:pageBreakBefore w:val="0"/>
        <w:kinsoku/>
        <w:wordWrap/>
        <w:overflowPunct/>
        <w:topLinePunct w:val="0"/>
        <w:autoSpaceDE/>
        <w:autoSpaceDN/>
        <w:bidi w:val="0"/>
        <w:adjustRightInd/>
        <w:snapToGrid/>
        <w:spacing w:line="560" w:lineRule="exact"/>
        <w:jc w:val="center"/>
        <w:rPr>
          <w:rFonts w:hint="eastAsia" w:ascii="方正小标宋简体" w:hAnsi="方正小标宋简体" w:eastAsia="方正小标宋简体" w:cs="方正小标宋简体"/>
          <w:color w:val="auto"/>
          <w:sz w:val="44"/>
          <w:szCs w:val="44"/>
        </w:rPr>
      </w:pPr>
      <w:bookmarkStart w:id="0" w:name="_GoBack"/>
      <w:r>
        <w:rPr>
          <w:rFonts w:hint="eastAsia" w:ascii="方正小标宋简体" w:hAnsi="方正小标宋简体" w:eastAsia="方正小标宋简体" w:cs="方正小标宋简体"/>
          <w:color w:val="auto"/>
          <w:sz w:val="44"/>
          <w:szCs w:val="44"/>
        </w:rPr>
        <w:t>北京市门头沟区斋堂镇人民政府2024年政府信息公开工作年度报告</w:t>
      </w:r>
    </w:p>
    <w:p w14:paraId="1710B41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right="0" w:firstLine="672" w:firstLineChars="200"/>
        <w:jc w:val="left"/>
        <w:textAlignment w:val="baseline"/>
        <w:rPr>
          <w:rFonts w:ascii="仿宋_GB2312" w:hAnsi="宋体" w:eastAsia="仿宋_GB2312" w:cs="仿宋_GB2312"/>
          <w:i w:val="0"/>
          <w:iCs w:val="0"/>
          <w:caps w:val="0"/>
          <w:color w:val="auto"/>
          <w:spacing w:val="8"/>
          <w:kern w:val="0"/>
          <w:sz w:val="32"/>
          <w:szCs w:val="32"/>
          <w:u w:val="none"/>
          <w:shd w:val="clear" w:fill="FFFFFF"/>
          <w:vertAlign w:val="baseline"/>
          <w:lang w:val="en-US" w:eastAsia="zh-CN" w:bidi="ar"/>
        </w:rPr>
      </w:pPr>
    </w:p>
    <w:p w14:paraId="04601E1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right="0" w:firstLine="672" w:firstLineChars="200"/>
        <w:jc w:val="left"/>
        <w:textAlignment w:val="baseline"/>
        <w:rPr>
          <w:rFonts w:hint="eastAsia" w:ascii="宋体" w:hAnsi="宋体" w:eastAsia="宋体" w:cs="宋体"/>
          <w:i w:val="0"/>
          <w:iCs w:val="0"/>
          <w:caps w:val="0"/>
          <w:color w:val="auto"/>
          <w:spacing w:val="0"/>
          <w:sz w:val="14"/>
          <w:szCs w:val="14"/>
          <w:u w:val="none"/>
        </w:rPr>
      </w:pPr>
      <w:r>
        <w:rPr>
          <w:rFonts w:ascii="仿宋_GB2312" w:hAnsi="宋体" w:eastAsia="仿宋_GB2312" w:cs="仿宋_GB2312"/>
          <w:i w:val="0"/>
          <w:iCs w:val="0"/>
          <w:caps w:val="0"/>
          <w:color w:val="auto"/>
          <w:spacing w:val="8"/>
          <w:kern w:val="0"/>
          <w:sz w:val="32"/>
          <w:szCs w:val="32"/>
          <w:u w:val="none"/>
          <w:shd w:val="clear" w:fill="FFFFFF"/>
          <w:vertAlign w:val="baseline"/>
          <w:lang w:val="en-US" w:eastAsia="zh-CN" w:bidi="ar"/>
        </w:rPr>
        <w:t>依据《中华人民共和国政府信息公开条例》</w:t>
      </w:r>
      <w:r>
        <w:rPr>
          <w:rFonts w:hint="eastAsia" w:ascii="仿宋_GB2312" w:hAnsi="宋体" w:eastAsia="仿宋_GB2312" w:cs="仿宋_GB2312"/>
          <w:i w:val="0"/>
          <w:iCs w:val="0"/>
          <w:caps w:val="0"/>
          <w:color w:val="auto"/>
          <w:spacing w:val="8"/>
          <w:kern w:val="0"/>
          <w:sz w:val="32"/>
          <w:szCs w:val="32"/>
          <w:u w:val="none"/>
          <w:shd w:val="clear" w:fill="FFFFFF"/>
          <w:vertAlign w:val="baseline"/>
          <w:lang w:val="en-US" w:eastAsia="zh-CN" w:bidi="ar"/>
        </w:rPr>
        <w:t>(以下简称《政府信息公开条例》)第五十条规定，编制本报告。</w:t>
      </w:r>
    </w:p>
    <w:p w14:paraId="470CB2BC">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一、总体情况</w:t>
      </w:r>
    </w:p>
    <w:p w14:paraId="64AEBFC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72"/>
        <w:jc w:val="left"/>
        <w:textAlignment w:val="baseline"/>
        <w:rPr>
          <w:rFonts w:hint="eastAsia" w:ascii="宋体" w:hAnsi="宋体" w:eastAsia="宋体" w:cs="宋体"/>
          <w:i w:val="0"/>
          <w:iCs w:val="0"/>
          <w:caps w:val="0"/>
          <w:color w:val="auto"/>
          <w:spacing w:val="0"/>
          <w:sz w:val="14"/>
          <w:szCs w:val="14"/>
          <w:u w:val="none"/>
        </w:rPr>
      </w:pPr>
      <w:r>
        <w:rPr>
          <w:rFonts w:hint="eastAsia" w:ascii="仿宋_GB2312" w:hAnsi="宋体" w:eastAsia="仿宋_GB2312" w:cs="仿宋_GB2312"/>
          <w:i w:val="0"/>
          <w:iCs w:val="0"/>
          <w:caps w:val="0"/>
          <w:color w:val="auto"/>
          <w:spacing w:val="8"/>
          <w:kern w:val="0"/>
          <w:sz w:val="32"/>
          <w:szCs w:val="32"/>
          <w:u w:val="none"/>
          <w:shd w:val="clear" w:fill="FFFFFF"/>
          <w:vertAlign w:val="baseline"/>
          <w:lang w:val="en-US" w:eastAsia="zh-CN" w:bidi="ar"/>
        </w:rPr>
        <w:t>2024年本单位开展政府信息和政务公开工作总体包括：政府信息和政务公开组织机构、制度建设、依法行政、舆情回应、重点领域公开、教育培训、会议决策、政府网站内容建设等工作及其他需要报告的事项。</w:t>
      </w:r>
    </w:p>
    <w:p w14:paraId="2838CDC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72"/>
        <w:jc w:val="left"/>
        <w:textAlignment w:val="baseline"/>
        <w:rPr>
          <w:rFonts w:hint="eastAsia" w:ascii="宋体" w:hAnsi="宋体" w:eastAsia="宋体" w:cs="宋体"/>
          <w:i w:val="0"/>
          <w:iCs w:val="0"/>
          <w:caps w:val="0"/>
          <w:color w:val="auto"/>
          <w:spacing w:val="0"/>
          <w:sz w:val="14"/>
          <w:szCs w:val="14"/>
          <w:u w:val="none"/>
        </w:rPr>
      </w:pPr>
      <w:r>
        <w:rPr>
          <w:rFonts w:hint="eastAsia" w:ascii="仿宋_GB2312" w:hAnsi="宋体" w:eastAsia="仿宋_GB2312" w:cs="仿宋_GB2312"/>
          <w:i w:val="0"/>
          <w:iCs w:val="0"/>
          <w:caps w:val="0"/>
          <w:color w:val="auto"/>
          <w:spacing w:val="8"/>
          <w:kern w:val="0"/>
          <w:sz w:val="32"/>
          <w:szCs w:val="32"/>
          <w:u w:val="none"/>
          <w:shd w:val="clear" w:fill="FFFFFF"/>
          <w:vertAlign w:val="baseline"/>
          <w:lang w:val="en-US" w:eastAsia="zh-CN" w:bidi="ar"/>
        </w:rPr>
        <w:t>（一）主动公开情况：严格按照法律法规和制度要求，全面、准确、及时地公开了政府信息，包括政策法规、机构职能、办事指南、工作动态、财政预决算等，让公众更加了解政府工作，增强政府的透明度。本年度斋堂镇主动公开政策法规0条，政府信息155条。</w:t>
      </w:r>
    </w:p>
    <w:p w14:paraId="1B52964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72"/>
        <w:jc w:val="left"/>
        <w:textAlignment w:val="baseline"/>
        <w:rPr>
          <w:rFonts w:hint="eastAsia" w:ascii="宋体" w:hAnsi="宋体" w:eastAsia="宋体" w:cs="宋体"/>
          <w:i w:val="0"/>
          <w:iCs w:val="0"/>
          <w:caps w:val="0"/>
          <w:color w:val="auto"/>
          <w:spacing w:val="0"/>
          <w:sz w:val="14"/>
          <w:szCs w:val="14"/>
          <w:u w:val="none"/>
        </w:rPr>
      </w:pPr>
      <w:r>
        <w:rPr>
          <w:rFonts w:hint="eastAsia" w:ascii="仿宋_GB2312" w:hAnsi="宋体" w:eastAsia="仿宋_GB2312" w:cs="仿宋_GB2312"/>
          <w:i w:val="0"/>
          <w:iCs w:val="0"/>
          <w:caps w:val="0"/>
          <w:color w:val="auto"/>
          <w:spacing w:val="8"/>
          <w:kern w:val="0"/>
          <w:sz w:val="32"/>
          <w:szCs w:val="32"/>
          <w:u w:val="none"/>
          <w:shd w:val="clear" w:fill="FFFFFF"/>
          <w:vertAlign w:val="baseline"/>
          <w:lang w:val="en-US" w:eastAsia="zh-CN" w:bidi="ar"/>
        </w:rPr>
        <w:t>（二）依申请公开办理情况：今年收到申请18件，答复17件，结转2025年继续办理1件。</w:t>
      </w:r>
    </w:p>
    <w:p w14:paraId="523B303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72"/>
        <w:jc w:val="left"/>
        <w:textAlignment w:val="baseline"/>
        <w:rPr>
          <w:rFonts w:hint="eastAsia" w:ascii="宋体" w:hAnsi="宋体" w:eastAsia="宋体" w:cs="宋体"/>
          <w:i w:val="0"/>
          <w:iCs w:val="0"/>
          <w:caps w:val="0"/>
          <w:color w:val="auto"/>
          <w:spacing w:val="0"/>
          <w:sz w:val="14"/>
          <w:szCs w:val="14"/>
          <w:u w:val="none"/>
        </w:rPr>
      </w:pPr>
      <w:r>
        <w:rPr>
          <w:rFonts w:hint="eastAsia" w:ascii="仿宋_GB2312" w:hAnsi="宋体" w:eastAsia="仿宋_GB2312" w:cs="仿宋_GB2312"/>
          <w:i w:val="0"/>
          <w:iCs w:val="0"/>
          <w:caps w:val="0"/>
          <w:color w:val="auto"/>
          <w:spacing w:val="8"/>
          <w:kern w:val="0"/>
          <w:sz w:val="32"/>
          <w:szCs w:val="32"/>
          <w:u w:val="none"/>
          <w:shd w:val="clear" w:fill="FFFFFF"/>
          <w:vertAlign w:val="baseline"/>
          <w:lang w:val="en-US" w:eastAsia="zh-CN" w:bidi="ar"/>
        </w:rPr>
        <w:t>（三）政府信息资源的规范化、标准化管理情况：严格按照政府信息公开工作要求，对公开内容按规定进行审查，明确了信息公开的范围、程序、方式和责任，确保信息公开工作有章可循。</w:t>
      </w:r>
    </w:p>
    <w:p w14:paraId="09875A4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72"/>
        <w:jc w:val="left"/>
        <w:textAlignment w:val="baseline"/>
        <w:rPr>
          <w:rFonts w:hint="eastAsia" w:ascii="宋体" w:hAnsi="宋体" w:eastAsia="宋体" w:cs="宋体"/>
          <w:i w:val="0"/>
          <w:iCs w:val="0"/>
          <w:caps w:val="0"/>
          <w:color w:val="auto"/>
          <w:spacing w:val="0"/>
          <w:sz w:val="14"/>
          <w:szCs w:val="14"/>
          <w:u w:val="none"/>
        </w:rPr>
      </w:pPr>
      <w:r>
        <w:rPr>
          <w:rFonts w:hint="eastAsia" w:ascii="仿宋_GB2312" w:hAnsi="宋体" w:eastAsia="仿宋_GB2312" w:cs="仿宋_GB2312"/>
          <w:i w:val="0"/>
          <w:iCs w:val="0"/>
          <w:caps w:val="0"/>
          <w:color w:val="auto"/>
          <w:spacing w:val="8"/>
          <w:kern w:val="0"/>
          <w:sz w:val="32"/>
          <w:szCs w:val="32"/>
          <w:u w:val="none"/>
          <w:shd w:val="clear" w:fill="FFFFFF"/>
          <w:vertAlign w:val="baseline"/>
          <w:lang w:val="en-US" w:eastAsia="zh-CN" w:bidi="ar"/>
        </w:rPr>
        <w:t>（四）政府信息公开平台建设情况：加强政府信息公开平台建设，优化官方网站、视频号等新媒体的信息发布功能，注重平台的互动功能，鼓励公众参与和反馈，提高信息的时效性和覆盖面。</w:t>
      </w:r>
    </w:p>
    <w:p w14:paraId="1ECE436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72"/>
        <w:jc w:val="left"/>
        <w:textAlignment w:val="baseline"/>
        <w:rPr>
          <w:rFonts w:hint="eastAsia" w:ascii="宋体" w:hAnsi="宋体" w:eastAsia="宋体" w:cs="宋体"/>
          <w:i w:val="0"/>
          <w:iCs w:val="0"/>
          <w:caps w:val="0"/>
          <w:color w:val="auto"/>
          <w:spacing w:val="0"/>
          <w:sz w:val="14"/>
          <w:szCs w:val="14"/>
          <w:u w:val="none"/>
        </w:rPr>
      </w:pPr>
      <w:r>
        <w:rPr>
          <w:rFonts w:hint="eastAsia" w:ascii="仿宋_GB2312" w:hAnsi="宋体" w:eastAsia="仿宋_GB2312" w:cs="仿宋_GB2312"/>
          <w:i w:val="0"/>
          <w:iCs w:val="0"/>
          <w:caps w:val="0"/>
          <w:color w:val="auto"/>
          <w:spacing w:val="8"/>
          <w:kern w:val="0"/>
          <w:sz w:val="32"/>
          <w:szCs w:val="32"/>
          <w:u w:val="none"/>
          <w:shd w:val="clear" w:fill="FFFFFF"/>
          <w:vertAlign w:val="baseline"/>
          <w:lang w:val="en-US" w:eastAsia="zh-CN" w:bidi="ar"/>
        </w:rPr>
        <w:t>（五）组织领导情况：政府信息公开工作有专人负责，权责明确，组织结构完整。</w:t>
      </w:r>
    </w:p>
    <w:p w14:paraId="297F36C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72"/>
        <w:jc w:val="left"/>
        <w:textAlignment w:val="baseline"/>
        <w:rPr>
          <w:rFonts w:hint="eastAsia" w:ascii="宋体" w:hAnsi="宋体" w:eastAsia="宋体" w:cs="宋体"/>
          <w:i w:val="0"/>
          <w:iCs w:val="0"/>
          <w:caps w:val="0"/>
          <w:color w:val="auto"/>
          <w:spacing w:val="0"/>
          <w:sz w:val="14"/>
          <w:szCs w:val="14"/>
          <w:u w:val="none"/>
        </w:rPr>
      </w:pPr>
      <w:r>
        <w:rPr>
          <w:rFonts w:hint="eastAsia" w:ascii="仿宋_GB2312" w:hAnsi="宋体" w:eastAsia="仿宋_GB2312" w:cs="仿宋_GB2312"/>
          <w:i w:val="0"/>
          <w:iCs w:val="0"/>
          <w:caps w:val="0"/>
          <w:color w:val="auto"/>
          <w:spacing w:val="8"/>
          <w:kern w:val="0"/>
          <w:sz w:val="32"/>
          <w:szCs w:val="32"/>
          <w:u w:val="none"/>
          <w:shd w:val="clear" w:fill="FFFFFF"/>
          <w:vertAlign w:val="baseline"/>
          <w:lang w:val="en-US" w:eastAsia="zh-CN" w:bidi="ar"/>
        </w:rPr>
        <w:t>（六）监督保障情况：严格执行政府信息公开审批制度，需经单位保密审查机构与主管领导审批同意后予以公开，切实保障信息公开安全性、真实性和有效性。</w:t>
      </w:r>
    </w:p>
    <w:p w14:paraId="1C7DFA25">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二、主动公开政府信息情况</w:t>
      </w:r>
    </w:p>
    <w:tbl>
      <w:tblPr>
        <w:tblStyle w:val="5"/>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435"/>
        <w:gridCol w:w="2435"/>
        <w:gridCol w:w="2435"/>
        <w:gridCol w:w="2435"/>
      </w:tblGrid>
      <w:tr w14:paraId="372D5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top"/>
          </w:tcPr>
          <w:p w14:paraId="651940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第二十条第（一）项</w:t>
            </w:r>
          </w:p>
        </w:tc>
      </w:tr>
      <w:tr w14:paraId="16C4EE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top"/>
          </w:tcPr>
          <w:p w14:paraId="401960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DDEBF7"/>
            <w:tcMar>
              <w:top w:w="0" w:type="dxa"/>
              <w:left w:w="57" w:type="dxa"/>
              <w:bottom w:w="0" w:type="dxa"/>
              <w:right w:w="57" w:type="dxa"/>
            </w:tcMar>
            <w:vAlign w:val="top"/>
          </w:tcPr>
          <w:p w14:paraId="493489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top w:w="0" w:type="dxa"/>
              <w:left w:w="57" w:type="dxa"/>
              <w:bottom w:w="0" w:type="dxa"/>
              <w:right w:w="57" w:type="dxa"/>
            </w:tcMar>
            <w:vAlign w:val="top"/>
          </w:tcPr>
          <w:p w14:paraId="2CF1E9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top w:w="0" w:type="dxa"/>
              <w:left w:w="57" w:type="dxa"/>
              <w:bottom w:w="0" w:type="dxa"/>
              <w:right w:w="57" w:type="dxa"/>
            </w:tcMar>
            <w:vAlign w:val="top"/>
          </w:tcPr>
          <w:p w14:paraId="55FAE8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现行有效件数</w:t>
            </w:r>
          </w:p>
        </w:tc>
      </w:tr>
      <w:tr w14:paraId="7AA98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top"/>
          </w:tcPr>
          <w:p w14:paraId="01FA32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规章</w:t>
            </w:r>
          </w:p>
        </w:tc>
        <w:tc>
          <w:tcPr>
            <w:tcW w:w="243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92203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0</w:t>
            </w:r>
          </w:p>
        </w:tc>
        <w:tc>
          <w:tcPr>
            <w:tcW w:w="243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35B70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0</w:t>
            </w:r>
          </w:p>
        </w:tc>
        <w:tc>
          <w:tcPr>
            <w:tcW w:w="243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2CC25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ascii="Calibri" w:hAnsi="Calibri" w:eastAsia="宋体" w:cs="Calibri"/>
                <w:i w:val="0"/>
                <w:iCs w:val="0"/>
                <w:color w:val="505050"/>
                <w:kern w:val="0"/>
                <w:sz w:val="21"/>
                <w:szCs w:val="21"/>
                <w:u w:val="none"/>
                <w:vertAlign w:val="baseline"/>
                <w:lang w:val="en-US" w:eastAsia="zh-CN" w:bidi="ar"/>
              </w:rPr>
              <w:t>0</w:t>
            </w:r>
          </w:p>
        </w:tc>
      </w:tr>
      <w:tr w14:paraId="63C7E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top"/>
          </w:tcPr>
          <w:p w14:paraId="17DE7D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9C9DC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0</w:t>
            </w:r>
          </w:p>
        </w:tc>
        <w:tc>
          <w:tcPr>
            <w:tcW w:w="243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4B9BE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0</w:t>
            </w:r>
          </w:p>
        </w:tc>
        <w:tc>
          <w:tcPr>
            <w:tcW w:w="243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B8EE3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Calibri" w:hAnsi="Calibri" w:eastAsia="宋体" w:cs="Calibri"/>
                <w:i w:val="0"/>
                <w:iCs w:val="0"/>
                <w:color w:val="505050"/>
                <w:kern w:val="0"/>
                <w:sz w:val="21"/>
                <w:szCs w:val="21"/>
                <w:u w:val="none"/>
                <w:vertAlign w:val="baseline"/>
                <w:lang w:val="en-US" w:eastAsia="zh-CN" w:bidi="ar"/>
              </w:rPr>
              <w:t>1</w:t>
            </w:r>
          </w:p>
        </w:tc>
      </w:tr>
      <w:tr w14:paraId="4DB23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top"/>
          </w:tcPr>
          <w:p w14:paraId="234048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第二十条第（五）项</w:t>
            </w:r>
          </w:p>
        </w:tc>
      </w:tr>
      <w:tr w14:paraId="1495F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top"/>
          </w:tcPr>
          <w:p w14:paraId="5903E8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DDEBF7"/>
            <w:tcMar>
              <w:top w:w="0" w:type="dxa"/>
              <w:left w:w="57" w:type="dxa"/>
              <w:bottom w:w="0" w:type="dxa"/>
              <w:right w:w="57" w:type="dxa"/>
            </w:tcMar>
            <w:vAlign w:val="top"/>
          </w:tcPr>
          <w:p w14:paraId="33A1CB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本年处理决定数量</w:t>
            </w:r>
          </w:p>
        </w:tc>
      </w:tr>
      <w:tr w14:paraId="3647A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top"/>
          </w:tcPr>
          <w:p w14:paraId="7F03A5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4EBAE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1"/>
                <w:szCs w:val="21"/>
                <w:u w:val="none"/>
                <w:vertAlign w:val="baseline"/>
                <w:lang w:val="en-US" w:eastAsia="zh-CN" w:bidi="ar"/>
              </w:rPr>
              <w:t>0</w:t>
            </w:r>
          </w:p>
        </w:tc>
      </w:tr>
      <w:tr w14:paraId="78BB3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top"/>
          </w:tcPr>
          <w:p w14:paraId="086C96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第二十条第（六）项</w:t>
            </w:r>
          </w:p>
        </w:tc>
      </w:tr>
      <w:tr w14:paraId="771BC4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top"/>
          </w:tcPr>
          <w:p w14:paraId="693629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top w:w="0" w:type="dxa"/>
              <w:left w:w="57" w:type="dxa"/>
              <w:bottom w:w="0" w:type="dxa"/>
              <w:right w:w="57" w:type="dxa"/>
            </w:tcMar>
            <w:vAlign w:val="top"/>
          </w:tcPr>
          <w:p w14:paraId="7CDB3B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本年处理决定数量</w:t>
            </w:r>
          </w:p>
        </w:tc>
      </w:tr>
      <w:tr w14:paraId="3B4ED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top"/>
          </w:tcPr>
          <w:p w14:paraId="4ABE2F8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BD9BE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rFonts w:hint="default" w:eastAsiaTheme="minorEastAsia"/>
                <w:i w:val="0"/>
                <w:iCs w:val="0"/>
                <w:color w:val="505050"/>
                <w:u w:val="none"/>
                <w:lang w:val="en-US" w:eastAsia="zh-CN"/>
              </w:rPr>
            </w:pPr>
            <w:r>
              <w:rPr>
                <w:rFonts w:hint="eastAsia"/>
                <w:i w:val="0"/>
                <w:iCs w:val="0"/>
                <w:color w:val="505050"/>
                <w:u w:val="none"/>
                <w:lang w:val="en-US" w:eastAsia="zh-CN"/>
              </w:rPr>
              <w:t>192</w:t>
            </w:r>
          </w:p>
        </w:tc>
      </w:tr>
      <w:tr w14:paraId="4A29B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top"/>
          </w:tcPr>
          <w:p w14:paraId="7AD6C4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533FFA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0</w:t>
            </w:r>
          </w:p>
        </w:tc>
      </w:tr>
      <w:tr w14:paraId="3F833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top"/>
          </w:tcPr>
          <w:p w14:paraId="6D845B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第二十条第（八）项</w:t>
            </w:r>
          </w:p>
        </w:tc>
      </w:tr>
      <w:tr w14:paraId="17AB1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top"/>
          </w:tcPr>
          <w:p w14:paraId="67B34F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DDEBF7"/>
            <w:tcMar>
              <w:top w:w="0" w:type="dxa"/>
              <w:left w:w="57" w:type="dxa"/>
              <w:bottom w:w="0" w:type="dxa"/>
              <w:right w:w="57" w:type="dxa"/>
            </w:tcMar>
            <w:vAlign w:val="top"/>
          </w:tcPr>
          <w:p w14:paraId="2E9FD8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本年收费金额（单位：万元）</w:t>
            </w:r>
          </w:p>
        </w:tc>
      </w:tr>
      <w:tr w14:paraId="33753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top"/>
          </w:tcPr>
          <w:p w14:paraId="7D65DF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i w:val="0"/>
                <w:iCs w:val="0"/>
                <w:color w:val="505050"/>
                <w:u w:val="none"/>
              </w:rPr>
            </w:pPr>
            <w:r>
              <w:rPr>
                <w:rFonts w:hint="eastAsia" w:ascii="宋体" w:hAnsi="宋体" w:eastAsia="宋体" w:cs="宋体"/>
                <w:i w:val="0"/>
                <w:iCs w:val="0"/>
                <w:color w:val="000000"/>
                <w:kern w:val="0"/>
                <w:sz w:val="20"/>
                <w:szCs w:val="20"/>
                <w:u w:val="none"/>
                <w:vertAlign w:val="baseline"/>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top"/>
          </w:tcPr>
          <w:p w14:paraId="5494D9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505050"/>
                <w:kern w:val="0"/>
                <w:sz w:val="24"/>
                <w:szCs w:val="24"/>
                <w:u w:val="none"/>
                <w:vertAlign w:val="baseline"/>
                <w:lang w:val="en-US" w:eastAsia="zh-CN" w:bidi="ar"/>
              </w:rPr>
              <w:t>0</w:t>
            </w:r>
          </w:p>
        </w:tc>
      </w:tr>
    </w:tbl>
    <w:p w14:paraId="2FB4E498">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三、收到和处理政府信息公开申请情况</w:t>
      </w:r>
    </w:p>
    <w:tbl>
      <w:tblPr>
        <w:tblStyle w:val="5"/>
        <w:tblW w:w="974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34"/>
        <w:gridCol w:w="1134"/>
        <w:gridCol w:w="2536"/>
        <w:gridCol w:w="737"/>
        <w:gridCol w:w="734"/>
        <w:gridCol w:w="734"/>
        <w:gridCol w:w="734"/>
        <w:gridCol w:w="734"/>
        <w:gridCol w:w="734"/>
        <w:gridCol w:w="737"/>
      </w:tblGrid>
      <w:tr w14:paraId="0D579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604" w:type="dxa"/>
            <w:gridSpan w:val="3"/>
            <w:vMerge w:val="restart"/>
            <w:tcBorders>
              <w:top w:val="single" w:color="auto" w:sz="8" w:space="0"/>
              <w:left w:val="single" w:color="auto" w:sz="8" w:space="0"/>
              <w:bottom w:val="inset" w:color="auto" w:sz="8" w:space="0"/>
              <w:right w:val="single" w:color="auto" w:sz="8" w:space="0"/>
            </w:tcBorders>
            <w:shd w:val="clear" w:color="auto" w:fill="9BC2E6"/>
            <w:tcMar>
              <w:top w:w="0" w:type="dxa"/>
              <w:left w:w="108" w:type="dxa"/>
              <w:bottom w:w="0" w:type="dxa"/>
              <w:right w:w="108" w:type="dxa"/>
            </w:tcMar>
            <w:vAlign w:val="top"/>
          </w:tcPr>
          <w:p w14:paraId="23395D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楷体" w:hAnsi="楷体" w:eastAsia="楷体" w:cs="楷体"/>
                <w:i w:val="0"/>
                <w:iCs w:val="0"/>
                <w:color w:val="000000"/>
                <w:kern w:val="0"/>
                <w:sz w:val="20"/>
                <w:szCs w:val="20"/>
                <w:u w:val="none"/>
                <w:vertAlign w:val="baseline"/>
                <w:lang w:val="en-US" w:eastAsia="zh-CN" w:bidi="ar"/>
              </w:rPr>
              <w:t>（本列数据的勾稽关系为：第一项加第二项之和，等于第三项加第四项之和）</w:t>
            </w:r>
          </w:p>
        </w:tc>
        <w:tc>
          <w:tcPr>
            <w:tcW w:w="5144" w:type="dxa"/>
            <w:gridSpan w:val="7"/>
            <w:tcBorders>
              <w:top w:val="single" w:color="auto" w:sz="8" w:space="0"/>
              <w:left w:val="nil"/>
              <w:bottom w:val="single" w:color="auto" w:sz="8" w:space="0"/>
              <w:right w:val="single" w:color="auto" w:sz="8" w:space="0"/>
            </w:tcBorders>
            <w:shd w:val="clear" w:color="auto" w:fill="9BC2E6"/>
            <w:tcMar>
              <w:top w:w="0" w:type="dxa"/>
              <w:left w:w="57" w:type="dxa"/>
              <w:bottom w:w="0" w:type="dxa"/>
              <w:right w:w="57" w:type="dxa"/>
            </w:tcMar>
            <w:vAlign w:val="top"/>
          </w:tcPr>
          <w:p w14:paraId="0B997F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申请人情况</w:t>
            </w:r>
          </w:p>
        </w:tc>
      </w:tr>
      <w:tr w14:paraId="76142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604"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top w:w="0" w:type="dxa"/>
              <w:left w:w="108" w:type="dxa"/>
              <w:bottom w:w="0" w:type="dxa"/>
              <w:right w:w="108" w:type="dxa"/>
            </w:tcMar>
            <w:vAlign w:val="top"/>
          </w:tcPr>
          <w:p w14:paraId="1F4CF7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737" w:type="dxa"/>
            <w:vMerge w:val="restart"/>
            <w:tcBorders>
              <w:top w:val="single" w:color="auto" w:sz="8" w:space="0"/>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top"/>
          </w:tcPr>
          <w:p w14:paraId="22DF3B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自然人</w:t>
            </w:r>
          </w:p>
        </w:tc>
        <w:tc>
          <w:tcPr>
            <w:tcW w:w="3670" w:type="dxa"/>
            <w:gridSpan w:val="5"/>
            <w:tcBorders>
              <w:top w:val="single" w:color="auto" w:sz="8" w:space="0"/>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top"/>
          </w:tcPr>
          <w:p w14:paraId="5F03A0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法人或其他组织</w:t>
            </w:r>
          </w:p>
        </w:tc>
        <w:tc>
          <w:tcPr>
            <w:tcW w:w="737" w:type="dxa"/>
            <w:vMerge w:val="restart"/>
            <w:tcBorders>
              <w:top w:val="single" w:color="auto" w:sz="8" w:space="0"/>
              <w:left w:val="single" w:color="auto" w:sz="8" w:space="0"/>
              <w:bottom w:val="inset" w:color="auto" w:sz="8" w:space="0"/>
              <w:right w:val="single" w:color="auto" w:sz="8" w:space="0"/>
            </w:tcBorders>
            <w:shd w:val="clear" w:color="auto" w:fill="9BC2E6"/>
            <w:tcMar>
              <w:top w:w="0" w:type="dxa"/>
              <w:left w:w="57" w:type="dxa"/>
              <w:bottom w:w="0" w:type="dxa"/>
              <w:right w:w="57" w:type="dxa"/>
            </w:tcMar>
            <w:vAlign w:val="top"/>
          </w:tcPr>
          <w:p w14:paraId="20143C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总计</w:t>
            </w:r>
          </w:p>
        </w:tc>
      </w:tr>
      <w:tr w14:paraId="085A67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8" w:hRule="atLeast"/>
          <w:jc w:val="center"/>
        </w:trPr>
        <w:tc>
          <w:tcPr>
            <w:tcW w:w="4604"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top w:w="0" w:type="dxa"/>
              <w:left w:w="108" w:type="dxa"/>
              <w:bottom w:w="0" w:type="dxa"/>
              <w:right w:w="108" w:type="dxa"/>
            </w:tcMar>
            <w:vAlign w:val="top"/>
          </w:tcPr>
          <w:p w14:paraId="317F5F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737" w:type="dxa"/>
            <w:vMerge w:val="continue"/>
            <w:tcBorders>
              <w:top w:val="single" w:color="auto" w:sz="8" w:space="0"/>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top"/>
          </w:tcPr>
          <w:p w14:paraId="1EF042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734" w:type="dxa"/>
            <w:tcBorders>
              <w:top w:val="single" w:color="auto" w:sz="8" w:space="0"/>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top"/>
          </w:tcPr>
          <w:p w14:paraId="63EEF5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商业</w:t>
            </w:r>
          </w:p>
          <w:p w14:paraId="224370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企业</w:t>
            </w:r>
          </w:p>
        </w:tc>
        <w:tc>
          <w:tcPr>
            <w:tcW w:w="734" w:type="dxa"/>
            <w:tcBorders>
              <w:top w:val="single" w:color="auto" w:sz="8" w:space="0"/>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top"/>
          </w:tcPr>
          <w:p w14:paraId="6847237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科研</w:t>
            </w:r>
          </w:p>
          <w:p w14:paraId="11B96A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机构</w:t>
            </w:r>
          </w:p>
        </w:tc>
        <w:tc>
          <w:tcPr>
            <w:tcW w:w="734" w:type="dxa"/>
            <w:tcBorders>
              <w:top w:val="single" w:color="auto" w:sz="8" w:space="0"/>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top"/>
          </w:tcPr>
          <w:p w14:paraId="7C0B80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社会公益组织</w:t>
            </w:r>
          </w:p>
        </w:tc>
        <w:tc>
          <w:tcPr>
            <w:tcW w:w="734" w:type="dxa"/>
            <w:tcBorders>
              <w:top w:val="single" w:color="auto" w:sz="8" w:space="0"/>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top"/>
          </w:tcPr>
          <w:p w14:paraId="685AF2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法律服务机构</w:t>
            </w:r>
          </w:p>
        </w:tc>
        <w:tc>
          <w:tcPr>
            <w:tcW w:w="734" w:type="dxa"/>
            <w:tcBorders>
              <w:top w:val="single" w:color="auto" w:sz="8" w:space="0"/>
              <w:left w:val="single" w:color="auto" w:sz="8" w:space="0"/>
              <w:bottom w:val="single" w:color="auto" w:sz="8" w:space="0"/>
              <w:right w:val="single" w:color="auto" w:sz="8" w:space="0"/>
            </w:tcBorders>
            <w:shd w:val="clear" w:color="auto" w:fill="9BC2E6"/>
            <w:tcMar>
              <w:top w:w="0" w:type="dxa"/>
              <w:left w:w="57" w:type="dxa"/>
              <w:bottom w:w="0" w:type="dxa"/>
              <w:right w:w="57" w:type="dxa"/>
            </w:tcMar>
            <w:vAlign w:val="top"/>
          </w:tcPr>
          <w:p w14:paraId="664DDF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其他</w:t>
            </w:r>
          </w:p>
        </w:tc>
        <w:tc>
          <w:tcPr>
            <w:tcW w:w="737" w:type="dxa"/>
            <w:vMerge w:val="continue"/>
            <w:tcBorders>
              <w:top w:val="single" w:color="auto" w:sz="8" w:space="0"/>
              <w:left w:val="single" w:color="auto" w:sz="8" w:space="0"/>
              <w:bottom w:val="inset" w:color="auto" w:sz="8" w:space="0"/>
              <w:right w:val="single" w:color="auto" w:sz="8" w:space="0"/>
            </w:tcBorders>
            <w:shd w:val="clear" w:color="auto" w:fill="9BC2E6"/>
            <w:tcMar>
              <w:top w:w="0" w:type="dxa"/>
              <w:left w:w="57" w:type="dxa"/>
              <w:bottom w:w="0" w:type="dxa"/>
              <w:right w:w="57" w:type="dxa"/>
            </w:tcMar>
            <w:vAlign w:val="top"/>
          </w:tcPr>
          <w:p w14:paraId="5F9058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rFonts w:hint="eastAsia" w:ascii="宋体" w:hAnsi="宋体" w:eastAsia="宋体" w:cs="宋体"/>
                <w:i w:val="0"/>
                <w:iCs w:val="0"/>
                <w:color w:val="000000"/>
                <w:kern w:val="0"/>
                <w:sz w:val="20"/>
                <w:szCs w:val="20"/>
                <w:u w:val="none"/>
                <w:vertAlign w:val="baseline"/>
                <w:lang w:val="en-US" w:eastAsia="zh-CN" w:bidi="ar"/>
              </w:rPr>
            </w:pPr>
          </w:p>
        </w:tc>
      </w:tr>
      <w:tr w14:paraId="4C00D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604" w:type="dxa"/>
            <w:gridSpan w:val="3"/>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top"/>
          </w:tcPr>
          <w:p w14:paraId="3B0E01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一、本年新收政府信息公开申请数量</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39105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rFonts w:hint="default"/>
                <w:i w:val="0"/>
                <w:iCs w:val="0"/>
                <w:color w:val="505050"/>
                <w:u w:val="none"/>
                <w:lang w:val="en-US"/>
              </w:rPr>
            </w:pPr>
            <w:r>
              <w:rPr>
                <w:rFonts w:hint="eastAsia" w:ascii="Calibri" w:hAnsi="Calibri" w:eastAsia="宋体" w:cs="Calibri"/>
                <w:i w:val="0"/>
                <w:iCs w:val="0"/>
                <w:color w:val="505050"/>
                <w:kern w:val="0"/>
                <w:sz w:val="20"/>
                <w:szCs w:val="20"/>
                <w:u w:val="none"/>
                <w:vertAlign w:val="baseline"/>
                <w:lang w:val="en-US" w:eastAsia="zh-CN" w:bidi="ar"/>
              </w:rPr>
              <w:t>18</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6904A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A15CD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F979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C2F23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3C9F3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B31E0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rFonts w:hint="default"/>
                <w:i w:val="0"/>
                <w:iCs w:val="0"/>
                <w:color w:val="505050"/>
                <w:u w:val="none"/>
                <w:lang w:val="en-US"/>
              </w:rPr>
            </w:pPr>
            <w:r>
              <w:rPr>
                <w:rFonts w:hint="eastAsia" w:ascii="Calibri" w:hAnsi="Calibri" w:eastAsia="宋体" w:cs="Calibri"/>
                <w:i w:val="0"/>
                <w:iCs w:val="0"/>
                <w:color w:val="505050"/>
                <w:kern w:val="0"/>
                <w:sz w:val="20"/>
                <w:szCs w:val="20"/>
                <w:u w:val="none"/>
                <w:vertAlign w:val="baseline"/>
                <w:lang w:val="en-US" w:eastAsia="zh-CN" w:bidi="ar"/>
              </w:rPr>
              <w:t>18</w:t>
            </w:r>
          </w:p>
        </w:tc>
      </w:tr>
      <w:tr w14:paraId="6A9DE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8" w:hRule="atLeast"/>
          <w:jc w:val="center"/>
        </w:trPr>
        <w:tc>
          <w:tcPr>
            <w:tcW w:w="4604" w:type="dxa"/>
            <w:gridSpan w:val="3"/>
            <w:tcBorders>
              <w:top w:val="nil"/>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top"/>
          </w:tcPr>
          <w:p w14:paraId="178832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二、上年结转政府信息公开申请数量</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4D715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9394B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63C8C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3755B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CE825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13C74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5505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r>
      <w:tr w14:paraId="4071E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934" w:type="dxa"/>
            <w:vMerge w:val="restart"/>
            <w:tcBorders>
              <w:top w:val="single" w:color="auto" w:sz="8" w:space="0"/>
              <w:left w:val="single" w:color="auto" w:sz="8" w:space="0"/>
              <w:bottom w:val="inset" w:color="auto" w:sz="8" w:space="0"/>
              <w:right w:val="single" w:color="auto" w:sz="8" w:space="0"/>
            </w:tcBorders>
            <w:shd w:val="clear" w:color="auto" w:fill="BDD7EE"/>
            <w:tcMar>
              <w:top w:w="0" w:type="dxa"/>
              <w:left w:w="57" w:type="dxa"/>
              <w:bottom w:w="0" w:type="dxa"/>
              <w:right w:w="57" w:type="dxa"/>
            </w:tcMar>
            <w:vAlign w:val="top"/>
          </w:tcPr>
          <w:p w14:paraId="7E3670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三、本年度办理结果</w:t>
            </w:r>
          </w:p>
        </w:tc>
        <w:tc>
          <w:tcPr>
            <w:tcW w:w="3670" w:type="dxa"/>
            <w:gridSpan w:val="2"/>
            <w:tcBorders>
              <w:top w:val="nil"/>
              <w:left w:val="nil"/>
              <w:bottom w:val="single" w:color="auto" w:sz="8" w:space="0"/>
              <w:right w:val="single" w:color="auto" w:sz="8" w:space="0"/>
            </w:tcBorders>
            <w:shd w:val="clear" w:color="auto" w:fill="DDEBF7"/>
            <w:tcMar>
              <w:top w:w="0" w:type="dxa"/>
              <w:left w:w="57" w:type="dxa"/>
              <w:bottom w:w="0" w:type="dxa"/>
              <w:right w:w="57" w:type="dxa"/>
            </w:tcMar>
            <w:vAlign w:val="top"/>
          </w:tcPr>
          <w:p w14:paraId="790508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（一）予以公开</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1EDC9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rFonts w:hint="default"/>
                <w:i w:val="0"/>
                <w:iCs w:val="0"/>
                <w:color w:val="505050"/>
                <w:u w:val="none"/>
                <w:lang w:val="en-US"/>
              </w:rPr>
            </w:pPr>
            <w:r>
              <w:rPr>
                <w:rFonts w:hint="eastAsia" w:ascii="Calibri" w:hAnsi="Calibri" w:eastAsia="宋体" w:cs="Calibri"/>
                <w:i w:val="0"/>
                <w:iCs w:val="0"/>
                <w:color w:val="505050"/>
                <w:kern w:val="0"/>
                <w:sz w:val="20"/>
                <w:szCs w:val="20"/>
                <w:u w:val="none"/>
                <w:vertAlign w:val="baseline"/>
                <w:lang w:val="en-US" w:eastAsia="zh-CN" w:bidi="ar"/>
              </w:rPr>
              <w:t>17</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B815D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4F952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A9E98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58C2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D8EEE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1830DB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rFonts w:hint="default"/>
                <w:i w:val="0"/>
                <w:iCs w:val="0"/>
                <w:color w:val="505050"/>
                <w:u w:val="none"/>
                <w:lang w:val="en-US"/>
              </w:rPr>
            </w:pPr>
            <w:r>
              <w:rPr>
                <w:rFonts w:hint="eastAsia" w:ascii="Calibri" w:hAnsi="Calibri" w:eastAsia="宋体" w:cs="Calibri"/>
                <w:i w:val="0"/>
                <w:iCs w:val="0"/>
                <w:color w:val="505050"/>
                <w:kern w:val="0"/>
                <w:sz w:val="20"/>
                <w:szCs w:val="20"/>
                <w:u w:val="none"/>
                <w:vertAlign w:val="baseline"/>
                <w:lang w:val="en-US" w:eastAsia="zh-CN" w:bidi="ar"/>
              </w:rPr>
              <w:t>17</w:t>
            </w:r>
          </w:p>
        </w:tc>
      </w:tr>
      <w:tr w14:paraId="245E2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934" w:type="dxa"/>
            <w:vMerge w:val="continue"/>
            <w:tcBorders>
              <w:top w:val="single" w:color="auto" w:sz="8" w:space="0"/>
              <w:left w:val="single" w:color="auto" w:sz="8" w:space="0"/>
              <w:bottom w:val="inset" w:color="auto" w:sz="8" w:space="0"/>
              <w:right w:val="single" w:color="auto" w:sz="8" w:space="0"/>
            </w:tcBorders>
            <w:shd w:val="clear" w:color="auto" w:fill="BDD7EE"/>
            <w:tcMar>
              <w:top w:w="0" w:type="dxa"/>
              <w:left w:w="57" w:type="dxa"/>
              <w:bottom w:w="0" w:type="dxa"/>
              <w:right w:w="57" w:type="dxa"/>
            </w:tcMar>
            <w:vAlign w:val="top"/>
          </w:tcPr>
          <w:p w14:paraId="371A77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3670" w:type="dxa"/>
            <w:gridSpan w:val="2"/>
            <w:tcBorders>
              <w:top w:val="nil"/>
              <w:left w:val="nil"/>
              <w:bottom w:val="single" w:color="auto" w:sz="8" w:space="0"/>
              <w:right w:val="single" w:color="auto" w:sz="8" w:space="0"/>
            </w:tcBorders>
            <w:shd w:val="clear" w:color="auto" w:fill="DDEBF7"/>
            <w:tcMar>
              <w:top w:w="0" w:type="dxa"/>
              <w:left w:w="57" w:type="dxa"/>
              <w:bottom w:w="0" w:type="dxa"/>
              <w:right w:w="57" w:type="dxa"/>
            </w:tcMar>
            <w:vAlign w:val="top"/>
          </w:tcPr>
          <w:p w14:paraId="0EAF2C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（二）部分公开</w:t>
            </w:r>
            <w:r>
              <w:rPr>
                <w:rFonts w:hint="eastAsia" w:ascii="楷体" w:hAnsi="楷体" w:eastAsia="楷体" w:cs="楷体"/>
                <w:i w:val="0"/>
                <w:iCs w:val="0"/>
                <w:color w:val="000000"/>
                <w:kern w:val="0"/>
                <w:sz w:val="20"/>
                <w:szCs w:val="20"/>
                <w:u w:val="none"/>
                <w:vertAlign w:val="baseline"/>
                <w:lang w:val="en-US" w:eastAsia="zh-CN" w:bidi="ar"/>
              </w:rPr>
              <w:t>（区分处理的，只计这一情形，不计其他情形）</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2C706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3F510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B1800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9948D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EAF20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8EA29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4A62B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r>
      <w:tr w14:paraId="593A0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934" w:type="dxa"/>
            <w:vMerge w:val="continue"/>
            <w:tcBorders>
              <w:top w:val="single" w:color="auto" w:sz="8" w:space="0"/>
              <w:left w:val="single" w:color="auto" w:sz="8" w:space="0"/>
              <w:bottom w:val="inset" w:color="auto" w:sz="8" w:space="0"/>
              <w:right w:val="single" w:color="auto" w:sz="8" w:space="0"/>
            </w:tcBorders>
            <w:shd w:val="clear" w:color="auto" w:fill="BDD7EE"/>
            <w:tcMar>
              <w:top w:w="0" w:type="dxa"/>
              <w:left w:w="57" w:type="dxa"/>
              <w:bottom w:w="0" w:type="dxa"/>
              <w:right w:w="57" w:type="dxa"/>
            </w:tcMar>
            <w:vAlign w:val="top"/>
          </w:tcPr>
          <w:p w14:paraId="460803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1134" w:type="dxa"/>
            <w:vMerge w:val="restart"/>
            <w:tcBorders>
              <w:top w:val="single" w:color="auto" w:sz="8" w:space="0"/>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top"/>
          </w:tcPr>
          <w:p w14:paraId="59DF48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（三）不予公开</w:t>
            </w:r>
          </w:p>
        </w:tc>
        <w:tc>
          <w:tcPr>
            <w:tcW w:w="2536" w:type="dxa"/>
            <w:tcBorders>
              <w:top w:val="nil"/>
              <w:left w:val="nil"/>
              <w:bottom w:val="single" w:color="auto" w:sz="8" w:space="0"/>
              <w:right w:val="single" w:color="auto" w:sz="8" w:space="0"/>
            </w:tcBorders>
            <w:shd w:val="clear" w:color="auto" w:fill="DDEBF7"/>
            <w:tcMar>
              <w:top w:w="0" w:type="dxa"/>
              <w:left w:w="57" w:type="dxa"/>
              <w:bottom w:w="0" w:type="dxa"/>
              <w:right w:w="57" w:type="dxa"/>
            </w:tcMar>
            <w:vAlign w:val="top"/>
          </w:tcPr>
          <w:p w14:paraId="6BD3FB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1.属于国家秘密</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873FD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71549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A0564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22BB6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45603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FFE16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206018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r>
      <w:tr w14:paraId="274EC4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934" w:type="dxa"/>
            <w:vMerge w:val="continue"/>
            <w:tcBorders>
              <w:top w:val="single" w:color="auto" w:sz="8" w:space="0"/>
              <w:left w:val="single" w:color="auto" w:sz="8" w:space="0"/>
              <w:bottom w:val="inset" w:color="auto" w:sz="8" w:space="0"/>
              <w:right w:val="single" w:color="auto" w:sz="8" w:space="0"/>
            </w:tcBorders>
            <w:shd w:val="clear" w:color="auto" w:fill="BDD7EE"/>
            <w:tcMar>
              <w:top w:w="0" w:type="dxa"/>
              <w:left w:w="57" w:type="dxa"/>
              <w:bottom w:w="0" w:type="dxa"/>
              <w:right w:w="57" w:type="dxa"/>
            </w:tcMar>
            <w:vAlign w:val="top"/>
          </w:tcPr>
          <w:p w14:paraId="565F8C1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1134" w:type="dxa"/>
            <w:vMerge w:val="continue"/>
            <w:tcBorders>
              <w:top w:val="single" w:color="auto" w:sz="8" w:space="0"/>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top"/>
          </w:tcPr>
          <w:p w14:paraId="24E62D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2536" w:type="dxa"/>
            <w:tcBorders>
              <w:top w:val="nil"/>
              <w:left w:val="nil"/>
              <w:bottom w:val="single" w:color="auto" w:sz="8" w:space="0"/>
              <w:right w:val="single" w:color="auto" w:sz="8" w:space="0"/>
            </w:tcBorders>
            <w:shd w:val="clear" w:color="auto" w:fill="DDEBF7"/>
            <w:tcMar>
              <w:top w:w="0" w:type="dxa"/>
              <w:left w:w="57" w:type="dxa"/>
              <w:bottom w:w="0" w:type="dxa"/>
              <w:right w:w="57" w:type="dxa"/>
            </w:tcMar>
            <w:vAlign w:val="top"/>
          </w:tcPr>
          <w:p w14:paraId="4423C8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2.其他法律行政法规禁止公开</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5C17C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leftChars="0" w:right="0" w:rightChars="0" w:firstLine="0" w:firstLineChars="0"/>
              <w:jc w:val="center"/>
              <w:textAlignment w:val="baseline"/>
              <w:rPr>
                <w:rFonts w:asciiTheme="minorHAnsi" w:hAnsiTheme="minorHAnsi" w:eastAsiaTheme="minorEastAsia" w:cstheme="minorBidi"/>
                <w:i w:val="0"/>
                <w:iCs w:val="0"/>
                <w:color w:val="505050"/>
                <w:kern w:val="2"/>
                <w:sz w:val="21"/>
                <w:szCs w:val="24"/>
                <w:u w:val="none"/>
                <w:lang w:val="en-US" w:eastAsia="zh-CN" w:bidi="ar-SA"/>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01EFA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leftChars="0" w:right="0" w:rightChars="0" w:firstLine="0" w:firstLineChars="0"/>
              <w:jc w:val="center"/>
              <w:textAlignment w:val="baseline"/>
              <w:rPr>
                <w:rFonts w:asciiTheme="minorHAnsi" w:hAnsiTheme="minorHAnsi" w:eastAsiaTheme="minorEastAsia" w:cstheme="minorBidi"/>
                <w:i w:val="0"/>
                <w:iCs w:val="0"/>
                <w:color w:val="505050"/>
                <w:kern w:val="2"/>
                <w:sz w:val="21"/>
                <w:szCs w:val="24"/>
                <w:u w:val="none"/>
                <w:lang w:val="en-US" w:eastAsia="zh-CN" w:bidi="ar-SA"/>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287A6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leftChars="0" w:right="0" w:rightChars="0" w:firstLine="0" w:firstLineChars="0"/>
              <w:jc w:val="center"/>
              <w:textAlignment w:val="baseline"/>
              <w:rPr>
                <w:rFonts w:asciiTheme="minorHAnsi" w:hAnsiTheme="minorHAnsi" w:eastAsiaTheme="minorEastAsia" w:cstheme="minorBidi"/>
                <w:i w:val="0"/>
                <w:iCs w:val="0"/>
                <w:color w:val="505050"/>
                <w:kern w:val="2"/>
                <w:sz w:val="21"/>
                <w:szCs w:val="24"/>
                <w:u w:val="none"/>
                <w:lang w:val="en-US" w:eastAsia="zh-CN" w:bidi="ar-SA"/>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43E1E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leftChars="0" w:right="0" w:rightChars="0" w:firstLine="0" w:firstLineChars="0"/>
              <w:jc w:val="center"/>
              <w:textAlignment w:val="baseline"/>
              <w:rPr>
                <w:rFonts w:asciiTheme="minorHAnsi" w:hAnsiTheme="minorHAnsi" w:eastAsiaTheme="minorEastAsia" w:cstheme="minorBidi"/>
                <w:i w:val="0"/>
                <w:iCs w:val="0"/>
                <w:color w:val="505050"/>
                <w:kern w:val="2"/>
                <w:sz w:val="21"/>
                <w:szCs w:val="24"/>
                <w:u w:val="none"/>
                <w:lang w:val="en-US" w:eastAsia="zh-CN" w:bidi="ar-SA"/>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E7223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leftChars="0" w:right="0" w:rightChars="0" w:firstLine="0" w:firstLineChars="0"/>
              <w:jc w:val="center"/>
              <w:textAlignment w:val="baseline"/>
              <w:rPr>
                <w:rFonts w:asciiTheme="minorHAnsi" w:hAnsiTheme="minorHAnsi" w:eastAsiaTheme="minorEastAsia" w:cstheme="minorBidi"/>
                <w:i w:val="0"/>
                <w:iCs w:val="0"/>
                <w:color w:val="505050"/>
                <w:kern w:val="2"/>
                <w:sz w:val="21"/>
                <w:szCs w:val="24"/>
                <w:u w:val="none"/>
                <w:lang w:val="en-US" w:eastAsia="zh-CN" w:bidi="ar-SA"/>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91D50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leftChars="0" w:right="0" w:rightChars="0" w:firstLine="0" w:firstLineChars="0"/>
              <w:jc w:val="center"/>
              <w:textAlignment w:val="baseline"/>
              <w:rPr>
                <w:rFonts w:asciiTheme="minorHAnsi" w:hAnsiTheme="minorHAnsi" w:eastAsiaTheme="minorEastAsia" w:cstheme="minorBidi"/>
                <w:i w:val="0"/>
                <w:iCs w:val="0"/>
                <w:color w:val="505050"/>
                <w:kern w:val="2"/>
                <w:sz w:val="21"/>
                <w:szCs w:val="24"/>
                <w:u w:val="none"/>
                <w:lang w:val="en-US" w:eastAsia="zh-CN" w:bidi="ar-SA"/>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59307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leftChars="0" w:right="0" w:rightChars="0" w:firstLine="0" w:firstLineChars="0"/>
              <w:jc w:val="center"/>
              <w:textAlignment w:val="baseline"/>
              <w:rPr>
                <w:rFonts w:asciiTheme="minorHAnsi" w:hAnsiTheme="minorHAnsi" w:eastAsiaTheme="minorEastAsia" w:cstheme="minorBidi"/>
                <w:i w:val="0"/>
                <w:iCs w:val="0"/>
                <w:color w:val="505050"/>
                <w:kern w:val="2"/>
                <w:sz w:val="21"/>
                <w:szCs w:val="24"/>
                <w:u w:val="none"/>
                <w:lang w:val="en-US" w:eastAsia="zh-CN" w:bidi="ar-SA"/>
              </w:rPr>
            </w:pPr>
            <w:r>
              <w:rPr>
                <w:rFonts w:hint="default" w:ascii="Calibri" w:hAnsi="Calibri" w:eastAsia="宋体" w:cs="Calibri"/>
                <w:i w:val="0"/>
                <w:iCs w:val="0"/>
                <w:color w:val="505050"/>
                <w:kern w:val="0"/>
                <w:sz w:val="20"/>
                <w:szCs w:val="20"/>
                <w:u w:val="none"/>
                <w:vertAlign w:val="baseline"/>
                <w:lang w:val="en-US" w:eastAsia="zh-CN" w:bidi="ar"/>
              </w:rPr>
              <w:t>0</w:t>
            </w:r>
          </w:p>
        </w:tc>
      </w:tr>
      <w:tr w14:paraId="5D0CC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934" w:type="dxa"/>
            <w:vMerge w:val="continue"/>
            <w:tcBorders>
              <w:top w:val="single" w:color="auto" w:sz="8" w:space="0"/>
              <w:left w:val="single" w:color="auto" w:sz="8" w:space="0"/>
              <w:bottom w:val="inset" w:color="auto" w:sz="8" w:space="0"/>
              <w:right w:val="single" w:color="auto" w:sz="8" w:space="0"/>
            </w:tcBorders>
            <w:shd w:val="clear" w:color="auto" w:fill="BDD7EE"/>
            <w:tcMar>
              <w:top w:w="0" w:type="dxa"/>
              <w:left w:w="57" w:type="dxa"/>
              <w:bottom w:w="0" w:type="dxa"/>
              <w:right w:w="57" w:type="dxa"/>
            </w:tcMar>
            <w:vAlign w:val="top"/>
          </w:tcPr>
          <w:p w14:paraId="683D7E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1134" w:type="dxa"/>
            <w:vMerge w:val="continue"/>
            <w:tcBorders>
              <w:top w:val="single" w:color="auto" w:sz="8" w:space="0"/>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top"/>
          </w:tcPr>
          <w:p w14:paraId="3E4413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2536" w:type="dxa"/>
            <w:tcBorders>
              <w:top w:val="nil"/>
              <w:left w:val="nil"/>
              <w:bottom w:val="single" w:color="auto" w:sz="8" w:space="0"/>
              <w:right w:val="single" w:color="auto" w:sz="8" w:space="0"/>
            </w:tcBorders>
            <w:shd w:val="clear" w:color="auto" w:fill="DDEBF7"/>
            <w:tcMar>
              <w:top w:w="0" w:type="dxa"/>
              <w:left w:w="57" w:type="dxa"/>
              <w:bottom w:w="0" w:type="dxa"/>
              <w:right w:w="57" w:type="dxa"/>
            </w:tcMar>
            <w:vAlign w:val="top"/>
          </w:tcPr>
          <w:p w14:paraId="25ECCC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3.危及“三安全一稳定”</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AD677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A8260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1BDA0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48C3D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A22E6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087AC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58B1C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r>
      <w:tr w14:paraId="08428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934" w:type="dxa"/>
            <w:vMerge w:val="continue"/>
            <w:tcBorders>
              <w:top w:val="single" w:color="auto" w:sz="8" w:space="0"/>
              <w:left w:val="single" w:color="auto" w:sz="8" w:space="0"/>
              <w:bottom w:val="inset" w:color="auto" w:sz="8" w:space="0"/>
              <w:right w:val="single" w:color="auto" w:sz="8" w:space="0"/>
            </w:tcBorders>
            <w:shd w:val="clear" w:color="auto" w:fill="BDD7EE"/>
            <w:tcMar>
              <w:top w:w="0" w:type="dxa"/>
              <w:left w:w="57" w:type="dxa"/>
              <w:bottom w:w="0" w:type="dxa"/>
              <w:right w:w="57" w:type="dxa"/>
            </w:tcMar>
            <w:vAlign w:val="top"/>
          </w:tcPr>
          <w:p w14:paraId="04EF82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1134" w:type="dxa"/>
            <w:vMerge w:val="continue"/>
            <w:tcBorders>
              <w:top w:val="single" w:color="auto" w:sz="8" w:space="0"/>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top"/>
          </w:tcPr>
          <w:p w14:paraId="0FB835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2536" w:type="dxa"/>
            <w:tcBorders>
              <w:top w:val="nil"/>
              <w:left w:val="nil"/>
              <w:bottom w:val="single" w:color="auto" w:sz="8" w:space="0"/>
              <w:right w:val="single" w:color="auto" w:sz="8" w:space="0"/>
            </w:tcBorders>
            <w:shd w:val="clear" w:color="auto" w:fill="DDEBF7"/>
            <w:tcMar>
              <w:top w:w="0" w:type="dxa"/>
              <w:left w:w="57" w:type="dxa"/>
              <w:bottom w:w="0" w:type="dxa"/>
              <w:right w:w="57" w:type="dxa"/>
            </w:tcMar>
            <w:vAlign w:val="top"/>
          </w:tcPr>
          <w:p w14:paraId="7329AD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4.保护第三方合法权益</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1C292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95645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6FF5A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71596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B6AB8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A8DA2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D1B3B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rFonts w:hint="default"/>
                <w:i w:val="0"/>
                <w:iCs w:val="0"/>
                <w:color w:val="505050"/>
                <w:u w:val="none"/>
                <w:lang w:val="en-US"/>
              </w:rPr>
            </w:pPr>
            <w:r>
              <w:rPr>
                <w:rFonts w:hint="eastAsia" w:ascii="Calibri" w:hAnsi="Calibri" w:eastAsia="宋体" w:cs="Calibri"/>
                <w:i w:val="0"/>
                <w:iCs w:val="0"/>
                <w:color w:val="505050"/>
                <w:kern w:val="0"/>
                <w:sz w:val="20"/>
                <w:szCs w:val="20"/>
                <w:u w:val="none"/>
                <w:vertAlign w:val="baseline"/>
                <w:lang w:val="en-US" w:eastAsia="zh-CN" w:bidi="ar"/>
              </w:rPr>
              <w:t>0</w:t>
            </w:r>
          </w:p>
        </w:tc>
      </w:tr>
      <w:tr w14:paraId="6932B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934" w:type="dxa"/>
            <w:vMerge w:val="continue"/>
            <w:tcBorders>
              <w:top w:val="single" w:color="auto" w:sz="8" w:space="0"/>
              <w:left w:val="single" w:color="auto" w:sz="8" w:space="0"/>
              <w:bottom w:val="inset" w:color="auto" w:sz="8" w:space="0"/>
              <w:right w:val="single" w:color="auto" w:sz="8" w:space="0"/>
            </w:tcBorders>
            <w:shd w:val="clear" w:color="auto" w:fill="BDD7EE"/>
            <w:tcMar>
              <w:top w:w="0" w:type="dxa"/>
              <w:left w:w="57" w:type="dxa"/>
              <w:bottom w:w="0" w:type="dxa"/>
              <w:right w:w="57" w:type="dxa"/>
            </w:tcMar>
            <w:vAlign w:val="top"/>
          </w:tcPr>
          <w:p w14:paraId="4CFE35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1134" w:type="dxa"/>
            <w:vMerge w:val="continue"/>
            <w:tcBorders>
              <w:top w:val="single" w:color="auto" w:sz="8" w:space="0"/>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top"/>
          </w:tcPr>
          <w:p w14:paraId="4124DE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2536" w:type="dxa"/>
            <w:tcBorders>
              <w:top w:val="nil"/>
              <w:left w:val="nil"/>
              <w:bottom w:val="single" w:color="auto" w:sz="8" w:space="0"/>
              <w:right w:val="single" w:color="auto" w:sz="8" w:space="0"/>
            </w:tcBorders>
            <w:shd w:val="clear" w:color="auto" w:fill="DDEBF7"/>
            <w:tcMar>
              <w:top w:w="0" w:type="dxa"/>
              <w:left w:w="57" w:type="dxa"/>
              <w:bottom w:w="0" w:type="dxa"/>
              <w:right w:w="57" w:type="dxa"/>
            </w:tcMar>
            <w:vAlign w:val="top"/>
          </w:tcPr>
          <w:p w14:paraId="38FFE6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5.属于三类内部事务信息</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15F0A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B6764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7F70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AF9CB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AD17A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43372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E7F37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r>
      <w:tr w14:paraId="48267B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934" w:type="dxa"/>
            <w:vMerge w:val="continue"/>
            <w:tcBorders>
              <w:top w:val="single" w:color="auto" w:sz="8" w:space="0"/>
              <w:left w:val="single" w:color="auto" w:sz="8" w:space="0"/>
              <w:bottom w:val="inset" w:color="auto" w:sz="8" w:space="0"/>
              <w:right w:val="single" w:color="auto" w:sz="8" w:space="0"/>
            </w:tcBorders>
            <w:shd w:val="clear" w:color="auto" w:fill="BDD7EE"/>
            <w:tcMar>
              <w:top w:w="0" w:type="dxa"/>
              <w:left w:w="57" w:type="dxa"/>
              <w:bottom w:w="0" w:type="dxa"/>
              <w:right w:w="57" w:type="dxa"/>
            </w:tcMar>
            <w:vAlign w:val="top"/>
          </w:tcPr>
          <w:p w14:paraId="0C4B87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1134" w:type="dxa"/>
            <w:vMerge w:val="continue"/>
            <w:tcBorders>
              <w:top w:val="single" w:color="auto" w:sz="8" w:space="0"/>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top"/>
          </w:tcPr>
          <w:p w14:paraId="3348F3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2536" w:type="dxa"/>
            <w:tcBorders>
              <w:top w:val="nil"/>
              <w:left w:val="nil"/>
              <w:bottom w:val="single" w:color="auto" w:sz="8" w:space="0"/>
              <w:right w:val="single" w:color="auto" w:sz="8" w:space="0"/>
            </w:tcBorders>
            <w:shd w:val="clear" w:color="auto" w:fill="DDEBF7"/>
            <w:tcMar>
              <w:top w:w="0" w:type="dxa"/>
              <w:left w:w="57" w:type="dxa"/>
              <w:bottom w:w="0" w:type="dxa"/>
              <w:right w:w="57" w:type="dxa"/>
            </w:tcMar>
            <w:vAlign w:val="top"/>
          </w:tcPr>
          <w:p w14:paraId="37A078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6.属于四类过程性信息</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73CD7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60CF7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C9D2A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E377D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94413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6184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7141A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r>
      <w:tr w14:paraId="0080BE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934" w:type="dxa"/>
            <w:vMerge w:val="continue"/>
            <w:tcBorders>
              <w:top w:val="single" w:color="auto" w:sz="8" w:space="0"/>
              <w:left w:val="single" w:color="auto" w:sz="8" w:space="0"/>
              <w:bottom w:val="inset" w:color="auto" w:sz="8" w:space="0"/>
              <w:right w:val="single" w:color="auto" w:sz="8" w:space="0"/>
            </w:tcBorders>
            <w:shd w:val="clear" w:color="auto" w:fill="BDD7EE"/>
            <w:tcMar>
              <w:top w:w="0" w:type="dxa"/>
              <w:left w:w="57" w:type="dxa"/>
              <w:bottom w:w="0" w:type="dxa"/>
              <w:right w:w="57" w:type="dxa"/>
            </w:tcMar>
            <w:vAlign w:val="top"/>
          </w:tcPr>
          <w:p w14:paraId="086338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1134" w:type="dxa"/>
            <w:vMerge w:val="continue"/>
            <w:tcBorders>
              <w:top w:val="single" w:color="auto" w:sz="8" w:space="0"/>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top"/>
          </w:tcPr>
          <w:p w14:paraId="0F1584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2536" w:type="dxa"/>
            <w:tcBorders>
              <w:top w:val="nil"/>
              <w:left w:val="nil"/>
              <w:bottom w:val="single" w:color="auto" w:sz="8" w:space="0"/>
              <w:right w:val="single" w:color="auto" w:sz="8" w:space="0"/>
            </w:tcBorders>
            <w:shd w:val="clear" w:color="auto" w:fill="DDEBF7"/>
            <w:tcMar>
              <w:top w:w="0" w:type="dxa"/>
              <w:left w:w="57" w:type="dxa"/>
              <w:bottom w:w="0" w:type="dxa"/>
              <w:right w:w="57" w:type="dxa"/>
            </w:tcMar>
            <w:vAlign w:val="top"/>
          </w:tcPr>
          <w:p w14:paraId="583DB4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7.属于行政执法案卷</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5587C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6993D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1C95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49E70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BCE02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C4369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E046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r>
      <w:tr w14:paraId="78BF7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934" w:type="dxa"/>
            <w:vMerge w:val="continue"/>
            <w:tcBorders>
              <w:top w:val="single" w:color="auto" w:sz="8" w:space="0"/>
              <w:left w:val="single" w:color="auto" w:sz="8" w:space="0"/>
              <w:bottom w:val="inset" w:color="auto" w:sz="8" w:space="0"/>
              <w:right w:val="single" w:color="auto" w:sz="8" w:space="0"/>
            </w:tcBorders>
            <w:shd w:val="clear" w:color="auto" w:fill="BDD7EE"/>
            <w:tcMar>
              <w:top w:w="0" w:type="dxa"/>
              <w:left w:w="57" w:type="dxa"/>
              <w:bottom w:w="0" w:type="dxa"/>
              <w:right w:w="57" w:type="dxa"/>
            </w:tcMar>
            <w:vAlign w:val="top"/>
          </w:tcPr>
          <w:p w14:paraId="41AB0F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1134" w:type="dxa"/>
            <w:vMerge w:val="continue"/>
            <w:tcBorders>
              <w:top w:val="single" w:color="auto" w:sz="8" w:space="0"/>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top"/>
          </w:tcPr>
          <w:p w14:paraId="27493F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2536" w:type="dxa"/>
            <w:tcBorders>
              <w:top w:val="nil"/>
              <w:left w:val="nil"/>
              <w:bottom w:val="single" w:color="auto" w:sz="8" w:space="0"/>
              <w:right w:val="single" w:color="auto" w:sz="8" w:space="0"/>
            </w:tcBorders>
            <w:shd w:val="clear" w:color="auto" w:fill="DDEBF7"/>
            <w:tcMar>
              <w:top w:w="0" w:type="dxa"/>
              <w:left w:w="57" w:type="dxa"/>
              <w:bottom w:w="0" w:type="dxa"/>
              <w:right w:w="57" w:type="dxa"/>
            </w:tcMar>
            <w:vAlign w:val="top"/>
          </w:tcPr>
          <w:p w14:paraId="0C70AB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8.属于行政查询事项</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F36BA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B073A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A014A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6918B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125C9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274F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46E64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r>
      <w:tr w14:paraId="063D0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934" w:type="dxa"/>
            <w:vMerge w:val="continue"/>
            <w:tcBorders>
              <w:top w:val="single" w:color="auto" w:sz="8" w:space="0"/>
              <w:left w:val="single" w:color="auto" w:sz="8" w:space="0"/>
              <w:bottom w:val="inset" w:color="auto" w:sz="8" w:space="0"/>
              <w:right w:val="single" w:color="auto" w:sz="8" w:space="0"/>
            </w:tcBorders>
            <w:shd w:val="clear" w:color="auto" w:fill="BDD7EE"/>
            <w:tcMar>
              <w:top w:w="0" w:type="dxa"/>
              <w:left w:w="57" w:type="dxa"/>
              <w:bottom w:w="0" w:type="dxa"/>
              <w:right w:w="57" w:type="dxa"/>
            </w:tcMar>
            <w:vAlign w:val="top"/>
          </w:tcPr>
          <w:p w14:paraId="7BD8BB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1134" w:type="dxa"/>
            <w:vMerge w:val="restart"/>
            <w:tcBorders>
              <w:top w:val="single" w:color="auto" w:sz="8" w:space="0"/>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top"/>
          </w:tcPr>
          <w:p w14:paraId="4682672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（四）无法提供</w:t>
            </w:r>
          </w:p>
        </w:tc>
        <w:tc>
          <w:tcPr>
            <w:tcW w:w="2536" w:type="dxa"/>
            <w:tcBorders>
              <w:top w:val="nil"/>
              <w:left w:val="nil"/>
              <w:bottom w:val="single" w:color="auto" w:sz="8" w:space="0"/>
              <w:right w:val="single" w:color="auto" w:sz="8" w:space="0"/>
            </w:tcBorders>
            <w:shd w:val="clear" w:color="auto" w:fill="DDEBF7"/>
            <w:tcMar>
              <w:top w:w="0" w:type="dxa"/>
              <w:left w:w="57" w:type="dxa"/>
              <w:bottom w:w="0" w:type="dxa"/>
              <w:right w:w="57" w:type="dxa"/>
            </w:tcMar>
            <w:vAlign w:val="top"/>
          </w:tcPr>
          <w:p w14:paraId="633FA8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1.本机关不掌握相关政府信息</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FA234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97AB9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7B4B3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493F2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95AF1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6F1B8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6615F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r>
      <w:tr w14:paraId="42A25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934" w:type="dxa"/>
            <w:vMerge w:val="continue"/>
            <w:tcBorders>
              <w:top w:val="single" w:color="auto" w:sz="8" w:space="0"/>
              <w:left w:val="single" w:color="auto" w:sz="8" w:space="0"/>
              <w:bottom w:val="inset" w:color="auto" w:sz="8" w:space="0"/>
              <w:right w:val="single" w:color="auto" w:sz="8" w:space="0"/>
            </w:tcBorders>
            <w:shd w:val="clear" w:color="auto" w:fill="BDD7EE"/>
            <w:tcMar>
              <w:top w:w="0" w:type="dxa"/>
              <w:left w:w="57" w:type="dxa"/>
              <w:bottom w:w="0" w:type="dxa"/>
              <w:right w:w="57" w:type="dxa"/>
            </w:tcMar>
            <w:vAlign w:val="top"/>
          </w:tcPr>
          <w:p w14:paraId="52FBBA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1134" w:type="dxa"/>
            <w:vMerge w:val="continue"/>
            <w:tcBorders>
              <w:top w:val="single" w:color="auto" w:sz="8" w:space="0"/>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top"/>
          </w:tcPr>
          <w:p w14:paraId="071DF22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2536" w:type="dxa"/>
            <w:tcBorders>
              <w:top w:val="nil"/>
              <w:left w:val="nil"/>
              <w:bottom w:val="single" w:color="auto" w:sz="8" w:space="0"/>
              <w:right w:val="single" w:color="auto" w:sz="8" w:space="0"/>
            </w:tcBorders>
            <w:shd w:val="clear" w:color="auto" w:fill="DDEBF7"/>
            <w:tcMar>
              <w:top w:w="0" w:type="dxa"/>
              <w:left w:w="57" w:type="dxa"/>
              <w:bottom w:w="0" w:type="dxa"/>
              <w:right w:w="57" w:type="dxa"/>
            </w:tcMar>
            <w:vAlign w:val="top"/>
          </w:tcPr>
          <w:p w14:paraId="41C52E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2.没有现成信息需要另行制作</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926F5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75E71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66E52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E5AC4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47611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584BA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F215E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r>
      <w:tr w14:paraId="0DFB3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934" w:type="dxa"/>
            <w:vMerge w:val="continue"/>
            <w:tcBorders>
              <w:top w:val="single" w:color="auto" w:sz="8" w:space="0"/>
              <w:left w:val="single" w:color="auto" w:sz="8" w:space="0"/>
              <w:bottom w:val="inset" w:color="auto" w:sz="8" w:space="0"/>
              <w:right w:val="single" w:color="auto" w:sz="8" w:space="0"/>
            </w:tcBorders>
            <w:shd w:val="clear" w:color="auto" w:fill="BDD7EE"/>
            <w:tcMar>
              <w:top w:w="0" w:type="dxa"/>
              <w:left w:w="57" w:type="dxa"/>
              <w:bottom w:w="0" w:type="dxa"/>
              <w:right w:w="57" w:type="dxa"/>
            </w:tcMar>
            <w:vAlign w:val="top"/>
          </w:tcPr>
          <w:p w14:paraId="07E6A0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1134" w:type="dxa"/>
            <w:vMerge w:val="continue"/>
            <w:tcBorders>
              <w:top w:val="single" w:color="auto" w:sz="8" w:space="0"/>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top"/>
          </w:tcPr>
          <w:p w14:paraId="6C9740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2536" w:type="dxa"/>
            <w:tcBorders>
              <w:top w:val="nil"/>
              <w:left w:val="nil"/>
              <w:bottom w:val="single" w:color="auto" w:sz="8" w:space="0"/>
              <w:right w:val="single" w:color="auto" w:sz="8" w:space="0"/>
            </w:tcBorders>
            <w:shd w:val="clear" w:color="auto" w:fill="DDEBF7"/>
            <w:tcMar>
              <w:top w:w="0" w:type="dxa"/>
              <w:left w:w="57" w:type="dxa"/>
              <w:bottom w:w="0" w:type="dxa"/>
              <w:right w:w="57" w:type="dxa"/>
            </w:tcMar>
            <w:vAlign w:val="top"/>
          </w:tcPr>
          <w:p w14:paraId="59A8AE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3.补正后申请内容仍不明确</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84927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D6CA0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79656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535C0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B488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18D9F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9EA3C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r>
      <w:tr w14:paraId="156CE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934" w:type="dxa"/>
            <w:vMerge w:val="continue"/>
            <w:tcBorders>
              <w:top w:val="single" w:color="auto" w:sz="8" w:space="0"/>
              <w:left w:val="single" w:color="auto" w:sz="8" w:space="0"/>
              <w:bottom w:val="inset" w:color="auto" w:sz="8" w:space="0"/>
              <w:right w:val="single" w:color="auto" w:sz="8" w:space="0"/>
            </w:tcBorders>
            <w:shd w:val="clear" w:color="auto" w:fill="BDD7EE"/>
            <w:tcMar>
              <w:top w:w="0" w:type="dxa"/>
              <w:left w:w="57" w:type="dxa"/>
              <w:bottom w:w="0" w:type="dxa"/>
              <w:right w:w="57" w:type="dxa"/>
            </w:tcMar>
            <w:vAlign w:val="top"/>
          </w:tcPr>
          <w:p w14:paraId="52A4DF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1134" w:type="dxa"/>
            <w:vMerge w:val="restart"/>
            <w:tcBorders>
              <w:top w:val="single" w:color="auto" w:sz="8" w:space="0"/>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top"/>
          </w:tcPr>
          <w:p w14:paraId="39F0AE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（五）不予处理</w:t>
            </w:r>
          </w:p>
        </w:tc>
        <w:tc>
          <w:tcPr>
            <w:tcW w:w="2536" w:type="dxa"/>
            <w:tcBorders>
              <w:top w:val="nil"/>
              <w:left w:val="nil"/>
              <w:bottom w:val="single" w:color="auto" w:sz="8" w:space="0"/>
              <w:right w:val="single" w:color="auto" w:sz="8" w:space="0"/>
            </w:tcBorders>
            <w:shd w:val="clear" w:color="auto" w:fill="DDEBF7"/>
            <w:tcMar>
              <w:top w:w="0" w:type="dxa"/>
              <w:left w:w="57" w:type="dxa"/>
              <w:bottom w:w="0" w:type="dxa"/>
              <w:right w:w="57" w:type="dxa"/>
            </w:tcMar>
            <w:vAlign w:val="top"/>
          </w:tcPr>
          <w:p w14:paraId="3F7B2F8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1.信访举报投诉类申请</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1DEC8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182A9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784FF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4C563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07FEA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3F1E3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477B9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r>
      <w:tr w14:paraId="17C888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934" w:type="dxa"/>
            <w:vMerge w:val="continue"/>
            <w:tcBorders>
              <w:top w:val="single" w:color="auto" w:sz="8" w:space="0"/>
              <w:left w:val="single" w:color="auto" w:sz="8" w:space="0"/>
              <w:bottom w:val="inset" w:color="auto" w:sz="8" w:space="0"/>
              <w:right w:val="single" w:color="auto" w:sz="8" w:space="0"/>
            </w:tcBorders>
            <w:shd w:val="clear" w:color="auto" w:fill="BDD7EE"/>
            <w:tcMar>
              <w:top w:w="0" w:type="dxa"/>
              <w:left w:w="57" w:type="dxa"/>
              <w:bottom w:w="0" w:type="dxa"/>
              <w:right w:w="57" w:type="dxa"/>
            </w:tcMar>
            <w:vAlign w:val="top"/>
          </w:tcPr>
          <w:p w14:paraId="513402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1134" w:type="dxa"/>
            <w:vMerge w:val="continue"/>
            <w:tcBorders>
              <w:top w:val="single" w:color="auto" w:sz="8" w:space="0"/>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top"/>
          </w:tcPr>
          <w:p w14:paraId="2897F9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2536" w:type="dxa"/>
            <w:tcBorders>
              <w:top w:val="nil"/>
              <w:left w:val="nil"/>
              <w:bottom w:val="single" w:color="auto" w:sz="8" w:space="0"/>
              <w:right w:val="single" w:color="auto" w:sz="8" w:space="0"/>
            </w:tcBorders>
            <w:shd w:val="clear" w:color="auto" w:fill="DDEBF7"/>
            <w:tcMar>
              <w:top w:w="0" w:type="dxa"/>
              <w:left w:w="57" w:type="dxa"/>
              <w:bottom w:w="0" w:type="dxa"/>
              <w:right w:w="57" w:type="dxa"/>
            </w:tcMar>
            <w:vAlign w:val="top"/>
          </w:tcPr>
          <w:p w14:paraId="364F98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2.重复申请</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CBC0E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03B92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4EBA0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46F27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BE6587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57A65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182E9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r>
      <w:tr w14:paraId="680F0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934" w:type="dxa"/>
            <w:vMerge w:val="continue"/>
            <w:tcBorders>
              <w:top w:val="single" w:color="auto" w:sz="8" w:space="0"/>
              <w:left w:val="single" w:color="auto" w:sz="8" w:space="0"/>
              <w:bottom w:val="inset" w:color="auto" w:sz="8" w:space="0"/>
              <w:right w:val="single" w:color="auto" w:sz="8" w:space="0"/>
            </w:tcBorders>
            <w:shd w:val="clear" w:color="auto" w:fill="BDD7EE"/>
            <w:tcMar>
              <w:top w:w="0" w:type="dxa"/>
              <w:left w:w="57" w:type="dxa"/>
              <w:bottom w:w="0" w:type="dxa"/>
              <w:right w:w="57" w:type="dxa"/>
            </w:tcMar>
            <w:vAlign w:val="top"/>
          </w:tcPr>
          <w:p w14:paraId="5B4709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1134" w:type="dxa"/>
            <w:vMerge w:val="continue"/>
            <w:tcBorders>
              <w:top w:val="single" w:color="auto" w:sz="8" w:space="0"/>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top"/>
          </w:tcPr>
          <w:p w14:paraId="29908B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2536" w:type="dxa"/>
            <w:tcBorders>
              <w:top w:val="nil"/>
              <w:left w:val="nil"/>
              <w:bottom w:val="single" w:color="auto" w:sz="8" w:space="0"/>
              <w:right w:val="single" w:color="auto" w:sz="8" w:space="0"/>
            </w:tcBorders>
            <w:shd w:val="clear" w:color="auto" w:fill="DDEBF7"/>
            <w:tcMar>
              <w:top w:w="0" w:type="dxa"/>
              <w:left w:w="57" w:type="dxa"/>
              <w:bottom w:w="0" w:type="dxa"/>
              <w:right w:w="57" w:type="dxa"/>
            </w:tcMar>
            <w:vAlign w:val="top"/>
          </w:tcPr>
          <w:p w14:paraId="155C8E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3.要求提供公开出版物</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A7987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72AC61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C95E4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3EF8A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717C1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D4BDB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D24FF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r>
      <w:tr w14:paraId="04436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934" w:type="dxa"/>
            <w:vMerge w:val="continue"/>
            <w:tcBorders>
              <w:top w:val="single" w:color="auto" w:sz="8" w:space="0"/>
              <w:left w:val="single" w:color="auto" w:sz="8" w:space="0"/>
              <w:bottom w:val="inset" w:color="auto" w:sz="8" w:space="0"/>
              <w:right w:val="single" w:color="auto" w:sz="8" w:space="0"/>
            </w:tcBorders>
            <w:shd w:val="clear" w:color="auto" w:fill="BDD7EE"/>
            <w:tcMar>
              <w:top w:w="0" w:type="dxa"/>
              <w:left w:w="57" w:type="dxa"/>
              <w:bottom w:w="0" w:type="dxa"/>
              <w:right w:w="57" w:type="dxa"/>
            </w:tcMar>
            <w:vAlign w:val="top"/>
          </w:tcPr>
          <w:p w14:paraId="2F0D14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1134" w:type="dxa"/>
            <w:vMerge w:val="continue"/>
            <w:tcBorders>
              <w:top w:val="single" w:color="auto" w:sz="8" w:space="0"/>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top"/>
          </w:tcPr>
          <w:p w14:paraId="035CE6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2536" w:type="dxa"/>
            <w:tcBorders>
              <w:top w:val="nil"/>
              <w:left w:val="nil"/>
              <w:bottom w:val="single" w:color="auto" w:sz="8" w:space="0"/>
              <w:right w:val="single" w:color="auto" w:sz="8" w:space="0"/>
            </w:tcBorders>
            <w:shd w:val="clear" w:color="auto" w:fill="DDEBF7"/>
            <w:tcMar>
              <w:top w:w="0" w:type="dxa"/>
              <w:left w:w="57" w:type="dxa"/>
              <w:bottom w:w="0" w:type="dxa"/>
              <w:right w:w="57" w:type="dxa"/>
            </w:tcMar>
            <w:vAlign w:val="top"/>
          </w:tcPr>
          <w:p w14:paraId="7E05D6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4.无正当理由大量反复申请</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94788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6E71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993AD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F7246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CA40E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5758F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B4B22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r>
      <w:tr w14:paraId="3E9E2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79" w:hRule="atLeast"/>
          <w:jc w:val="center"/>
        </w:trPr>
        <w:tc>
          <w:tcPr>
            <w:tcW w:w="934" w:type="dxa"/>
            <w:vMerge w:val="continue"/>
            <w:tcBorders>
              <w:top w:val="single" w:color="auto" w:sz="8" w:space="0"/>
              <w:left w:val="single" w:color="auto" w:sz="8" w:space="0"/>
              <w:bottom w:val="inset" w:color="auto" w:sz="8" w:space="0"/>
              <w:right w:val="single" w:color="auto" w:sz="8" w:space="0"/>
            </w:tcBorders>
            <w:shd w:val="clear" w:color="auto" w:fill="BDD7EE"/>
            <w:tcMar>
              <w:top w:w="0" w:type="dxa"/>
              <w:left w:w="57" w:type="dxa"/>
              <w:bottom w:w="0" w:type="dxa"/>
              <w:right w:w="57" w:type="dxa"/>
            </w:tcMar>
            <w:vAlign w:val="top"/>
          </w:tcPr>
          <w:p w14:paraId="7CF34A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1134" w:type="dxa"/>
            <w:vMerge w:val="continue"/>
            <w:tcBorders>
              <w:top w:val="single" w:color="auto" w:sz="8" w:space="0"/>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top"/>
          </w:tcPr>
          <w:p w14:paraId="0D9890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2536" w:type="dxa"/>
            <w:tcBorders>
              <w:top w:val="single" w:color="auto" w:sz="8" w:space="0"/>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top"/>
          </w:tcPr>
          <w:p w14:paraId="4CF051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5.要求行政机关确认或重新出具已获取信息</w:t>
            </w:r>
          </w:p>
        </w:tc>
        <w:tc>
          <w:tcPr>
            <w:tcW w:w="737" w:type="dxa"/>
            <w:tcBorders>
              <w:top w:val="single" w:color="auto" w:sz="8" w:space="0"/>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14:paraId="29E79F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single" w:color="auto" w:sz="8" w:space="0"/>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14:paraId="55E899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single" w:color="auto" w:sz="8" w:space="0"/>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14:paraId="4DE113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single" w:color="auto" w:sz="8" w:space="0"/>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14:paraId="735906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single" w:color="auto" w:sz="8" w:space="0"/>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14:paraId="6ADBDB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single" w:color="auto" w:sz="8" w:space="0"/>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14:paraId="401B9F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single" w:color="auto" w:sz="8" w:space="0"/>
              <w:left w:val="single" w:color="auto" w:sz="8" w:space="0"/>
              <w:bottom w:val="inset" w:color="auto" w:sz="8" w:space="0"/>
              <w:right w:val="single" w:color="auto" w:sz="8" w:space="0"/>
            </w:tcBorders>
            <w:shd w:val="clear" w:color="auto" w:fill="auto"/>
            <w:tcMar>
              <w:top w:w="0" w:type="dxa"/>
              <w:left w:w="57" w:type="dxa"/>
              <w:bottom w:w="0" w:type="dxa"/>
              <w:right w:w="57" w:type="dxa"/>
            </w:tcMar>
            <w:vAlign w:val="top"/>
          </w:tcPr>
          <w:p w14:paraId="14B964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r>
      <w:tr w14:paraId="44314B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934" w:type="dxa"/>
            <w:vMerge w:val="continue"/>
            <w:tcBorders>
              <w:top w:val="single" w:color="auto" w:sz="8" w:space="0"/>
              <w:left w:val="single" w:color="auto" w:sz="8" w:space="0"/>
              <w:bottom w:val="inset" w:color="auto" w:sz="8" w:space="0"/>
              <w:right w:val="single" w:color="auto" w:sz="8" w:space="0"/>
            </w:tcBorders>
            <w:shd w:val="clear" w:color="auto" w:fill="BDD7EE"/>
            <w:tcMar>
              <w:top w:w="0" w:type="dxa"/>
              <w:left w:w="57" w:type="dxa"/>
              <w:bottom w:w="0" w:type="dxa"/>
              <w:right w:w="57" w:type="dxa"/>
            </w:tcMar>
            <w:vAlign w:val="top"/>
          </w:tcPr>
          <w:p w14:paraId="3E8A6D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1134" w:type="dxa"/>
            <w:vMerge w:val="restart"/>
            <w:tcBorders>
              <w:top w:val="nil"/>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top"/>
          </w:tcPr>
          <w:p w14:paraId="577AEB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（六）其他处理</w:t>
            </w:r>
          </w:p>
        </w:tc>
        <w:tc>
          <w:tcPr>
            <w:tcW w:w="2536" w:type="dxa"/>
            <w:tcBorders>
              <w:top w:val="nil"/>
              <w:left w:val="nil"/>
              <w:bottom w:val="single" w:color="auto" w:sz="8" w:space="0"/>
              <w:right w:val="single" w:color="auto" w:sz="8" w:space="0"/>
            </w:tcBorders>
            <w:shd w:val="clear" w:color="auto" w:fill="DDEBF7"/>
            <w:tcMar>
              <w:top w:w="0" w:type="dxa"/>
              <w:left w:w="57" w:type="dxa"/>
              <w:bottom w:w="0" w:type="dxa"/>
              <w:right w:w="57" w:type="dxa"/>
            </w:tcMar>
            <w:vAlign w:val="top"/>
          </w:tcPr>
          <w:p w14:paraId="686C9D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1.申请人无正当理由逾期不补正、行政机关不再处理其政府信息公开申请</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08A50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leftChars="0" w:right="0" w:rightChars="0" w:firstLine="0" w:firstLineChars="0"/>
              <w:jc w:val="center"/>
              <w:textAlignment w:val="baseline"/>
              <w:rPr>
                <w:rFonts w:asciiTheme="minorHAnsi" w:hAnsiTheme="minorHAnsi" w:eastAsiaTheme="minorEastAsia" w:cstheme="minorBidi"/>
                <w:i w:val="0"/>
                <w:iCs w:val="0"/>
                <w:color w:val="505050"/>
                <w:kern w:val="2"/>
                <w:sz w:val="21"/>
                <w:szCs w:val="24"/>
                <w:u w:val="none"/>
                <w:lang w:val="en-US" w:eastAsia="zh-CN" w:bidi="ar-SA"/>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0EFC4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leftChars="0" w:right="0" w:rightChars="0" w:firstLine="0" w:firstLineChars="0"/>
              <w:jc w:val="center"/>
              <w:textAlignment w:val="baseline"/>
              <w:rPr>
                <w:rFonts w:asciiTheme="minorHAnsi" w:hAnsiTheme="minorHAnsi" w:eastAsiaTheme="minorEastAsia" w:cstheme="minorBidi"/>
                <w:i w:val="0"/>
                <w:iCs w:val="0"/>
                <w:color w:val="505050"/>
                <w:kern w:val="2"/>
                <w:sz w:val="21"/>
                <w:szCs w:val="24"/>
                <w:u w:val="none"/>
                <w:lang w:val="en-US" w:eastAsia="zh-CN" w:bidi="ar-SA"/>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D00B7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leftChars="0" w:right="0" w:rightChars="0" w:firstLine="0" w:firstLineChars="0"/>
              <w:jc w:val="center"/>
              <w:textAlignment w:val="baseline"/>
              <w:rPr>
                <w:rFonts w:asciiTheme="minorHAnsi" w:hAnsiTheme="minorHAnsi" w:eastAsiaTheme="minorEastAsia" w:cstheme="minorBidi"/>
                <w:i w:val="0"/>
                <w:iCs w:val="0"/>
                <w:color w:val="505050"/>
                <w:kern w:val="2"/>
                <w:sz w:val="21"/>
                <w:szCs w:val="24"/>
                <w:u w:val="none"/>
                <w:lang w:val="en-US" w:eastAsia="zh-CN" w:bidi="ar-SA"/>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78413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leftChars="0" w:right="0" w:rightChars="0" w:firstLine="0" w:firstLineChars="0"/>
              <w:jc w:val="center"/>
              <w:textAlignment w:val="baseline"/>
              <w:rPr>
                <w:rFonts w:asciiTheme="minorHAnsi" w:hAnsiTheme="minorHAnsi" w:eastAsiaTheme="minorEastAsia" w:cstheme="minorBidi"/>
                <w:i w:val="0"/>
                <w:iCs w:val="0"/>
                <w:color w:val="505050"/>
                <w:kern w:val="2"/>
                <w:sz w:val="21"/>
                <w:szCs w:val="24"/>
                <w:u w:val="none"/>
                <w:lang w:val="en-US" w:eastAsia="zh-CN" w:bidi="ar-SA"/>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5C637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leftChars="0" w:right="0" w:rightChars="0" w:firstLine="0" w:firstLineChars="0"/>
              <w:jc w:val="center"/>
              <w:textAlignment w:val="baseline"/>
              <w:rPr>
                <w:rFonts w:asciiTheme="minorHAnsi" w:hAnsiTheme="minorHAnsi" w:eastAsiaTheme="minorEastAsia" w:cstheme="minorBidi"/>
                <w:i w:val="0"/>
                <w:iCs w:val="0"/>
                <w:color w:val="505050"/>
                <w:kern w:val="2"/>
                <w:sz w:val="21"/>
                <w:szCs w:val="24"/>
                <w:u w:val="none"/>
                <w:lang w:val="en-US" w:eastAsia="zh-CN" w:bidi="ar-SA"/>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39AC3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leftChars="0" w:right="0" w:rightChars="0" w:firstLine="0" w:firstLineChars="0"/>
              <w:jc w:val="center"/>
              <w:textAlignment w:val="baseline"/>
              <w:rPr>
                <w:rFonts w:asciiTheme="minorHAnsi" w:hAnsiTheme="minorHAnsi" w:eastAsiaTheme="minorEastAsia" w:cstheme="minorBidi"/>
                <w:i w:val="0"/>
                <w:iCs w:val="0"/>
                <w:color w:val="505050"/>
                <w:kern w:val="2"/>
                <w:sz w:val="21"/>
                <w:szCs w:val="24"/>
                <w:u w:val="none"/>
                <w:lang w:val="en-US" w:eastAsia="zh-CN" w:bidi="ar-SA"/>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72C84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leftChars="0" w:right="0" w:rightChars="0" w:firstLine="0" w:firstLineChars="0"/>
              <w:jc w:val="center"/>
              <w:textAlignment w:val="baseline"/>
              <w:rPr>
                <w:rFonts w:asciiTheme="minorHAnsi" w:hAnsiTheme="minorHAnsi" w:eastAsiaTheme="minorEastAsia" w:cstheme="minorBidi"/>
                <w:i w:val="0"/>
                <w:iCs w:val="0"/>
                <w:color w:val="505050"/>
                <w:kern w:val="2"/>
                <w:sz w:val="21"/>
                <w:szCs w:val="24"/>
                <w:u w:val="none"/>
                <w:lang w:val="en-US" w:eastAsia="zh-CN" w:bidi="ar-SA"/>
              </w:rPr>
            </w:pPr>
            <w:r>
              <w:rPr>
                <w:rFonts w:hint="default" w:ascii="Calibri" w:hAnsi="Calibri" w:eastAsia="宋体" w:cs="Calibri"/>
                <w:i w:val="0"/>
                <w:iCs w:val="0"/>
                <w:color w:val="505050"/>
                <w:kern w:val="0"/>
                <w:sz w:val="20"/>
                <w:szCs w:val="20"/>
                <w:u w:val="none"/>
                <w:vertAlign w:val="baseline"/>
                <w:lang w:val="en-US" w:eastAsia="zh-CN" w:bidi="ar"/>
              </w:rPr>
              <w:t>0</w:t>
            </w:r>
          </w:p>
        </w:tc>
      </w:tr>
      <w:tr w14:paraId="3B316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934" w:type="dxa"/>
            <w:vMerge w:val="continue"/>
            <w:tcBorders>
              <w:top w:val="single" w:color="auto" w:sz="8" w:space="0"/>
              <w:left w:val="single" w:color="auto" w:sz="8" w:space="0"/>
              <w:bottom w:val="inset" w:color="auto" w:sz="8" w:space="0"/>
              <w:right w:val="single" w:color="auto" w:sz="8" w:space="0"/>
            </w:tcBorders>
            <w:shd w:val="clear" w:color="auto" w:fill="BDD7EE"/>
            <w:tcMar>
              <w:top w:w="0" w:type="dxa"/>
              <w:left w:w="57" w:type="dxa"/>
              <w:bottom w:w="0" w:type="dxa"/>
              <w:right w:w="57" w:type="dxa"/>
            </w:tcMar>
            <w:vAlign w:val="top"/>
          </w:tcPr>
          <w:p w14:paraId="605630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1134" w:type="dxa"/>
            <w:vMerge w:val="continue"/>
            <w:tcBorders>
              <w:top w:val="nil"/>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top"/>
          </w:tcPr>
          <w:p w14:paraId="1F0BB1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2536" w:type="dxa"/>
            <w:tcBorders>
              <w:top w:val="nil"/>
              <w:left w:val="nil"/>
              <w:bottom w:val="single" w:color="auto" w:sz="8" w:space="0"/>
              <w:right w:val="single" w:color="auto" w:sz="8" w:space="0"/>
            </w:tcBorders>
            <w:shd w:val="clear" w:color="auto" w:fill="DDEBF7"/>
            <w:tcMar>
              <w:top w:w="0" w:type="dxa"/>
              <w:left w:w="57" w:type="dxa"/>
              <w:bottom w:w="0" w:type="dxa"/>
              <w:right w:w="57" w:type="dxa"/>
            </w:tcMar>
            <w:vAlign w:val="top"/>
          </w:tcPr>
          <w:p w14:paraId="59E47A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2.申请人逾期未按收费通知要求缴纳费用、行政机关不再处理其政府信息公开申请</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B60E1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leftChars="0" w:right="0" w:rightChars="0" w:firstLine="0" w:firstLineChars="0"/>
              <w:jc w:val="center"/>
              <w:textAlignment w:val="baseline"/>
              <w:rPr>
                <w:rFonts w:asciiTheme="minorHAnsi" w:hAnsiTheme="minorHAnsi" w:eastAsiaTheme="minorEastAsia" w:cstheme="minorBidi"/>
                <w:i w:val="0"/>
                <w:iCs w:val="0"/>
                <w:color w:val="505050"/>
                <w:kern w:val="2"/>
                <w:sz w:val="21"/>
                <w:szCs w:val="24"/>
                <w:u w:val="none"/>
                <w:lang w:val="en-US" w:eastAsia="zh-CN" w:bidi="ar-SA"/>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08504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leftChars="0" w:right="0" w:rightChars="0" w:firstLine="0" w:firstLineChars="0"/>
              <w:jc w:val="center"/>
              <w:textAlignment w:val="baseline"/>
              <w:rPr>
                <w:rFonts w:asciiTheme="minorHAnsi" w:hAnsiTheme="minorHAnsi" w:eastAsiaTheme="minorEastAsia" w:cstheme="minorBidi"/>
                <w:i w:val="0"/>
                <w:iCs w:val="0"/>
                <w:color w:val="505050"/>
                <w:kern w:val="2"/>
                <w:sz w:val="21"/>
                <w:szCs w:val="24"/>
                <w:u w:val="none"/>
                <w:lang w:val="en-US" w:eastAsia="zh-CN" w:bidi="ar-SA"/>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92490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leftChars="0" w:right="0" w:rightChars="0" w:firstLine="0" w:firstLineChars="0"/>
              <w:jc w:val="center"/>
              <w:textAlignment w:val="baseline"/>
              <w:rPr>
                <w:rFonts w:asciiTheme="minorHAnsi" w:hAnsiTheme="minorHAnsi" w:eastAsiaTheme="minorEastAsia" w:cstheme="minorBidi"/>
                <w:i w:val="0"/>
                <w:iCs w:val="0"/>
                <w:color w:val="505050"/>
                <w:kern w:val="2"/>
                <w:sz w:val="21"/>
                <w:szCs w:val="24"/>
                <w:u w:val="none"/>
                <w:lang w:val="en-US" w:eastAsia="zh-CN" w:bidi="ar-SA"/>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CF534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leftChars="0" w:right="0" w:rightChars="0" w:firstLine="0" w:firstLineChars="0"/>
              <w:jc w:val="center"/>
              <w:textAlignment w:val="baseline"/>
              <w:rPr>
                <w:rFonts w:asciiTheme="minorHAnsi" w:hAnsiTheme="minorHAnsi" w:eastAsiaTheme="minorEastAsia" w:cstheme="minorBidi"/>
                <w:i w:val="0"/>
                <w:iCs w:val="0"/>
                <w:color w:val="505050"/>
                <w:kern w:val="2"/>
                <w:sz w:val="21"/>
                <w:szCs w:val="24"/>
                <w:u w:val="none"/>
                <w:lang w:val="en-US" w:eastAsia="zh-CN" w:bidi="ar-SA"/>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10545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leftChars="0" w:right="0" w:rightChars="0" w:firstLine="0" w:firstLineChars="0"/>
              <w:jc w:val="center"/>
              <w:textAlignment w:val="baseline"/>
              <w:rPr>
                <w:rFonts w:asciiTheme="minorHAnsi" w:hAnsiTheme="minorHAnsi" w:eastAsiaTheme="minorEastAsia" w:cstheme="minorBidi"/>
                <w:i w:val="0"/>
                <w:iCs w:val="0"/>
                <w:color w:val="505050"/>
                <w:kern w:val="2"/>
                <w:sz w:val="21"/>
                <w:szCs w:val="24"/>
                <w:u w:val="none"/>
                <w:lang w:val="en-US" w:eastAsia="zh-CN" w:bidi="ar-SA"/>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37B72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leftChars="0" w:right="0" w:rightChars="0" w:firstLine="0" w:firstLineChars="0"/>
              <w:jc w:val="center"/>
              <w:textAlignment w:val="baseline"/>
              <w:rPr>
                <w:rFonts w:asciiTheme="minorHAnsi" w:hAnsiTheme="minorHAnsi" w:eastAsiaTheme="minorEastAsia" w:cstheme="minorBidi"/>
                <w:i w:val="0"/>
                <w:iCs w:val="0"/>
                <w:color w:val="505050"/>
                <w:kern w:val="2"/>
                <w:sz w:val="21"/>
                <w:szCs w:val="24"/>
                <w:u w:val="none"/>
                <w:lang w:val="en-US" w:eastAsia="zh-CN" w:bidi="ar-SA"/>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0A222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leftChars="0" w:right="0" w:rightChars="0" w:firstLine="0" w:firstLineChars="0"/>
              <w:jc w:val="center"/>
              <w:textAlignment w:val="baseline"/>
              <w:rPr>
                <w:rFonts w:asciiTheme="minorHAnsi" w:hAnsiTheme="minorHAnsi" w:eastAsiaTheme="minorEastAsia" w:cstheme="minorBidi"/>
                <w:i w:val="0"/>
                <w:iCs w:val="0"/>
                <w:color w:val="505050"/>
                <w:kern w:val="2"/>
                <w:sz w:val="21"/>
                <w:szCs w:val="24"/>
                <w:u w:val="none"/>
                <w:lang w:val="en-US" w:eastAsia="zh-CN" w:bidi="ar-SA"/>
              </w:rPr>
            </w:pPr>
            <w:r>
              <w:rPr>
                <w:rFonts w:hint="default" w:ascii="Calibri" w:hAnsi="Calibri" w:eastAsia="宋体" w:cs="Calibri"/>
                <w:i w:val="0"/>
                <w:iCs w:val="0"/>
                <w:color w:val="505050"/>
                <w:kern w:val="0"/>
                <w:sz w:val="20"/>
                <w:szCs w:val="20"/>
                <w:u w:val="none"/>
                <w:vertAlign w:val="baseline"/>
                <w:lang w:val="en-US" w:eastAsia="zh-CN" w:bidi="ar"/>
              </w:rPr>
              <w:t>0</w:t>
            </w:r>
          </w:p>
        </w:tc>
      </w:tr>
      <w:tr w14:paraId="36123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934" w:type="dxa"/>
            <w:vMerge w:val="continue"/>
            <w:tcBorders>
              <w:top w:val="single" w:color="auto" w:sz="8" w:space="0"/>
              <w:left w:val="single" w:color="auto" w:sz="8" w:space="0"/>
              <w:bottom w:val="inset" w:color="auto" w:sz="8" w:space="0"/>
              <w:right w:val="single" w:color="auto" w:sz="8" w:space="0"/>
            </w:tcBorders>
            <w:shd w:val="clear" w:color="auto" w:fill="BDD7EE"/>
            <w:tcMar>
              <w:top w:w="0" w:type="dxa"/>
              <w:left w:w="57" w:type="dxa"/>
              <w:bottom w:w="0" w:type="dxa"/>
              <w:right w:w="57" w:type="dxa"/>
            </w:tcMar>
            <w:vAlign w:val="top"/>
          </w:tcPr>
          <w:p w14:paraId="0AF013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1134" w:type="dxa"/>
            <w:vMerge w:val="continue"/>
            <w:tcBorders>
              <w:top w:val="nil"/>
              <w:left w:val="single" w:color="auto" w:sz="8" w:space="0"/>
              <w:bottom w:val="inset" w:color="auto" w:sz="8" w:space="0"/>
              <w:right w:val="single" w:color="auto" w:sz="8" w:space="0"/>
            </w:tcBorders>
            <w:shd w:val="clear" w:color="auto" w:fill="DDEBF7"/>
            <w:tcMar>
              <w:top w:w="0" w:type="dxa"/>
              <w:left w:w="57" w:type="dxa"/>
              <w:bottom w:w="0" w:type="dxa"/>
              <w:right w:w="57" w:type="dxa"/>
            </w:tcMar>
            <w:vAlign w:val="top"/>
          </w:tcPr>
          <w:p w14:paraId="3C2CB5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2536" w:type="dxa"/>
            <w:tcBorders>
              <w:top w:val="nil"/>
              <w:left w:val="nil"/>
              <w:bottom w:val="single" w:color="auto" w:sz="8" w:space="0"/>
              <w:right w:val="single" w:color="auto" w:sz="8" w:space="0"/>
            </w:tcBorders>
            <w:shd w:val="clear" w:color="auto" w:fill="DDEBF7"/>
            <w:tcMar>
              <w:top w:w="0" w:type="dxa"/>
              <w:left w:w="57" w:type="dxa"/>
              <w:bottom w:w="0" w:type="dxa"/>
              <w:right w:w="57" w:type="dxa"/>
            </w:tcMar>
            <w:vAlign w:val="top"/>
          </w:tcPr>
          <w:p w14:paraId="1A13B6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3.其他</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D5D62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52294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3EA8C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3D274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6574C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1E3D7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241F4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r>
      <w:tr w14:paraId="45BFA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934" w:type="dxa"/>
            <w:vMerge w:val="continue"/>
            <w:tcBorders>
              <w:top w:val="single" w:color="auto" w:sz="8" w:space="0"/>
              <w:left w:val="single" w:color="auto" w:sz="8" w:space="0"/>
              <w:bottom w:val="inset" w:color="auto" w:sz="8" w:space="0"/>
              <w:right w:val="single" w:color="auto" w:sz="8" w:space="0"/>
            </w:tcBorders>
            <w:shd w:val="clear" w:color="auto" w:fill="BDD7EE"/>
            <w:tcMar>
              <w:top w:w="0" w:type="dxa"/>
              <w:left w:w="57" w:type="dxa"/>
              <w:bottom w:w="0" w:type="dxa"/>
              <w:right w:w="57" w:type="dxa"/>
            </w:tcMar>
            <w:vAlign w:val="top"/>
          </w:tcPr>
          <w:p w14:paraId="5CD5AF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p>
        </w:tc>
        <w:tc>
          <w:tcPr>
            <w:tcW w:w="3670" w:type="dxa"/>
            <w:gridSpan w:val="2"/>
            <w:tcBorders>
              <w:top w:val="nil"/>
              <w:left w:val="nil"/>
              <w:bottom w:val="single" w:color="auto" w:sz="8" w:space="0"/>
              <w:right w:val="single" w:color="auto" w:sz="8" w:space="0"/>
            </w:tcBorders>
            <w:shd w:val="clear" w:color="auto" w:fill="DDEBF7"/>
            <w:tcMar>
              <w:top w:w="0" w:type="dxa"/>
              <w:left w:w="57" w:type="dxa"/>
              <w:bottom w:w="0" w:type="dxa"/>
              <w:right w:w="57" w:type="dxa"/>
            </w:tcMar>
            <w:vAlign w:val="top"/>
          </w:tcPr>
          <w:p w14:paraId="6AD032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（七）总计</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59DF9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rFonts w:hint="default"/>
                <w:i w:val="0"/>
                <w:iCs w:val="0"/>
                <w:color w:val="505050"/>
                <w:u w:val="none"/>
                <w:lang w:val="en-US"/>
              </w:rPr>
            </w:pPr>
            <w:r>
              <w:rPr>
                <w:rFonts w:hint="eastAsia" w:ascii="Calibri" w:hAnsi="Calibri" w:eastAsia="宋体" w:cs="Calibri"/>
                <w:i w:val="0"/>
                <w:iCs w:val="0"/>
                <w:color w:val="505050"/>
                <w:kern w:val="0"/>
                <w:sz w:val="20"/>
                <w:szCs w:val="20"/>
                <w:u w:val="none"/>
                <w:vertAlign w:val="baseline"/>
                <w:lang w:val="en-US" w:eastAsia="zh-CN" w:bidi="ar"/>
              </w:rPr>
              <w:t>17</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1E71A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D2E3D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E6C2C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BB6CD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4"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9CAED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default" w:ascii="Calibri" w:hAnsi="Calibri" w:eastAsia="宋体" w:cs="Calibri"/>
                <w:i w:val="0"/>
                <w:iCs w:val="0"/>
                <w:color w:val="505050"/>
                <w:kern w:val="0"/>
                <w:sz w:val="20"/>
                <w:szCs w:val="20"/>
                <w:u w:val="none"/>
                <w:vertAlign w:val="baseline"/>
                <w:lang w:val="en-US" w:eastAsia="zh-CN" w:bidi="ar"/>
              </w:rPr>
              <w:t>0</w:t>
            </w:r>
          </w:p>
        </w:tc>
        <w:tc>
          <w:tcPr>
            <w:tcW w:w="737"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CAED6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rFonts w:hint="default"/>
                <w:i w:val="0"/>
                <w:iCs w:val="0"/>
                <w:color w:val="505050"/>
                <w:u w:val="none"/>
                <w:lang w:val="en-US"/>
              </w:rPr>
            </w:pPr>
            <w:r>
              <w:rPr>
                <w:rFonts w:hint="eastAsia" w:ascii="Calibri" w:hAnsi="Calibri" w:eastAsia="宋体" w:cs="Calibri"/>
                <w:i w:val="0"/>
                <w:iCs w:val="0"/>
                <w:color w:val="505050"/>
                <w:kern w:val="0"/>
                <w:sz w:val="20"/>
                <w:szCs w:val="20"/>
                <w:u w:val="none"/>
                <w:vertAlign w:val="baseline"/>
                <w:lang w:val="en-US" w:eastAsia="zh-CN" w:bidi="ar"/>
              </w:rPr>
              <w:t>17</w:t>
            </w:r>
          </w:p>
        </w:tc>
      </w:tr>
      <w:tr w14:paraId="23248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604" w:type="dxa"/>
            <w:gridSpan w:val="3"/>
            <w:tcBorders>
              <w:top w:val="single" w:color="auto" w:sz="8" w:space="0"/>
              <w:left w:val="single" w:color="auto" w:sz="8" w:space="0"/>
              <w:bottom w:val="single" w:color="auto" w:sz="8" w:space="0"/>
              <w:right w:val="single" w:color="auto" w:sz="8" w:space="0"/>
            </w:tcBorders>
            <w:shd w:val="clear" w:color="auto" w:fill="BDD7EE"/>
            <w:tcMar>
              <w:top w:w="0" w:type="dxa"/>
              <w:left w:w="57" w:type="dxa"/>
              <w:bottom w:w="0" w:type="dxa"/>
              <w:right w:w="57" w:type="dxa"/>
            </w:tcMar>
            <w:vAlign w:val="top"/>
          </w:tcPr>
          <w:p w14:paraId="178712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left"/>
              <w:textAlignment w:val="baseline"/>
              <w:rPr>
                <w:rFonts w:hint="eastAsia" w:ascii="宋体" w:hAnsi="宋体" w:eastAsia="宋体" w:cs="宋体"/>
                <w:i w:val="0"/>
                <w:iCs w:val="0"/>
                <w:color w:val="000000"/>
                <w:kern w:val="0"/>
                <w:sz w:val="20"/>
                <w:szCs w:val="20"/>
                <w:u w:val="none"/>
                <w:vertAlign w:val="baseline"/>
                <w:lang w:val="en-US" w:eastAsia="zh-CN" w:bidi="ar"/>
              </w:rPr>
            </w:pPr>
            <w:r>
              <w:rPr>
                <w:rFonts w:hint="eastAsia" w:ascii="宋体" w:hAnsi="宋体" w:eastAsia="宋体" w:cs="宋体"/>
                <w:i w:val="0"/>
                <w:iCs w:val="0"/>
                <w:color w:val="000000"/>
                <w:kern w:val="0"/>
                <w:sz w:val="20"/>
                <w:szCs w:val="20"/>
                <w:u w:val="none"/>
                <w:vertAlign w:val="baseline"/>
                <w:lang w:val="en-US" w:eastAsia="zh-CN" w:bidi="ar"/>
              </w:rPr>
              <w:t>四、结转下年度继续办理</w:t>
            </w:r>
          </w:p>
        </w:tc>
        <w:tc>
          <w:tcPr>
            <w:tcW w:w="737" w:type="dxa"/>
            <w:tcBorders>
              <w:top w:val="inset" w:color="auto" w:sz="8" w:space="0"/>
              <w:left w:val="single" w:color="auto" w:sz="8" w:space="0"/>
              <w:bottom w:val="inset" w:color="auto" w:sz="8" w:space="0"/>
              <w:right w:val="inset" w:color="auto" w:sz="8" w:space="0"/>
            </w:tcBorders>
            <w:shd w:val="clear" w:color="auto" w:fill="auto"/>
            <w:tcMar>
              <w:top w:w="0" w:type="dxa"/>
              <w:left w:w="0" w:type="dxa"/>
              <w:bottom w:w="0" w:type="dxa"/>
              <w:right w:w="0" w:type="dxa"/>
            </w:tcMar>
            <w:vAlign w:val="top"/>
          </w:tcPr>
          <w:p w14:paraId="628699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505050"/>
                <w:kern w:val="0"/>
                <w:sz w:val="20"/>
                <w:szCs w:val="20"/>
                <w:u w:val="none"/>
                <w:vertAlign w:val="baseline"/>
                <w:lang w:val="en-US" w:eastAsia="zh-CN" w:bidi="ar"/>
              </w:rPr>
              <w:t>1</w:t>
            </w:r>
          </w:p>
        </w:tc>
        <w:tc>
          <w:tcPr>
            <w:tcW w:w="734" w:type="dxa"/>
            <w:tcBorders>
              <w:top w:val="inset" w:color="auto" w:sz="8" w:space="0"/>
              <w:left w:val="single" w:color="auto" w:sz="8" w:space="0"/>
              <w:bottom w:val="inset" w:color="auto" w:sz="8" w:space="0"/>
              <w:right w:val="inset" w:color="auto" w:sz="8" w:space="0"/>
            </w:tcBorders>
            <w:shd w:val="clear" w:color="auto" w:fill="auto"/>
            <w:tcMar>
              <w:top w:w="0" w:type="dxa"/>
              <w:left w:w="0" w:type="dxa"/>
              <w:bottom w:w="0" w:type="dxa"/>
              <w:right w:w="0" w:type="dxa"/>
            </w:tcMar>
            <w:vAlign w:val="top"/>
          </w:tcPr>
          <w:p w14:paraId="37A327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505050"/>
                <w:kern w:val="0"/>
                <w:sz w:val="20"/>
                <w:szCs w:val="20"/>
                <w:u w:val="none"/>
                <w:vertAlign w:val="baseline"/>
                <w:lang w:val="en-US" w:eastAsia="zh-CN" w:bidi="ar"/>
              </w:rPr>
              <w:t>0</w:t>
            </w:r>
          </w:p>
        </w:tc>
        <w:tc>
          <w:tcPr>
            <w:tcW w:w="734" w:type="dxa"/>
            <w:tcBorders>
              <w:top w:val="inset" w:color="auto" w:sz="8" w:space="0"/>
              <w:left w:val="single" w:color="auto" w:sz="8" w:space="0"/>
              <w:bottom w:val="inset" w:color="auto" w:sz="8" w:space="0"/>
              <w:right w:val="inset" w:color="auto" w:sz="8" w:space="0"/>
            </w:tcBorders>
            <w:shd w:val="clear" w:color="auto" w:fill="auto"/>
            <w:tcMar>
              <w:top w:w="0" w:type="dxa"/>
              <w:left w:w="0" w:type="dxa"/>
              <w:bottom w:w="0" w:type="dxa"/>
              <w:right w:w="0" w:type="dxa"/>
            </w:tcMar>
            <w:vAlign w:val="top"/>
          </w:tcPr>
          <w:p w14:paraId="2E705A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505050"/>
                <w:kern w:val="0"/>
                <w:sz w:val="20"/>
                <w:szCs w:val="20"/>
                <w:u w:val="none"/>
                <w:vertAlign w:val="baseline"/>
                <w:lang w:val="en-US" w:eastAsia="zh-CN" w:bidi="ar"/>
              </w:rPr>
              <w:t>0</w:t>
            </w:r>
          </w:p>
        </w:tc>
        <w:tc>
          <w:tcPr>
            <w:tcW w:w="734" w:type="dxa"/>
            <w:tcBorders>
              <w:top w:val="inset" w:color="auto" w:sz="8" w:space="0"/>
              <w:left w:val="single" w:color="auto" w:sz="8" w:space="0"/>
              <w:bottom w:val="inset" w:color="auto" w:sz="8" w:space="0"/>
              <w:right w:val="inset" w:color="auto" w:sz="8" w:space="0"/>
            </w:tcBorders>
            <w:shd w:val="clear" w:color="auto" w:fill="auto"/>
            <w:tcMar>
              <w:top w:w="0" w:type="dxa"/>
              <w:left w:w="0" w:type="dxa"/>
              <w:bottom w:w="0" w:type="dxa"/>
              <w:right w:w="0" w:type="dxa"/>
            </w:tcMar>
            <w:vAlign w:val="top"/>
          </w:tcPr>
          <w:p w14:paraId="3A7233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505050"/>
                <w:kern w:val="0"/>
                <w:sz w:val="20"/>
                <w:szCs w:val="20"/>
                <w:u w:val="none"/>
                <w:vertAlign w:val="baseline"/>
                <w:lang w:val="en-US" w:eastAsia="zh-CN" w:bidi="ar"/>
              </w:rPr>
              <w:t>0</w:t>
            </w:r>
          </w:p>
        </w:tc>
        <w:tc>
          <w:tcPr>
            <w:tcW w:w="734" w:type="dxa"/>
            <w:tcBorders>
              <w:top w:val="inset" w:color="auto" w:sz="8" w:space="0"/>
              <w:left w:val="single" w:color="auto" w:sz="8" w:space="0"/>
              <w:bottom w:val="inset" w:color="auto" w:sz="8" w:space="0"/>
              <w:right w:val="inset" w:color="auto" w:sz="8" w:space="0"/>
            </w:tcBorders>
            <w:shd w:val="clear" w:color="auto" w:fill="auto"/>
            <w:tcMar>
              <w:top w:w="0" w:type="dxa"/>
              <w:left w:w="0" w:type="dxa"/>
              <w:bottom w:w="0" w:type="dxa"/>
              <w:right w:w="0" w:type="dxa"/>
            </w:tcMar>
            <w:vAlign w:val="top"/>
          </w:tcPr>
          <w:p w14:paraId="42BA7C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505050"/>
                <w:kern w:val="0"/>
                <w:sz w:val="20"/>
                <w:szCs w:val="20"/>
                <w:u w:val="none"/>
                <w:vertAlign w:val="baseline"/>
                <w:lang w:val="en-US" w:eastAsia="zh-CN" w:bidi="ar"/>
              </w:rPr>
              <w:t>0</w:t>
            </w:r>
          </w:p>
        </w:tc>
        <w:tc>
          <w:tcPr>
            <w:tcW w:w="734" w:type="dxa"/>
            <w:tcBorders>
              <w:top w:val="inset" w:color="auto" w:sz="8" w:space="0"/>
              <w:left w:val="single" w:color="auto" w:sz="8" w:space="0"/>
              <w:bottom w:val="inset" w:color="auto" w:sz="8" w:space="0"/>
              <w:right w:val="inset" w:color="auto" w:sz="8" w:space="0"/>
            </w:tcBorders>
            <w:shd w:val="clear" w:color="auto" w:fill="auto"/>
            <w:tcMar>
              <w:top w:w="0" w:type="dxa"/>
              <w:left w:w="0" w:type="dxa"/>
              <w:bottom w:w="0" w:type="dxa"/>
              <w:right w:w="0" w:type="dxa"/>
            </w:tcMar>
            <w:vAlign w:val="top"/>
          </w:tcPr>
          <w:p w14:paraId="6608A3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i w:val="0"/>
                <w:iCs w:val="0"/>
                <w:color w:val="505050"/>
                <w:u w:val="none"/>
              </w:rPr>
            </w:pPr>
            <w:r>
              <w:rPr>
                <w:rFonts w:hint="eastAsia" w:ascii="宋体" w:hAnsi="宋体" w:eastAsia="宋体" w:cs="宋体"/>
                <w:i w:val="0"/>
                <w:iCs w:val="0"/>
                <w:color w:val="505050"/>
                <w:kern w:val="0"/>
                <w:sz w:val="20"/>
                <w:szCs w:val="20"/>
                <w:u w:val="none"/>
                <w:vertAlign w:val="baseline"/>
                <w:lang w:val="en-US" w:eastAsia="zh-CN" w:bidi="ar"/>
              </w:rPr>
              <w:t>0</w:t>
            </w:r>
          </w:p>
        </w:tc>
        <w:tc>
          <w:tcPr>
            <w:tcW w:w="737" w:type="dxa"/>
            <w:tcBorders>
              <w:top w:val="inset" w:color="auto" w:sz="8" w:space="0"/>
              <w:left w:val="single" w:color="auto" w:sz="8" w:space="0"/>
              <w:bottom w:val="inset" w:color="auto" w:sz="8" w:space="0"/>
              <w:right w:val="inset" w:color="auto" w:sz="8" w:space="0"/>
            </w:tcBorders>
            <w:shd w:val="clear" w:color="auto" w:fill="auto"/>
            <w:tcMar>
              <w:top w:w="0" w:type="dxa"/>
              <w:left w:w="0" w:type="dxa"/>
              <w:bottom w:w="0" w:type="dxa"/>
              <w:right w:w="0" w:type="dxa"/>
            </w:tcMar>
            <w:vAlign w:val="top"/>
          </w:tcPr>
          <w:p w14:paraId="5E6F31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0" w:beforeAutospacing="0" w:after="0" w:afterAutospacing="0"/>
              <w:ind w:left="0" w:right="0" w:firstLine="0"/>
              <w:jc w:val="center"/>
              <w:textAlignment w:val="baseline"/>
              <w:rPr>
                <w:rFonts w:hint="default"/>
                <w:i w:val="0"/>
                <w:iCs w:val="0"/>
                <w:color w:val="505050"/>
                <w:u w:val="none"/>
                <w:lang w:val="en-US"/>
              </w:rPr>
            </w:pPr>
            <w:r>
              <w:rPr>
                <w:rFonts w:hint="eastAsia" w:ascii="宋体" w:hAnsi="宋体" w:eastAsia="宋体" w:cs="宋体"/>
                <w:i w:val="0"/>
                <w:iCs w:val="0"/>
                <w:color w:val="505050"/>
                <w:kern w:val="0"/>
                <w:sz w:val="20"/>
                <w:szCs w:val="20"/>
                <w:u w:val="none"/>
                <w:vertAlign w:val="baseline"/>
                <w:lang w:val="en-US" w:eastAsia="zh-CN" w:bidi="ar"/>
              </w:rPr>
              <w:t>1</w:t>
            </w:r>
          </w:p>
        </w:tc>
      </w:tr>
    </w:tbl>
    <w:p w14:paraId="42B9717D">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四、政府信息公开行政复议、行政诉讼情况</w:t>
      </w:r>
    </w:p>
    <w:tbl>
      <w:tblPr>
        <w:tblStyle w:val="5"/>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6AECF39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14:paraId="0EA03B0F">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14:paraId="5824F60C">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行政诉讼</w:t>
            </w:r>
          </w:p>
        </w:tc>
      </w:tr>
      <w:tr w14:paraId="1836234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22EA712">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19A2C73">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439944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BA4726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EB13614">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14:paraId="2524551B">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14:paraId="39AC5B6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复议后起诉</w:t>
            </w:r>
          </w:p>
        </w:tc>
      </w:tr>
      <w:tr w14:paraId="7420E0A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F35E94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EDBDC0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B08140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FFF868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8EA8AE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3D0AB30">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E2C1A8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3E82EC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561A364">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C8B6BB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A0D8CAA">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7239C4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03B3CE0">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其他</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392EE3A">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9916DB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总计</w:t>
            </w:r>
          </w:p>
        </w:tc>
      </w:tr>
      <w:tr w14:paraId="33A390F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44F1880">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89B2F47">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537E1C8">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79BEC8E">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47BE5BE">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4FDD4EC">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2EEC493">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CA482B2">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E78082C">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B4ECFBE">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30B99B3">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D700F53">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79126B7">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8F3975C">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DA9B6B9">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4"/>
                <w:szCs w:val="24"/>
                <w:lang w:val="en-US" w:eastAsia="zh-CN"/>
              </w:rPr>
            </w:pPr>
            <w:r>
              <w:rPr>
                <w:rFonts w:hint="eastAsia" w:ascii="宋体" w:hAnsi="Times New Roman" w:eastAsia="宋体" w:cs="宋体"/>
                <w:sz w:val="24"/>
                <w:szCs w:val="24"/>
                <w:lang w:val="en-US" w:eastAsia="zh-CN"/>
              </w:rPr>
              <w:t>0</w:t>
            </w:r>
          </w:p>
        </w:tc>
      </w:tr>
    </w:tbl>
    <w:p w14:paraId="39029713">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default" w:ascii="黑体" w:hAnsi="宋体" w:eastAsia="黑体" w:cs="黑体"/>
          <w:kern w:val="2"/>
          <w:sz w:val="32"/>
          <w:szCs w:val="32"/>
          <w:lang w:val="en-US" w:eastAsia="zh-CN" w:bidi="ar"/>
        </w:rPr>
        <w:t> </w:t>
      </w:r>
      <w:r>
        <w:rPr>
          <w:rFonts w:hint="eastAsia" w:ascii="黑体" w:hAnsi="宋体" w:eastAsia="黑体" w:cs="黑体"/>
          <w:kern w:val="2"/>
          <w:sz w:val="32"/>
          <w:szCs w:val="32"/>
          <w:lang w:val="en-US" w:eastAsia="zh-CN" w:bidi="ar"/>
        </w:rPr>
        <w:t>五、存在的主要问题及改进情况</w:t>
      </w:r>
    </w:p>
    <w:p w14:paraId="122A2A32">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（一）存在的主要问题</w:t>
      </w:r>
    </w:p>
    <w:p w14:paraId="6CE38D8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75"/>
        <w:jc w:val="left"/>
        <w:textAlignment w:val="baseline"/>
        <w:rPr>
          <w:rFonts w:hint="eastAsia" w:ascii="宋体" w:hAnsi="宋体" w:eastAsia="宋体" w:cs="宋体"/>
          <w:i w:val="0"/>
          <w:iCs w:val="0"/>
          <w:caps w:val="0"/>
          <w:color w:val="auto"/>
          <w:spacing w:val="0"/>
          <w:sz w:val="14"/>
          <w:szCs w:val="14"/>
          <w:u w:val="none"/>
        </w:rPr>
      </w:pPr>
      <w:r>
        <w:rPr>
          <w:rFonts w:hint="eastAsia" w:ascii="仿宋_GB2312" w:hAnsi="宋体" w:eastAsia="仿宋_GB2312" w:cs="仿宋_GB2312"/>
          <w:i w:val="0"/>
          <w:iCs w:val="0"/>
          <w:caps w:val="0"/>
          <w:color w:val="auto"/>
          <w:spacing w:val="8"/>
          <w:kern w:val="0"/>
          <w:sz w:val="32"/>
          <w:szCs w:val="32"/>
          <w:u w:val="none"/>
          <w:shd w:val="clear" w:fill="FFFFFF"/>
          <w:vertAlign w:val="baseline"/>
          <w:lang w:val="en-US" w:eastAsia="zh-CN" w:bidi="ar"/>
        </w:rPr>
        <w:t>2024年，斋堂镇深入学习贯彻习近平新时代中国特色社会主义思想和党的二十大精神，坚定不移贯彻新发展理念，较好地完成了政府信息公开工作，但仍旧存在以下问题：一是主动公开意识薄弱。一些项目分栏较少,工作动态较多，缺乏对政策的研究解读和主动公开的意识。二是公开力度不足。相对于群众的需求和期望，公开的力度仍然不够，对于信息更新的频率、公开的深度和广度等方面都有待加强。三是协作不够紧密。政府信息公开在信息收集、审核、发布等环节存在脱节和延误的情况。</w:t>
      </w:r>
    </w:p>
    <w:p w14:paraId="2889FC1C">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（二）改进情况</w:t>
      </w:r>
    </w:p>
    <w:p w14:paraId="1FDF7BCA">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宋体" w:hAnsi="宋体" w:eastAsia="宋体" w:cs="宋体"/>
          <w:b w:val="0"/>
          <w:bCs w:val="0"/>
          <w:i w:val="0"/>
          <w:iCs w:val="0"/>
          <w:caps w:val="0"/>
          <w:color w:val="auto"/>
          <w:spacing w:val="0"/>
          <w:sz w:val="14"/>
          <w:szCs w:val="14"/>
          <w:u w:val="none"/>
        </w:rPr>
      </w:pPr>
      <w:r>
        <w:rPr>
          <w:rFonts w:hint="eastAsia" w:ascii="仿宋_GB2312" w:hAnsi="宋体" w:eastAsia="仿宋_GB2312" w:cs="仿宋_GB2312"/>
          <w:b w:val="0"/>
          <w:bCs w:val="0"/>
          <w:i w:val="0"/>
          <w:iCs w:val="0"/>
          <w:caps w:val="0"/>
          <w:color w:val="auto"/>
          <w:spacing w:val="8"/>
          <w:kern w:val="0"/>
          <w:sz w:val="32"/>
          <w:szCs w:val="32"/>
          <w:u w:val="none"/>
          <w:shd w:val="clear" w:fill="FFFFFF"/>
          <w:vertAlign w:val="baseline"/>
          <w:lang w:val="en-US" w:eastAsia="zh-CN" w:bidi="ar"/>
        </w:rPr>
        <w:t>为进一步加强政府信息公开工作，全方位展示我镇最新发展动态，针对现存问题采取以下措施进行改进。</w:t>
      </w:r>
    </w:p>
    <w:p w14:paraId="45209FD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75"/>
        <w:jc w:val="left"/>
        <w:textAlignment w:val="baseline"/>
        <w:rPr>
          <w:rFonts w:hint="eastAsia" w:ascii="宋体" w:hAnsi="宋体" w:eastAsia="宋体" w:cs="宋体"/>
          <w:b w:val="0"/>
          <w:bCs w:val="0"/>
          <w:i w:val="0"/>
          <w:iCs w:val="0"/>
          <w:caps w:val="0"/>
          <w:color w:val="auto"/>
          <w:spacing w:val="0"/>
          <w:sz w:val="14"/>
          <w:szCs w:val="14"/>
          <w:u w:val="none"/>
        </w:rPr>
      </w:pPr>
      <w:r>
        <w:rPr>
          <w:rFonts w:hint="eastAsia" w:ascii="仿宋_GB2312" w:hAnsi="宋体" w:eastAsia="仿宋_GB2312" w:cs="仿宋_GB2312"/>
          <w:b w:val="0"/>
          <w:bCs w:val="0"/>
          <w:i w:val="0"/>
          <w:iCs w:val="0"/>
          <w:caps w:val="0"/>
          <w:color w:val="auto"/>
          <w:spacing w:val="8"/>
          <w:kern w:val="0"/>
          <w:sz w:val="32"/>
          <w:szCs w:val="32"/>
          <w:u w:val="none"/>
          <w:shd w:val="clear" w:fill="FFFFFF"/>
          <w:vertAlign w:val="baseline"/>
          <w:lang w:val="en-US" w:eastAsia="zh-CN" w:bidi="ar"/>
        </w:rPr>
        <w:t>一是强化组织建设。进一步完善人员分工，定期分析、研究与部署政务公开的各项工作，确保政务公开的制度化、标准化和规范化。二是强化信息审核。抓好信息源头属性的认定工作，严格规范信息发布程序，谨慎选择信息公开渠道，确保政府信息发布及时、准确、安全。同时建立健全信息公开内容的审查机制，对依申请公开、不予公开的信息进行全面核查，发现公开属性不正确的及时更正，发现应公开而未公开的及时公开。三是强化信息公开。加强政府各办公室之间的沟通交流，全面拓展政府公开信息来源，对群众关注的土地征收补偿、民生福利待遇、基础设施建设等方面进行重点公开，确保群众对政策应知尽知、应享尽享。</w:t>
      </w:r>
    </w:p>
    <w:p w14:paraId="11679750">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六、其他需要报告的事项</w:t>
      </w:r>
    </w:p>
    <w:p w14:paraId="390DD47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75"/>
        <w:jc w:val="left"/>
        <w:textAlignment w:val="baseline"/>
        <w:rPr>
          <w:rFonts w:hint="eastAsia" w:ascii="仿宋_GB2312" w:hAnsi="宋体" w:eastAsia="仿宋_GB2312" w:cs="仿宋_GB2312"/>
          <w:b w:val="0"/>
          <w:bCs w:val="0"/>
          <w:i w:val="0"/>
          <w:iCs w:val="0"/>
          <w:caps w:val="0"/>
          <w:color w:val="auto"/>
          <w:spacing w:val="8"/>
          <w:kern w:val="0"/>
          <w:sz w:val="32"/>
          <w:szCs w:val="32"/>
          <w:u w:val="none"/>
          <w:shd w:val="clear" w:fill="FFFFFF"/>
          <w:vertAlign w:val="baseline"/>
          <w:lang w:val="en-US" w:eastAsia="zh-CN" w:bidi="ar"/>
        </w:rPr>
      </w:pPr>
      <w:r>
        <w:rPr>
          <w:rFonts w:hint="eastAsia" w:ascii="仿宋_GB2312" w:hAnsi="宋体" w:eastAsia="仿宋_GB2312" w:cs="仿宋_GB2312"/>
          <w:b w:val="0"/>
          <w:bCs w:val="0"/>
          <w:i w:val="0"/>
          <w:iCs w:val="0"/>
          <w:caps w:val="0"/>
          <w:color w:val="auto"/>
          <w:spacing w:val="8"/>
          <w:kern w:val="0"/>
          <w:sz w:val="32"/>
          <w:szCs w:val="32"/>
          <w:u w:val="none"/>
          <w:shd w:val="clear" w:fill="FFFFFF"/>
          <w:vertAlign w:val="baseline"/>
          <w:lang w:val="en-US" w:eastAsia="zh-CN" w:bidi="ar"/>
        </w:rPr>
        <w:t>根据《政府信息公开信息处理费管理办法》(国办函〔2020〕109号)，2024年度斋堂镇人民政府收取信息处理费情况为：发出收费通知的件数为0件，总金额为0元，实际收取的总金额为0元。北京市门头沟区人民政府网站网址为https://www.bjmtg.gov.cn/，如需了解更多政府信息，请登录查询。</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426B249-EA86-4278-9ED5-461BE3EFE5D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B7F8B60-203C-48C6-894A-C57F56C4012D}"/>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embedRegular r:id="rId3" w:fontKey="{F7EF04D6-D480-434B-9FCF-874220914CF5}"/>
  </w:font>
  <w:font w:name="仿宋_GB2312">
    <w:panose1 w:val="02010609030101010101"/>
    <w:charset w:val="86"/>
    <w:family w:val="auto"/>
    <w:pitch w:val="default"/>
    <w:sig w:usb0="00000001" w:usb1="080E0000" w:usb2="00000000" w:usb3="00000000" w:csb0="00040000" w:csb1="00000000"/>
    <w:embedRegular r:id="rId4" w:fontKey="{3D611AA1-8FB8-4F85-B906-B059F5B1CF43}"/>
  </w:font>
  <w:font w:name="楷体">
    <w:panose1 w:val="02010609060101010101"/>
    <w:charset w:val="86"/>
    <w:family w:val="auto"/>
    <w:pitch w:val="default"/>
    <w:sig w:usb0="800002BF" w:usb1="38CF7CFA" w:usb2="00000016" w:usb3="00000000" w:csb0="00040001" w:csb1="00000000"/>
    <w:embedRegular r:id="rId5" w:fontKey="{7B57A88C-FA57-4653-AFD3-A23824BD2FF9}"/>
  </w:font>
  <w:font w:name="Calibri Light">
    <w:panose1 w:val="020F03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4A2DD9"/>
    <w:rsid w:val="02EC027C"/>
    <w:rsid w:val="03381B7C"/>
    <w:rsid w:val="04AB0DB8"/>
    <w:rsid w:val="05DE6A73"/>
    <w:rsid w:val="0AB265BE"/>
    <w:rsid w:val="0B5218A1"/>
    <w:rsid w:val="17C17953"/>
    <w:rsid w:val="1C88476B"/>
    <w:rsid w:val="1ECB72E8"/>
    <w:rsid w:val="250F7ADC"/>
    <w:rsid w:val="2FA73BFB"/>
    <w:rsid w:val="3076262F"/>
    <w:rsid w:val="350C5DF9"/>
    <w:rsid w:val="378123A9"/>
    <w:rsid w:val="419D187E"/>
    <w:rsid w:val="4488086D"/>
    <w:rsid w:val="48691650"/>
    <w:rsid w:val="4AFE29A4"/>
    <w:rsid w:val="4F8247A7"/>
    <w:rsid w:val="50E529B3"/>
    <w:rsid w:val="524E4FA9"/>
    <w:rsid w:val="545E2BEF"/>
    <w:rsid w:val="5EAC1086"/>
    <w:rsid w:val="62145601"/>
    <w:rsid w:val="68D46327"/>
    <w:rsid w:val="6A983E3F"/>
    <w:rsid w:val="6E735E1C"/>
    <w:rsid w:val="704D1FCC"/>
    <w:rsid w:val="72385533"/>
    <w:rsid w:val="73CF75C3"/>
    <w:rsid w:val="7A0B2C16"/>
    <w:rsid w:val="7AF33DF0"/>
    <w:rsid w:val="7D0066B1"/>
    <w:rsid w:val="7F1B2B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Plain Text"/>
    <w:basedOn w:val="1"/>
    <w:qFormat/>
    <w:uiPriority w:val="0"/>
    <w:pPr>
      <w:keepNext w:val="0"/>
      <w:keepLines w:val="0"/>
      <w:widowControl w:val="0"/>
      <w:suppressLineNumbers w:val="0"/>
      <w:spacing w:before="0" w:beforeAutospacing="0" w:after="0" w:afterAutospacing="0"/>
      <w:ind w:left="0" w:right="0"/>
      <w:jc w:val="both"/>
    </w:pPr>
    <w:rPr>
      <w:rFonts w:hint="eastAsia" w:ascii="等线" w:hAnsi="Courier New" w:eastAsia="等线" w:cs="Courier New"/>
      <w:kern w:val="2"/>
      <w:sz w:val="21"/>
      <w:szCs w:val="24"/>
      <w:lang w:val="en-US" w:eastAsia="zh-CN" w:bidi="ar"/>
    </w:rPr>
  </w:style>
  <w:style w:type="paragraph" w:styleId="4">
    <w:name w:val="Normal (Web)"/>
    <w:basedOn w:val="1"/>
    <w:qFormat/>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2182</Words>
  <Characters>2263</Characters>
  <Lines>0</Lines>
  <Paragraphs>0</Paragraphs>
  <TotalTime>4</TotalTime>
  <ScaleCrop>false</ScaleCrop>
  <LinksUpToDate>false</LinksUpToDate>
  <CharactersWithSpaces>2264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Mint1398171869</cp:lastModifiedBy>
  <dcterms:modified xsi:type="dcterms:W3CDTF">2025-01-20T10:40:52Z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67067FF5948B4813B31F702750CC5091_13</vt:lpwstr>
  </property>
  <property fmtid="{D5CDD505-2E9C-101B-9397-08002B2CF9AE}" pid="4" name="KSOTemplateDocerSaveRecord">
    <vt:lpwstr>eyJoZGlkIjoiMDdmNjUwM2Y1NDNmOWE2YzU2MTgyNGU5OGRlNTRlMDciLCJ1c2VySWQiOiIxNDYxNjAxNCJ9</vt:lpwstr>
  </property>
</Properties>
</file>