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2323DCF">
      <w:pPr>
        <w:spacing w:line="56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 w:bidi="ar"/>
        </w:rPr>
        <w:t>北京市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bidi="ar"/>
        </w:rPr>
        <w:t>门头沟区城市管理综合行政执法局2024年政府信息公开工作年度报告</w:t>
      </w:r>
    </w:p>
    <w:p w14:paraId="14B5150C">
      <w:pPr>
        <w:spacing w:line="560" w:lineRule="exact"/>
        <w:jc w:val="center"/>
        <w:rPr>
          <w:sz w:val="44"/>
          <w:szCs w:val="44"/>
        </w:rPr>
      </w:pPr>
      <w:r>
        <w:rPr>
          <w:rFonts w:hint="eastAsia" w:ascii="微软雅黑" w:hAnsi="微软雅黑" w:eastAsia="微软雅黑" w:cs="宋体"/>
          <w:color w:val="404040"/>
          <w:kern w:val="0"/>
          <w:sz w:val="24"/>
          <w:lang w:bidi="ar"/>
        </w:rPr>
        <w:t>　</w:t>
      </w:r>
      <w:r>
        <w:rPr>
          <w:rFonts w:hint="eastAsia" w:ascii="微软雅黑" w:hAnsi="微软雅黑" w:eastAsia="微软雅黑" w:cs="宋体"/>
          <w:color w:val="404040"/>
          <w:kern w:val="0"/>
          <w:sz w:val="32"/>
          <w:szCs w:val="32"/>
          <w:lang w:bidi="ar"/>
        </w:rPr>
        <w:t xml:space="preserve">  </w:t>
      </w:r>
    </w:p>
    <w:p w14:paraId="2739713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依据《中华人民共和国政府信息公开条例》(以下简称《政府信息公开条例》)第五十条规定，编制本报告。</w:t>
      </w:r>
    </w:p>
    <w:p w14:paraId="1271708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</w:pPr>
      <w:r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  <w:t>一、总体情况</w:t>
      </w:r>
    </w:p>
    <w:p w14:paraId="466E1EC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2024年，区城市管理综合行政执法局根据《中华人民共和国政府信息公开条例》及市、区两级要求，建立局信息公开工作领导小组，根据政府信息公开工作制度要求，认真落实信息公开工作，安排信息人员参加政务服务局组织的相关培训。结合实际工作情况，在局相关业务科室的积极配合下，强化信息发布时效性。</w:t>
      </w:r>
    </w:p>
    <w:p w14:paraId="00FFACD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依据单位职责编制并动态更新政务公开全清单，并根据全清单及时在对应的渠道公开应主动公开的信息，重点做好行政处罚和行政检查“双随机”信息公开工作，强化信息公开日常监督检查，对发现的问题限时整改，确保政府信息公开及时准确。</w:t>
      </w:r>
    </w:p>
    <w:p w14:paraId="6B71B33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截至2024年12月，我局主动公开业务动态27条，受理依申请公开6件，已按期给予答复。</w:t>
      </w:r>
    </w:p>
    <w:p w14:paraId="3756178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</w:pPr>
      <w:r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  <w:t>二、主动公开政府信息情况</w:t>
      </w:r>
    </w:p>
    <w:tbl>
      <w:tblPr>
        <w:tblStyle w:val="7"/>
        <w:tblW w:w="9740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35"/>
        <w:gridCol w:w="2435"/>
        <w:gridCol w:w="2435"/>
        <w:gridCol w:w="2435"/>
      </w:tblGrid>
      <w:tr w14:paraId="02D0A68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6CF3A1B6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第二十条第（一）项</w:t>
            </w:r>
          </w:p>
        </w:tc>
      </w:tr>
      <w:tr w14:paraId="2B5EB98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5F7BDA91"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4B10F7E9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本年制发件数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5E2AA3BF"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本年废止件数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54ED622B"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现行有效件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数</w:t>
            </w:r>
          </w:p>
        </w:tc>
      </w:tr>
      <w:tr w14:paraId="34D4704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062F5DAA">
            <w:pPr>
              <w:widowControl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规章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</w:tcPr>
          <w:p w14:paraId="699D8BF3">
            <w:pPr>
              <w:jc w:val="center"/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</w:tcPr>
          <w:p w14:paraId="7E5ABA92">
            <w:pPr>
              <w:jc w:val="center"/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</w:tcPr>
          <w:p w14:paraId="5B66D936">
            <w:pPr>
              <w:jc w:val="center"/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</w:tr>
      <w:tr w14:paraId="233C475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188657DD">
            <w:pPr>
              <w:widowControl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行政规范性文件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</w:tcPr>
          <w:p w14:paraId="1610D686">
            <w:pPr>
              <w:jc w:val="center"/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</w:tcPr>
          <w:p w14:paraId="5D1F85EB">
            <w:pPr>
              <w:jc w:val="center"/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</w:tcPr>
          <w:p w14:paraId="1F91EB74">
            <w:pPr>
              <w:jc w:val="center"/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</w:tr>
      <w:tr w14:paraId="56EA233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1A5ACAA3"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第二十条第（五）项</w:t>
            </w:r>
          </w:p>
        </w:tc>
      </w:tr>
      <w:tr w14:paraId="3F7DF72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5FE3AEE6"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1AD2E0A7"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本年处理决定数量</w:t>
            </w:r>
          </w:p>
        </w:tc>
      </w:tr>
      <w:tr w14:paraId="75ABF21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72C1336C">
            <w:pPr>
              <w:widowControl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行政许可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66EE072">
            <w:pPr>
              <w:widowControl/>
              <w:jc w:val="center"/>
            </w:pPr>
            <w:r>
              <w:rPr>
                <w:rFonts w:hint="eastAsia" w:ascii="Calibri" w:hAnsi="Calibri" w:eastAsia="宋体" w:cs="Calibri"/>
                <w:kern w:val="0"/>
                <w:szCs w:val="21"/>
                <w:lang w:bidi="ar"/>
              </w:rPr>
              <w:t>0</w:t>
            </w:r>
          </w:p>
        </w:tc>
      </w:tr>
      <w:tr w14:paraId="29FD1B8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2FB3C873"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第二十条第（六）项</w:t>
            </w:r>
          </w:p>
        </w:tc>
      </w:tr>
      <w:tr w14:paraId="6D72D52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0FA2D180"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4C9C7FC9"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本年处理决定数量</w:t>
            </w:r>
          </w:p>
        </w:tc>
      </w:tr>
      <w:tr w14:paraId="1D500B6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5E6EC7E2">
            <w:pPr>
              <w:widowControl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行政处罚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A9DB2A2"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15</w:t>
            </w:r>
          </w:p>
        </w:tc>
      </w:tr>
      <w:tr w14:paraId="0D816C4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011B2494">
            <w:pPr>
              <w:widowControl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行政强制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F8CE83F"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 w14:paraId="1BED6DD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41841281"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第二十条第（八）项</w:t>
            </w:r>
          </w:p>
        </w:tc>
      </w:tr>
      <w:tr w14:paraId="07CF6A3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3629B32C"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28AD86E9"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本年收费金额（单位：万元）</w:t>
            </w:r>
          </w:p>
        </w:tc>
      </w:tr>
      <w:tr w14:paraId="5D12206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64F83428">
            <w:pPr>
              <w:widowControl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行政事业性收费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E1CAC63">
            <w:pPr>
              <w:jc w:val="center"/>
              <w:rPr>
                <w:rFonts w:ascii="宋体" w:hAnsi="Times New Roman" w:eastAsia="宋体" w:cs="宋体"/>
                <w:sz w:val="24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</w:tr>
    </w:tbl>
    <w:p w14:paraId="4ADED6A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</w:pPr>
      <w:r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  <w:t>三、收到和处理政府信息公开申请情况</w:t>
      </w:r>
    </w:p>
    <w:tbl>
      <w:tblPr>
        <w:tblStyle w:val="7"/>
        <w:tblW w:w="974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8"/>
        <w:gridCol w:w="943"/>
        <w:gridCol w:w="3220"/>
        <w:gridCol w:w="688"/>
        <w:gridCol w:w="688"/>
        <w:gridCol w:w="688"/>
        <w:gridCol w:w="688"/>
        <w:gridCol w:w="688"/>
        <w:gridCol w:w="688"/>
        <w:gridCol w:w="689"/>
      </w:tblGrid>
      <w:tr w14:paraId="611F50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</w:tblPrEx>
        <w:trPr>
          <w:jc w:val="center"/>
        </w:trPr>
        <w:tc>
          <w:tcPr>
            <w:tcW w:w="4931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 w14:paraId="68C9C7F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val="en-US" w:eastAsia="zh-CN" w:bidi="ar"/>
              </w:rPr>
              <w:t>（本列数据的勾稽关系为：第一项加第二项之和，等于第三项加第四项之和）</w:t>
            </w:r>
          </w:p>
        </w:tc>
        <w:tc>
          <w:tcPr>
            <w:tcW w:w="4817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5ABE739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申请人情况</w:t>
            </w:r>
          </w:p>
        </w:tc>
      </w:tr>
      <w:tr w14:paraId="643FC9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 w14:paraId="68B042C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3E58D39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自然人</w:t>
            </w:r>
          </w:p>
        </w:tc>
        <w:tc>
          <w:tcPr>
            <w:tcW w:w="344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6F6A898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法人或其他组织</w:t>
            </w:r>
          </w:p>
        </w:tc>
        <w:tc>
          <w:tcPr>
            <w:tcW w:w="689" w:type="dxa"/>
            <w:vMerge w:val="restart"/>
            <w:tcBorders>
              <w:top w:val="single" w:color="auto" w:sz="8" w:space="0"/>
              <w:left w:val="nil"/>
              <w:bottom w:val="inset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2BD27DF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</w:tr>
      <w:tr w14:paraId="56FFA6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 w14:paraId="5921EE9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5451A5B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302988E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商业</w:t>
            </w:r>
          </w:p>
          <w:p w14:paraId="43F9ED0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企业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5728627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科研</w:t>
            </w:r>
          </w:p>
          <w:p w14:paraId="278F328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机构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654AB3A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社会公益组织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1981BF8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法律服务机构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2FDD37F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其他</w:t>
            </w:r>
          </w:p>
        </w:tc>
        <w:tc>
          <w:tcPr>
            <w:tcW w:w="689" w:type="dxa"/>
            <w:vMerge w:val="continue"/>
            <w:tcBorders>
              <w:top w:val="single" w:color="auto" w:sz="8" w:space="0"/>
              <w:left w:val="nil"/>
              <w:bottom w:val="inset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2BD30AB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 w14:paraId="340F12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6F68BEA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一、本年新收政府信息公开申请数量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D51646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6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74F391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12E7EF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C6F66B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83BA66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A9EB3C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2E8081F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6</w:t>
            </w:r>
          </w:p>
        </w:tc>
      </w:tr>
      <w:tr w14:paraId="727AAF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680AD7C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二、上年结转政府信息公开申请数量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19889A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88F0C3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24E687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43909E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65CFEA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BE14C9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0F1DFC8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17C02F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restart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0579BD3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三、本年度办理结果</w:t>
            </w: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5B53841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（一）予以公开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549CF3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200" w:firstLineChars="100"/>
              <w:jc w:val="both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B4AD43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567191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9167C5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2CBA0E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0B011C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7A88959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6342F2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7C531AA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68AC197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（二）部分公开</w:t>
            </w: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val="en-US" w:eastAsia="zh-CN" w:bidi="ar"/>
              </w:rPr>
              <w:t>（区分处理的，只计这一情形，不计其他情形）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9C1C51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5385A7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AF8127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FCAE7A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5CEEF4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958B18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020D6C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4BDA17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121C537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1838C10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（三）不予公开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62687CF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1.属于国家秘密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525AA7F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1C02773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754A0CE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7910648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7B2D682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721498B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3893BA3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3E40AE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4C8D1DF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48DF9E2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3CFA371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2.其他法律行政法规禁止公开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161DBCD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26F1B6B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504D4D4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7F2600C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6D5A6E6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6FC4206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6CED2EE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36685E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410EAB1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0219DF1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21790DB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3.危及“三安全一稳定”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1146C9F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6844197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1424944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75FCAEE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6E099A3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10110E4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5B7E7EE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6CE941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5A04354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6C5A344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731B63C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4.保护第三方合法权益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74FCBA8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4AB5169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24316D6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030E57D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57920D4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4C4D92A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186C24F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5E0A8A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16C0BFF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6F5E2A8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4CA48E4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5.属于三类内部事务信息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51014E1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134D167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7591361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5CB6C32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2121CB7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19C6DA3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7F04FCF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0CDB9E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7A8E759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2C4A382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626A5F4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6.属于四类过程性信息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350178C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693AAD1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0329C93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7DA1BD0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410313D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4A59A28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5ED9C3E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206194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128ABE7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24E53CB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6B0D0A8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7.属于行政执法案卷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485A622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02326E2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4F80BE8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7ECD93D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213CCDE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7283906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76A5E86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04D54B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50EC6DD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57B048D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1377BAB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8.属于行政查询事项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779E92D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41C7606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1D54070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5EDCAC5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097B99D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63099F5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69036E9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2C1110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23179BC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387D505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（四）无法提供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44B13D5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1.本机关不掌握相关政府信息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3E1D3C5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6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796C6F0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290B816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1731B52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6F8555B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568E743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05B1ABD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6</w:t>
            </w:r>
          </w:p>
        </w:tc>
      </w:tr>
      <w:tr w14:paraId="4B56DE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5548BDA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5F19463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6E4AC74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2.没有现成信息需要另行制作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6355841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7DCD8A4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5FDC1BA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46D2BD5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2D524BC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4569555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4B1E30B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3E0FCB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394D6C1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36D2509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2063407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3.补正后申请内容仍不明确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6271391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3096C3D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11EB904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7BE1068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163E64C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5BBF715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053503E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6F9AAC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588C473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11CAEDB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（五）不予处理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30FC599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1.信访举报投诉类申请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4D744A5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6656A16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2F8B01A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30D91DB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666D8D6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215A908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01D475F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08923C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56F61D9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7A2B07D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4CFA3AC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2.重复申请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20F92A5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1035D83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62C7633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768016E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17C8147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0DBDD23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6BADA4C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37547B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498ED95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5D38F53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51423E8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3.要求提供公开出版物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565811F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177C00D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05E171A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1D51120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73CB0A5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6F0426C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5603B76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7FF5BE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6B152E9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0D1F38D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457B1B4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4.无正当理由大量反复申请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5049C14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0E53899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63F12B1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14D055D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4106F7D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1C42F2A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5663ACE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5427D6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346CD22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1E64666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30FC757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5.要求行政机关确认或重新出具已获取信息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3E4926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B3DC75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414343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FA5095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421D18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CDCA4F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ECA2B4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70AB0F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4284DB0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restart"/>
            <w:tcBorders>
              <w:top w:val="inset" w:color="auto" w:sz="8" w:space="0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2BFA71E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（六）其他处理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32CD175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1.申请人无正当理由逾期不补正、行政机关不再处理其政府信息公开申请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74D4C2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35D65E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5DCE4F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B2E602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DF62BF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9B62C8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6A1D5C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1B3F35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0F13910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inset" w:color="auto" w:sz="8" w:space="0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5A30F04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729A092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2.申请人逾期未按收费通知要求缴纳费用、行政机关不再处理其政府信息公开申请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70ED6F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66B993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FF0816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C61113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EB3DB4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25B424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CF54E9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228CA2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61EC20A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inset" w:color="auto" w:sz="8" w:space="0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6448603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714FD47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3.其他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5EB334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8352A9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B49650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03B54D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F6268D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A77051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6F3C83D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6D57AD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4631310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71DB46A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（七）总计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3B1331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6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ABBA4D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A3A060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73CAAD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82FEB0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5A6EFF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68E596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6</w:t>
            </w:r>
          </w:p>
        </w:tc>
      </w:tr>
      <w:tr w14:paraId="75E4C0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6A91C3B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四、结转下年度继续办理</w:t>
            </w:r>
          </w:p>
        </w:tc>
        <w:tc>
          <w:tcPr>
            <w:tcW w:w="688" w:type="dxa"/>
            <w:tcBorders>
              <w:top w:val="inset" w:color="auto" w:sz="6" w:space="0"/>
              <w:left w:val="nil"/>
              <w:bottom w:val="inset" w:color="auto" w:sz="6" w:space="0"/>
              <w:right w:val="inset" w:color="auto" w:sz="6" w:space="0"/>
            </w:tcBorders>
            <w:shd w:val="clear" w:color="auto" w:fill="auto"/>
            <w:vAlign w:val="center"/>
          </w:tcPr>
          <w:p w14:paraId="32E7EC1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Times New Roman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inset" w:color="auto" w:sz="6" w:space="0"/>
              <w:left w:val="nil"/>
              <w:bottom w:val="inset" w:color="auto" w:sz="6" w:space="0"/>
              <w:right w:val="inset" w:color="auto" w:sz="6" w:space="0"/>
            </w:tcBorders>
            <w:shd w:val="clear" w:color="auto" w:fill="auto"/>
            <w:vAlign w:val="center"/>
          </w:tcPr>
          <w:p w14:paraId="0F42E20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Times New Roman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inset" w:color="auto" w:sz="6" w:space="0"/>
              <w:left w:val="nil"/>
              <w:bottom w:val="inset" w:color="auto" w:sz="6" w:space="0"/>
              <w:right w:val="inset" w:color="auto" w:sz="6" w:space="0"/>
            </w:tcBorders>
            <w:shd w:val="clear" w:color="auto" w:fill="auto"/>
            <w:vAlign w:val="center"/>
          </w:tcPr>
          <w:p w14:paraId="49A8002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Times New Roman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inset" w:color="auto" w:sz="6" w:space="0"/>
              <w:left w:val="nil"/>
              <w:bottom w:val="inset" w:color="auto" w:sz="6" w:space="0"/>
              <w:right w:val="inset" w:color="auto" w:sz="6" w:space="0"/>
            </w:tcBorders>
            <w:shd w:val="clear" w:color="auto" w:fill="auto"/>
            <w:vAlign w:val="center"/>
          </w:tcPr>
          <w:p w14:paraId="47FF5EC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Times New Roman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inset" w:color="auto" w:sz="6" w:space="0"/>
              <w:left w:val="nil"/>
              <w:bottom w:val="inset" w:color="auto" w:sz="6" w:space="0"/>
              <w:right w:val="inset" w:color="auto" w:sz="6" w:space="0"/>
            </w:tcBorders>
            <w:shd w:val="clear" w:color="auto" w:fill="auto"/>
            <w:vAlign w:val="center"/>
          </w:tcPr>
          <w:p w14:paraId="6FF4552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Times New Roman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inset" w:color="auto" w:sz="6" w:space="0"/>
              <w:left w:val="nil"/>
              <w:bottom w:val="inset" w:color="auto" w:sz="6" w:space="0"/>
              <w:right w:val="inset" w:color="auto" w:sz="6" w:space="0"/>
            </w:tcBorders>
            <w:shd w:val="clear" w:color="auto" w:fill="auto"/>
            <w:vAlign w:val="center"/>
          </w:tcPr>
          <w:p w14:paraId="03AFD66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Times New Roman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inset" w:color="auto" w:sz="6" w:space="0"/>
              <w:left w:val="nil"/>
              <w:bottom w:val="inset" w:color="auto" w:sz="6" w:space="0"/>
              <w:right w:val="inset" w:color="auto" w:sz="6" w:space="0"/>
            </w:tcBorders>
            <w:shd w:val="clear" w:color="auto" w:fill="auto"/>
            <w:vAlign w:val="center"/>
          </w:tcPr>
          <w:p w14:paraId="121104E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Times New Roman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</w:tbl>
    <w:p w14:paraId="7323843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</w:pPr>
      <w:r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  <w:t>四、政府信息公开行政复议、行政诉讼情况</w:t>
      </w:r>
    </w:p>
    <w:tbl>
      <w:tblPr>
        <w:tblStyle w:val="7"/>
        <w:tblW w:w="974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9"/>
        <w:gridCol w:w="649"/>
        <w:gridCol w:w="649"/>
        <w:gridCol w:w="649"/>
        <w:gridCol w:w="649"/>
        <w:gridCol w:w="649"/>
        <w:gridCol w:w="649"/>
        <w:gridCol w:w="650"/>
        <w:gridCol w:w="650"/>
        <w:gridCol w:w="650"/>
        <w:gridCol w:w="651"/>
        <w:gridCol w:w="651"/>
        <w:gridCol w:w="651"/>
        <w:gridCol w:w="651"/>
        <w:gridCol w:w="651"/>
      </w:tblGrid>
      <w:tr w14:paraId="34CC50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  <w:jc w:val="center"/>
        </w:trPr>
        <w:tc>
          <w:tcPr>
            <w:tcW w:w="324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108" w:type="dxa"/>
              <w:right w:w="108" w:type="dxa"/>
            </w:tcMar>
            <w:vAlign w:val="center"/>
          </w:tcPr>
          <w:p w14:paraId="717E3F81"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行政复议</w:t>
            </w:r>
          </w:p>
        </w:tc>
        <w:tc>
          <w:tcPr>
            <w:tcW w:w="6503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108" w:type="dxa"/>
              <w:right w:w="108" w:type="dxa"/>
            </w:tcMar>
            <w:vAlign w:val="center"/>
          </w:tcPr>
          <w:p w14:paraId="5805991E"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行政诉讼</w:t>
            </w:r>
          </w:p>
        </w:tc>
      </w:tr>
      <w:tr w14:paraId="5ED08D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CC1BAEF"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结果维持</w:t>
            </w:r>
          </w:p>
        </w:tc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6836DC8"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纠正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D7015A9"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其他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结果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0DD1AC3"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尚未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审结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3A69CA0"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总计</w:t>
            </w:r>
          </w:p>
        </w:tc>
        <w:tc>
          <w:tcPr>
            <w:tcW w:w="324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108" w:type="dxa"/>
              <w:right w:w="108" w:type="dxa"/>
            </w:tcMar>
            <w:vAlign w:val="center"/>
          </w:tcPr>
          <w:p w14:paraId="6BD66F5D"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未经复议直接起诉</w:t>
            </w:r>
          </w:p>
        </w:tc>
        <w:tc>
          <w:tcPr>
            <w:tcW w:w="325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108" w:type="dxa"/>
              <w:right w:w="108" w:type="dxa"/>
            </w:tcMar>
            <w:vAlign w:val="center"/>
          </w:tcPr>
          <w:p w14:paraId="42895BCD"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复议后起诉</w:t>
            </w:r>
          </w:p>
        </w:tc>
      </w:tr>
      <w:tr w14:paraId="70AFA3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  <w:jc w:val="center"/>
        </w:trPr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5C2B85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3F7B87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F7C8A4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4C015C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C947B4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3B96515"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维持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F277091"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纠正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F2BBD77"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其他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结果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ADC987A"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尚未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审结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7024606"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总计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7C5CB7F"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维持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2EE3FBC"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纠正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9078FFC"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其他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结果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9D82D1B"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尚未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审结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77BAC3D"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总计</w:t>
            </w:r>
          </w:p>
        </w:tc>
      </w:tr>
      <w:tr w14:paraId="79391E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CC25BE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 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15A513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678EC7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9C28DC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0096AF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048118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6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0AEF1D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743FBD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4BB0A0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BA4323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6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8CCDCD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10BF67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C0CF2B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A58E41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3602D30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Times New Roman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</w:tbl>
    <w:p w14:paraId="381DFC8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</w:pPr>
      <w:r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  <w:t>五、存在的主要问题及改进情况</w:t>
      </w:r>
    </w:p>
    <w:p w14:paraId="585E3B5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2024年，我局政府信息公开工作主要问题是部分执法动态更新不及时。下一步，我局将完善内部信息公开流程，加强信息人员培训，确保政府信息公开的及时性、全面性和规范性。</w:t>
      </w:r>
    </w:p>
    <w:p w14:paraId="40C5D10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</w:pPr>
      <w:bookmarkStart w:id="0" w:name="_GoBack"/>
      <w:r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  <w:t>六、其他需要报告的事项</w:t>
      </w:r>
    </w:p>
    <w:bookmarkEnd w:id="0"/>
    <w:p w14:paraId="42D6FFE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根据《政府信息公开信息处理费管理办法》(国办函〔2020〕109号)，2024年度区城管执法局收取信息处理费情况为：发出收费通知的件数为0件，总金额为0元，实际收取的总金额为0元。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CCD219E5-A9D7-4162-B75C-872FB44B5F34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3E4270CE-1EAE-45F0-B46C-71203C3D2AC9}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DCBB41A7-4C94-437C-8C73-4F91F69F721B}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  <w:embedRegular r:id="rId4" w:fontKey="{1EA56174-6F6A-47DB-BDA5-AF5F564D8E52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B695F138-A357-4612-8D60-692860AC960E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6" w:fontKey="{0B6AFEE2-49C6-4179-997A-3B253CE3D5A9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___WRD_EMBED_SUB_43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C9D34C8"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46F5F99"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LNJ&#10;WO7QAAAABQEAAA8AAAAAAAAAAQAgAAAAIgAAAGRycy9kb3ducmV2LnhtbFBLAQIUABQAAAAIAIdO&#10;4kAFYYw/KwIAAFUEAAAOAAAAAAAAAAEAIAAAAB8BAABkcnMvZTJvRG9jLnhtbFBLBQYAAAAABgAG&#10;AFkBAAC8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46F5F99"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U3OGE3ZTQxMWQwNWYzZjBiNGRhMWI4ODVjZWVkZjEifQ=="/>
    <w:docVar w:name="KSO_WPS_MARK_KEY" w:val="b46633d3-65d9-4d47-bea9-123699980ff7"/>
  </w:docVars>
  <w:rsids>
    <w:rsidRoot w:val="12EB65A5"/>
    <w:rsid w:val="00165A3D"/>
    <w:rsid w:val="00337FD5"/>
    <w:rsid w:val="00994212"/>
    <w:rsid w:val="009D39D8"/>
    <w:rsid w:val="0208294C"/>
    <w:rsid w:val="0339544E"/>
    <w:rsid w:val="12EB65A5"/>
    <w:rsid w:val="164B3423"/>
    <w:rsid w:val="16C23AFA"/>
    <w:rsid w:val="17371930"/>
    <w:rsid w:val="174D5C54"/>
    <w:rsid w:val="18033668"/>
    <w:rsid w:val="1D5D6E24"/>
    <w:rsid w:val="1D9D4F02"/>
    <w:rsid w:val="20977EB3"/>
    <w:rsid w:val="213E0B73"/>
    <w:rsid w:val="21AD09D2"/>
    <w:rsid w:val="234734B6"/>
    <w:rsid w:val="25871C98"/>
    <w:rsid w:val="25B25B45"/>
    <w:rsid w:val="2E1B49FC"/>
    <w:rsid w:val="2EB35BD6"/>
    <w:rsid w:val="2EEE1E6F"/>
    <w:rsid w:val="2F2D192B"/>
    <w:rsid w:val="305D48EB"/>
    <w:rsid w:val="325B56DA"/>
    <w:rsid w:val="3330627F"/>
    <w:rsid w:val="335A04B6"/>
    <w:rsid w:val="37643766"/>
    <w:rsid w:val="3C5F0E59"/>
    <w:rsid w:val="3E364377"/>
    <w:rsid w:val="3EAB7648"/>
    <w:rsid w:val="40B530C4"/>
    <w:rsid w:val="46322CD4"/>
    <w:rsid w:val="48475164"/>
    <w:rsid w:val="4A9F1BA7"/>
    <w:rsid w:val="4DC23FB1"/>
    <w:rsid w:val="575E3C29"/>
    <w:rsid w:val="593558E1"/>
    <w:rsid w:val="5FD760D2"/>
    <w:rsid w:val="60BC260E"/>
    <w:rsid w:val="61723263"/>
    <w:rsid w:val="643F20FC"/>
    <w:rsid w:val="65EE4DB6"/>
    <w:rsid w:val="6DFF92D7"/>
    <w:rsid w:val="716C524D"/>
    <w:rsid w:val="78C955FE"/>
    <w:rsid w:val="7A1572FA"/>
    <w:rsid w:val="7C646B12"/>
    <w:rsid w:val="7C792090"/>
    <w:rsid w:val="7D154CE6"/>
    <w:rsid w:val="7EF7E2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3"/>
    <w:basedOn w:val="1"/>
    <w:next w:val="1"/>
    <w:unhideWhenUsed/>
    <w:qFormat/>
    <w:uiPriority w:val="0"/>
    <w:pPr>
      <w:spacing w:beforeAutospacing="1" w:afterAutospacing="1"/>
      <w:jc w:val="left"/>
      <w:outlineLvl w:val="2"/>
    </w:pPr>
    <w:rPr>
      <w:rFonts w:hint="eastAsia" w:ascii="宋体" w:hAnsi="宋体" w:eastAsia="宋体" w:cs="Times New Roman"/>
      <w:b/>
      <w:kern w:val="0"/>
      <w:sz w:val="27"/>
      <w:szCs w:val="27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12"/>
    <w:qFormat/>
    <w:uiPriority w:val="0"/>
    <w:rPr>
      <w:rFonts w:hint="eastAsia" w:ascii="等线" w:hAnsi="Courier New" w:eastAsia="等线" w:cs="Times New Roman"/>
    </w:rPr>
  </w:style>
  <w:style w:type="paragraph" w:styleId="4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6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rFonts w:cs="Times New Roman"/>
      <w:kern w:val="0"/>
      <w:sz w:val="24"/>
    </w:r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paragraph" w:customStyle="1" w:styleId="10">
    <w:name w:val="列出段落1"/>
    <w:basedOn w:val="1"/>
    <w:unhideWhenUsed/>
    <w:qFormat/>
    <w:uiPriority w:val="99"/>
    <w:pPr>
      <w:ind w:firstLine="420" w:firstLineChars="200"/>
    </w:pPr>
  </w:style>
  <w:style w:type="character" w:customStyle="1" w:styleId="11">
    <w:name w:val="页脚 Char"/>
    <w:basedOn w:val="8"/>
    <w:link w:val="4"/>
    <w:qFormat/>
    <w:uiPriority w:val="0"/>
    <w:rPr>
      <w:kern w:val="2"/>
      <w:sz w:val="18"/>
      <w:szCs w:val="24"/>
    </w:rPr>
  </w:style>
  <w:style w:type="character" w:customStyle="1" w:styleId="12">
    <w:name w:val="纯文本 Char"/>
    <w:basedOn w:val="8"/>
    <w:link w:val="2"/>
    <w:qFormat/>
    <w:uiPriority w:val="0"/>
    <w:rPr>
      <w:rFonts w:hint="eastAsia" w:ascii="等线" w:hAnsi="Courier New" w:eastAsia="等线" w:cs="Courier New"/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区委办公室</Company>
  <Pages>3</Pages>
  <Words>1439</Words>
  <Characters>1481</Characters>
  <Lines>11</Lines>
  <Paragraphs>3</Paragraphs>
  <TotalTime>0</TotalTime>
  <ScaleCrop>false</ScaleCrop>
  <LinksUpToDate>false</LinksUpToDate>
  <CharactersWithSpaces>1551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2025-01-15T06:39:00Z</dcterms:created>
  <dc:creator>MRX</dc:creator>
  <cp:lastModifiedBy>Mint1398171869</cp:lastModifiedBy>
  <cp:lastPrinted>2025-01-06T09:36:00Z</cp:lastPrinted>
  <dcterms:modified xsi:type="dcterms:W3CDTF">2025-01-21T02:19:42Z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19E446F6926C4598BF2D1411B15EE6C3_13</vt:lpwstr>
  </property>
  <property fmtid="{D5CDD505-2E9C-101B-9397-08002B2CF9AE}" pid="4" name="KSOTemplateDocerSaveRecord">
    <vt:lpwstr>eyJoZGlkIjoiMDdmNjUwM2Y1NDNmOWE2YzU2MTgyNGU5OGRlNTRlMDciLCJ1c2VySWQiOiIxNDYxNjAxNCJ9</vt:lpwstr>
  </property>
</Properties>
</file>