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both"/>
      </w:pPr>
    </w:p>
    <w:p>
      <w:pPr>
        <w:spacing w:line="240" w:lineRule="atLeast"/>
        <w:jc w:val="both"/>
        <w:rPr>
          <w:rFonts w:ascii="仿宋_GB2312" w:hAnsi="宋体-18030" w:eastAsia="仿宋_GB2312"/>
          <w:b/>
          <w:bCs/>
          <w:color w:val="FF0000"/>
          <w:spacing w:val="-36"/>
          <w:w w:val="66"/>
          <w:sz w:val="13"/>
          <w:szCs w:val="13"/>
        </w:rPr>
      </w:pPr>
    </w:p>
    <w:p>
      <w:pPr>
        <w:pStyle w:val="2"/>
      </w:pPr>
    </w:p>
    <w:p>
      <w:pPr>
        <w:pStyle w:val="3"/>
      </w:pPr>
    </w:p>
    <w:p>
      <w:pPr>
        <w:spacing w:line="240" w:lineRule="atLeast"/>
        <w:jc w:val="center"/>
        <w:rPr>
          <w:rFonts w:ascii="仿宋_GB2312"/>
          <w:sz w:val="36"/>
          <w:szCs w:val="36"/>
        </w:rPr>
      </w:pPr>
      <w:r>
        <w:rPr>
          <w:rFonts w:hint="eastAsia" w:ascii="仿宋_GB2312" w:hAnsi="宋体-18030" w:eastAsia="仿宋_GB2312"/>
          <w:b/>
          <w:bCs/>
          <w:color w:val="FF0000"/>
          <w:spacing w:val="-36"/>
          <w:w w:val="66"/>
          <w:sz w:val="94"/>
          <w:szCs w:val="94"/>
        </w:rPr>
        <w:pict>
          <v:shape id="_x0000_i1025" o:spt="136" type="#_x0000_t136" style="height:56.25pt;width:420.75pt;" fillcolor="#FF0000" filled="t" coordsize="21600,21600">
            <v:path/>
            <v:fill on="t" focussize="0,0"/>
            <v:stroke color="#FF0000"/>
            <v:imagedata o:title=""/>
            <o:lock v:ext="edit"/>
            <v:textpath on="t" fitshape="t" fitpath="t" trim="t" xscale="f" string="北京市门头沟区安全生产委员会文件" style="font-family:华文中宋;font-size:36pt;v-text-align:center;"/>
            <w10:wrap type="none"/>
            <w10:anchorlock/>
          </v:shape>
        </w:pict>
      </w:r>
    </w:p>
    <w:p>
      <w:pPr>
        <w:spacing w:line="240" w:lineRule="atLeast"/>
        <w:rPr>
          <w:rFonts w:ascii="仿宋_GB2312"/>
          <w:sz w:val="32"/>
          <w:szCs w:val="32"/>
        </w:rPr>
      </w:pPr>
    </w:p>
    <w:p>
      <w:pPr>
        <w:spacing w:line="240" w:lineRule="atLeast"/>
        <w:jc w:val="center"/>
        <w:rPr>
          <w:color w:val="FF0000"/>
          <w:sz w:val="18"/>
          <w:szCs w:val="18"/>
          <w:u w:val="thick"/>
        </w:rPr>
      </w:pPr>
      <w:r>
        <w:rPr>
          <w:rFonts w:hint="eastAsia" w:ascii="仿宋_GB2312" w:eastAsia="仿宋_GB2312" w:cs="仿宋_GB2312"/>
          <w:sz w:val="32"/>
          <w:szCs w:val="32"/>
        </w:rPr>
        <w:t>门安发〔</w:t>
      </w:r>
      <w:r>
        <w:rPr>
          <w:rFonts w:ascii="仿宋_GB2312" w:eastAsia="仿宋_GB2312" w:cs="仿宋_GB2312"/>
          <w:sz w:val="32"/>
          <w:szCs w:val="32"/>
        </w:rPr>
        <w:t>20</w:t>
      </w:r>
      <w:r>
        <w:rPr>
          <w:rFonts w:hint="eastAsia" w:ascii="仿宋_GB2312" w:eastAsia="仿宋_GB2312" w:cs="仿宋_GB2312"/>
          <w:sz w:val="32"/>
          <w:szCs w:val="32"/>
          <w:lang w:val="en-US" w:eastAsia="zh-CN"/>
        </w:rPr>
        <w:t>25</w:t>
      </w:r>
      <w:r>
        <w:rPr>
          <w:rFonts w:hint="eastAsia" w:ascii="仿宋_GB2312" w:eastAsia="仿宋_GB2312" w:cs="仿宋_GB2312"/>
          <w:sz w:val="32"/>
          <w:szCs w:val="32"/>
        </w:rPr>
        <w:t>〕</w:t>
      </w:r>
      <w:r>
        <w:rPr>
          <w:rFonts w:hint="eastAsia" w:ascii="仿宋_GB2312" w:eastAsia="仿宋_GB2312" w:cs="仿宋_GB2312"/>
          <w:sz w:val="32"/>
          <w:szCs w:val="32"/>
          <w:lang w:val="en-US" w:eastAsia="zh-CN"/>
        </w:rPr>
        <w:t>2</w:t>
      </w:r>
      <w:bookmarkStart w:id="0" w:name="_GoBack"/>
      <w:bookmarkEnd w:id="0"/>
      <w:r>
        <w:rPr>
          <w:rFonts w:hint="eastAsia" w:ascii="仿宋_GB2312" w:eastAsia="仿宋_GB2312" w:cs="仿宋_GB2312"/>
          <w:sz w:val="32"/>
          <w:szCs w:val="32"/>
        </w:rPr>
        <w:t>号</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textAlignment w:val="auto"/>
        <w:outlineLvl w:val="9"/>
        <w:rPr>
          <w:rFonts w:hint="eastAsia" w:ascii="方正小标宋简体" w:hAnsi="方正小标宋简体" w:eastAsia="方正小标宋简体" w:cs="方正小标宋简体"/>
          <w:color w:val="000000"/>
          <w:kern w:val="0"/>
          <w:sz w:val="44"/>
          <w:szCs w:val="44"/>
          <w:lang w:val="en-US" w:eastAsia="zh-CN" w:bidi="ar"/>
        </w:rPr>
      </w:pPr>
      <w: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99060</wp:posOffset>
                </wp:positionV>
                <wp:extent cx="5829300" cy="0"/>
                <wp:effectExtent l="0" t="9525" r="7620" b="13335"/>
                <wp:wrapNone/>
                <wp:docPr id="2" name="直接连接符 2"/>
                <wp:cNvGraphicFramePr/>
                <a:graphic xmlns:a="http://schemas.openxmlformats.org/drawingml/2006/main">
                  <a:graphicData uri="http://schemas.microsoft.com/office/word/2010/wordprocessingShape">
                    <wps:wsp>
                      <wps:cNvCnPr/>
                      <wps:spPr>
                        <a:xfrm flipV="1">
                          <a:off x="0" y="0"/>
                          <a:ext cx="5829300" cy="0"/>
                        </a:xfrm>
                        <a:prstGeom prst="line">
                          <a:avLst/>
                        </a:prstGeom>
                        <a:ln w="1905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9pt;margin-top:7.8pt;height:0pt;width:459pt;z-index:251659264;mso-width-relative:page;mso-height-relative:page;" filled="f" stroked="t" coordsize="21600,21600" o:gfxdata="UEsDBAoAAAAAAIdO4kAAAAAAAAAAAAAAAAAEAAAAZHJzL1BLAwQUAAAACACHTuJAI7ExqNYAAAAJ&#10;AQAADwAAAGRycy9kb3ducmV2LnhtbE2PQUvDQBCF74L/YRnBW7sbxVJjNkUKFqIItrb3bXaahGZn&#10;w+42rf/eEQ96nPceb75XLC6uFyOG2HnSkE0VCKTa244aDdvPl8kcREyGrOk9oYYvjLAor68Kk1t/&#10;pjWOm9QILqGYGw1tSkMuZaxbdCZO/YDE3sEHZxKfoZE2mDOXu17eKTWTznTEH1oz4LLF+rg5OQ30&#10;9hrWx4/35W61wvH+eajsoaq0vr3J1BOIhJf0F4YffEaHkpn2/kQ2il7DJJvzlsTGwwwEBx6VYmH/&#10;K8iykP8XlN9QSwMEFAAAAAgAh07iQKf4zxzpAQAArwMAAA4AAABkcnMvZTJvRG9jLnhtbK1TzW4T&#10;MRC+I/EOlu9kN4uK2lU2PTSEC4JI/Nwn/tm15D/ZbjZ5CV4AiRucOHLnbVoeg7E3jdpyQYg9jMae&#10;8TfzfTO7uNwbTXYiROVsR+ezmhJhmePK9h398H797JySmMBy0M6Kjh5EpJfLp08Wo29F4wanuQgE&#10;QWxsR9/RISXfVlVkgzAQZ84Li0HpgoGEx9BXPMCI6EZXTV2/qEYXuA+OiRjxdjUF6bLgSylYeitl&#10;FInojmJvqdhQ7DbbarmAtg/gB8WObcA/dGFAWSx6glpBAnId1B9QRrHgopNpxpypnJSKicIB2czr&#10;R2zeDeBF4YLiRH+SKf4/WPZmtwlE8Y42lFgwOKLbzz9uPn399fML2tvv30iTRRp9bDH3ym7C8RT9&#10;JmTGexkMkVr5jzj/ogGyIvsi8eEksdgnwvDy7Ly5eF7jJNhdrJogMpQPMb0SzpDsdFQrm9lDC7vX&#10;MWFZTL1LydfakhFrXtRnGQ9we6SGhK7xyCfavjyOTiu+VlrnJzH02ysdyA5wH9brGr/MDoEfpOUq&#10;K4jDlFdC06YMAvhLy0k6eFTK4krT3IMRnBIt8A/IHgJCm0Dpv8nE0trmB6Js65FolnsSOHtbxw84&#10;pWsfVD+gMPPSc47gVpTujxuc1+7+Gf37/9ny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COxMajW&#10;AAAACQEAAA8AAAAAAAAAAQAgAAAAIgAAAGRycy9kb3ducmV2LnhtbFBLAQIUABQAAAAIAIdO4kCn&#10;+M8c6QEAAK8DAAAOAAAAAAAAAAEAIAAAACUBAABkcnMvZTJvRG9jLnhtbFBLBQYAAAAABgAGAFkB&#10;AACABQAAAAA=&#10;">
                <v:fill on="f" focussize="0,0"/>
                <v:stroke weight="1.5pt" color="#FF0000" joinstyle="round"/>
                <v:imagedata o:title=""/>
                <o:lock v:ext="edit" aspectratio="f"/>
              </v:line>
            </w:pict>
          </mc:Fallback>
        </mc:AlternateConten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北京市门头沟区安全生产委员会关于</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印发《北京市门头沟区关于强化</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危险化学品“一件事”全链条</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安全管理的若干措施》</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的通知</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eastAsia="仿宋_GB2312" w:cs="仿宋_GB2312"/>
          <w:color w:val="000000"/>
          <w:sz w:val="31"/>
          <w:szCs w:val="31"/>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auto"/>
        <w:rPr>
          <w:rFonts w:hint="eastAsia" w:ascii="仿宋_GB2312" w:eastAsia="仿宋_GB2312" w:cs="仿宋_GB2312"/>
          <w:color w:val="000000"/>
          <w:sz w:val="31"/>
          <w:szCs w:val="31"/>
          <w:lang w:val="en-US" w:eastAsia="zh-CN"/>
        </w:rPr>
      </w:pPr>
      <w:r>
        <w:rPr>
          <w:rFonts w:hint="eastAsia" w:ascii="仿宋_GB2312" w:eastAsia="仿宋_GB2312" w:cs="仿宋_GB2312"/>
          <w:color w:val="000000"/>
          <w:sz w:val="31"/>
          <w:szCs w:val="31"/>
          <w:lang w:val="en-US" w:eastAsia="zh-CN"/>
        </w:rPr>
        <w:t>区各相关单位、各镇街、中关村门头沟园：</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both"/>
        <w:textAlignment w:val="auto"/>
        <w:rPr>
          <w:rFonts w:hint="eastAsia" w:ascii="仿宋_GB2312" w:eastAsia="仿宋_GB2312" w:cs="仿宋_GB2312"/>
          <w:color w:val="000000"/>
          <w:sz w:val="31"/>
          <w:szCs w:val="31"/>
          <w:lang w:val="en-US" w:eastAsia="zh-CN"/>
        </w:rPr>
      </w:pPr>
      <w:r>
        <w:rPr>
          <w:rFonts w:hint="eastAsia" w:ascii="仿宋_GB2312" w:eastAsia="仿宋_GB2312" w:cs="仿宋_GB2312"/>
          <w:color w:val="000000"/>
          <w:sz w:val="31"/>
          <w:szCs w:val="31"/>
          <w:lang w:val="en-US" w:eastAsia="zh-CN"/>
        </w:rPr>
        <w:t>《北京市门头沟区关于强化危险化学品“一件事”全链条安全管理的若干措施》已征求各单位意见并进行修改，现印发给你们，请结合实际认真抓好落实。</w:t>
      </w:r>
    </w:p>
    <w:p>
      <w:pPr>
        <w:pStyle w:val="2"/>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both"/>
        <w:textAlignment w:val="auto"/>
        <w:rPr>
          <w:rFonts w:hint="eastAsia" w:ascii="仿宋_GB2312" w:eastAsia="仿宋_GB2312" w:cs="仿宋_GB2312"/>
          <w:color w:val="000000"/>
          <w:sz w:val="31"/>
          <w:szCs w:val="31"/>
          <w:lang w:val="en-US" w:eastAsia="zh-CN"/>
        </w:rPr>
      </w:pPr>
      <w:r>
        <w:rPr>
          <w:rFonts w:hint="eastAsia" w:ascii="仿宋_GB2312" w:eastAsia="仿宋_GB2312" w:cs="仿宋_GB2312"/>
          <w:color w:val="000000"/>
          <w:sz w:val="31"/>
          <w:szCs w:val="31"/>
          <w:lang w:val="en-US" w:eastAsia="zh-CN"/>
        </w:rPr>
        <w:t>附件：北京市门头沟区关于强化危险化学品“一件事”全链条安全管理的若干措施</w:t>
      </w:r>
    </w:p>
    <w:p>
      <w:pPr>
        <w:keepNext w:val="0"/>
        <w:keepLines w:val="0"/>
        <w:pageBreakBefore w:val="0"/>
        <w:widowControl/>
        <w:suppressLineNumbers w:val="0"/>
        <w:kinsoku/>
        <w:wordWrap/>
        <w:overflowPunct/>
        <w:topLinePunct w:val="0"/>
        <w:autoSpaceDE/>
        <w:autoSpaceDN/>
        <w:bidi w:val="0"/>
        <w:adjustRightInd/>
        <w:snapToGrid/>
        <w:spacing w:before="157" w:beforeLines="50" w:line="520" w:lineRule="exact"/>
        <w:ind w:firstLine="620" w:firstLineChars="200"/>
        <w:jc w:val="right"/>
        <w:textAlignment w:val="auto"/>
        <w:rPr>
          <w:rFonts w:hint="eastAsia" w:ascii="仿宋_GB2312" w:eastAsia="仿宋_GB2312" w:cs="仿宋_GB2312"/>
          <w:color w:val="000000"/>
          <w:sz w:val="31"/>
          <w:szCs w:val="31"/>
          <w:lang w:val="en-US" w:eastAsia="zh-CN"/>
        </w:rPr>
      </w:pPr>
      <w:r>
        <w:rPr>
          <w:rFonts w:hint="eastAsia" w:ascii="仿宋_GB2312" w:eastAsia="仿宋_GB2312" w:cs="仿宋_GB2312"/>
          <w:color w:val="000000"/>
          <w:sz w:val="31"/>
          <w:szCs w:val="31"/>
          <w:lang w:val="en-US" w:eastAsia="zh-CN"/>
        </w:rPr>
        <w:t>北京市门头沟区安全生产委员会</w:t>
      </w:r>
    </w:p>
    <w:p>
      <w:pPr>
        <w:keepNext w:val="0"/>
        <w:keepLines w:val="0"/>
        <w:pageBreakBefore w:val="0"/>
        <w:widowControl/>
        <w:suppressLineNumbers w:val="0"/>
        <w:kinsoku/>
        <w:wordWrap w:val="0"/>
        <w:overflowPunct/>
        <w:topLinePunct w:val="0"/>
        <w:autoSpaceDE/>
        <w:autoSpaceDN/>
        <w:bidi w:val="0"/>
        <w:adjustRightInd/>
        <w:snapToGrid/>
        <w:spacing w:line="520" w:lineRule="exact"/>
        <w:ind w:firstLine="620" w:firstLineChars="200"/>
        <w:jc w:val="right"/>
        <w:textAlignment w:val="auto"/>
        <w:rPr>
          <w:rFonts w:hint="eastAsia" w:ascii="仿宋_GB2312" w:eastAsia="仿宋_GB2312" w:cs="仿宋_GB2312"/>
          <w:color w:val="000000"/>
          <w:sz w:val="31"/>
          <w:szCs w:val="31"/>
          <w:lang w:val="en-US" w:eastAsia="zh-CN"/>
        </w:rPr>
      </w:pPr>
      <w:r>
        <w:rPr>
          <w:rFonts w:hint="eastAsia" w:ascii="仿宋_GB2312" w:eastAsia="仿宋_GB2312" w:cs="仿宋_GB2312"/>
          <w:color w:val="000000"/>
          <w:sz w:val="31"/>
          <w:szCs w:val="31"/>
          <w:lang w:val="en-US" w:eastAsia="zh-CN"/>
        </w:rPr>
        <w:t xml:space="preserve">2025年7月2日     </w:t>
      </w:r>
    </w:p>
    <w:p>
      <w:pPr>
        <w:keepNext w:val="0"/>
        <w:keepLines w:val="0"/>
        <w:pageBreakBefore w:val="0"/>
        <w:widowControl/>
        <w:suppressLineNumbers w:val="0"/>
        <w:kinsoku/>
        <w:wordWrap/>
        <w:overflowPunct/>
        <w:topLinePunct w:val="0"/>
        <w:autoSpaceDE/>
        <w:autoSpaceDN/>
        <w:bidi w:val="0"/>
        <w:adjustRightInd/>
        <w:snapToGrid/>
        <w:spacing w:before="157" w:beforeLines="50" w:line="560" w:lineRule="exact"/>
        <w:ind w:firstLine="620" w:firstLineChars="200"/>
        <w:jc w:val="left"/>
        <w:textAlignment w:val="auto"/>
        <w:rPr>
          <w:rFonts w:hint="eastAsia" w:ascii="仿宋_GB2312" w:eastAsia="仿宋_GB2312" w:cs="仿宋_GB2312"/>
          <w:color w:val="000000"/>
          <w:sz w:val="31"/>
          <w:szCs w:val="31"/>
          <w:lang w:val="en-US" w:eastAsia="zh-CN"/>
        </w:rPr>
      </w:pPr>
      <w:r>
        <w:rPr>
          <w:rFonts w:hint="eastAsia" w:ascii="仿宋_GB2312" w:eastAsia="仿宋_GB2312" w:cs="仿宋_GB2312"/>
          <w:color w:val="000000"/>
          <w:sz w:val="31"/>
          <w:szCs w:val="31"/>
          <w:lang w:val="en-US" w:eastAsia="zh-CN"/>
        </w:rPr>
        <w:t>（联系人：李昕卉；联系电话：69843123）</w:t>
      </w:r>
    </w:p>
    <w:p>
      <w:pPr>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spacing w:line="480" w:lineRule="exact"/>
        <w:jc w:val="left"/>
        <w:textAlignment w:val="auto"/>
        <w:rPr>
          <w:rFonts w:hint="eastAsia"/>
        </w:rPr>
      </w:pPr>
      <w:r>
        <w:rPr>
          <w:rFonts w:hint="eastAsia" w:ascii="仿宋_GB2312" w:eastAsia="仿宋_GB2312" w:cs="仿宋_GB2312"/>
          <w:spacing w:val="-20"/>
          <w:sz w:val="28"/>
          <w:szCs w:val="28"/>
        </w:rPr>
        <w:t>北京市门头沟区安全生产委员会办公室</w:t>
      </w:r>
      <w:r>
        <w:rPr>
          <w:rFonts w:ascii="仿宋_GB2312" w:eastAsia="仿宋_GB2312" w:cs="仿宋_GB2312"/>
          <w:sz w:val="28"/>
          <w:szCs w:val="28"/>
        </w:rPr>
        <w:t xml:space="preserve">  </w:t>
      </w:r>
      <w:r>
        <w:rPr>
          <w:rFonts w:hint="eastAsia" w:ascii="仿宋_GB2312" w:eastAsia="仿宋_GB2312" w:cs="仿宋_GB2312"/>
          <w:sz w:val="28"/>
          <w:szCs w:val="28"/>
        </w:rPr>
        <w:t xml:space="preserve">  </w:t>
      </w:r>
      <w:r>
        <w:rPr>
          <w:rFonts w:hint="eastAsia" w:ascii="仿宋_GB2312" w:eastAsia="仿宋_GB2312" w:cs="仿宋_GB2312"/>
          <w:sz w:val="28"/>
          <w:szCs w:val="28"/>
          <w:lang w:val="en-US" w:eastAsia="zh-CN"/>
        </w:rPr>
        <w:t xml:space="preserve">         2025</w:t>
      </w:r>
      <w:r>
        <w:rPr>
          <w:rFonts w:hint="eastAsia" w:ascii="仿宋_GB2312" w:eastAsia="仿宋_GB2312" w:cs="仿宋_GB2312"/>
          <w:spacing w:val="-20"/>
          <w:sz w:val="28"/>
          <w:szCs w:val="28"/>
        </w:rPr>
        <w:t>年</w:t>
      </w:r>
      <w:r>
        <w:rPr>
          <w:rFonts w:hint="eastAsia" w:ascii="仿宋_GB2312" w:eastAsia="仿宋_GB2312" w:cs="仿宋_GB2312"/>
          <w:spacing w:val="-20"/>
          <w:sz w:val="28"/>
          <w:szCs w:val="28"/>
          <w:lang w:val="en-US" w:eastAsia="zh-CN"/>
        </w:rPr>
        <w:t>7</w:t>
      </w:r>
      <w:r>
        <w:rPr>
          <w:rFonts w:hint="eastAsia" w:ascii="仿宋_GB2312" w:eastAsia="仿宋_GB2312" w:cs="仿宋_GB2312"/>
          <w:spacing w:val="-20"/>
          <w:sz w:val="28"/>
          <w:szCs w:val="28"/>
        </w:rPr>
        <w:t>月</w:t>
      </w:r>
      <w:r>
        <w:rPr>
          <w:rFonts w:hint="eastAsia" w:ascii="仿宋_GB2312" w:eastAsia="仿宋_GB2312" w:cs="仿宋_GB2312"/>
          <w:spacing w:val="-20"/>
          <w:sz w:val="28"/>
          <w:szCs w:val="28"/>
          <w:lang w:val="en-US" w:eastAsia="zh-CN"/>
        </w:rPr>
        <w:t>2</w:t>
      </w:r>
      <w:r>
        <w:rPr>
          <w:rFonts w:hint="eastAsia" w:ascii="仿宋_GB2312" w:eastAsia="仿宋_GB2312" w:cs="仿宋_GB2312"/>
          <w:spacing w:val="-20"/>
          <w:sz w:val="28"/>
          <w:szCs w:val="28"/>
        </w:rPr>
        <w:t>日印发</w:t>
      </w:r>
    </w:p>
    <w:p>
      <w:pPr>
        <w:rPr>
          <w:rFonts w:hint="eastAsia" w:ascii="仿宋_GB2312" w:eastAsia="仿宋_GB2312" w:cs="仿宋_GB2312"/>
          <w:color w:val="000000"/>
          <w:sz w:val="31"/>
          <w:szCs w:val="31"/>
          <w:lang w:val="en-US" w:eastAsia="zh-CN"/>
        </w:rPr>
      </w:pPr>
      <w:r>
        <w:rPr>
          <w:rFonts w:hint="eastAsia" w:ascii="仿宋_GB2312" w:eastAsia="仿宋_GB2312" w:cs="仿宋_GB2312"/>
          <w:color w:val="000000"/>
          <w:sz w:val="31"/>
          <w:szCs w:val="31"/>
          <w:lang w:val="en-US" w:eastAsia="zh-CN"/>
        </w:rPr>
        <w:br w:type="page"/>
      </w:r>
    </w:p>
    <w:p>
      <w:pPr>
        <w:keepNext w:val="0"/>
        <w:keepLines w:val="0"/>
        <w:pageBreakBefore w:val="0"/>
        <w:widowControl/>
        <w:suppressLineNumbers w:val="0"/>
        <w:kinsoku/>
        <w:wordWrap/>
        <w:overflowPunct/>
        <w:topLinePunct w:val="0"/>
        <w:autoSpaceDE/>
        <w:autoSpaceDN/>
        <w:bidi w:val="0"/>
        <w:adjustRightInd/>
        <w:snapToGrid/>
        <w:spacing w:line="720" w:lineRule="exact"/>
        <w:jc w:val="both"/>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附件</w:t>
      </w:r>
    </w:p>
    <w:p>
      <w:pPr>
        <w:keepNext w:val="0"/>
        <w:keepLines w:val="0"/>
        <w:pageBreakBefore w:val="0"/>
        <w:widowControl/>
        <w:suppressLineNumbers w:val="0"/>
        <w:kinsoku/>
        <w:wordWrap/>
        <w:overflowPunct/>
        <w:topLinePunct w:val="0"/>
        <w:autoSpaceDE/>
        <w:autoSpaceDN/>
        <w:bidi w:val="0"/>
        <w:adjustRightInd/>
        <w:snapToGrid/>
        <w:spacing w:line="720" w:lineRule="exact"/>
        <w:jc w:val="both"/>
        <w:textAlignment w:val="auto"/>
        <w:rPr>
          <w:rFonts w:hint="eastAsia" w:ascii="黑体" w:hAnsi="黑体" w:eastAsia="黑体" w:cs="黑体"/>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北京市门头沟区关于强化危险化学品</w:t>
      </w:r>
    </w:p>
    <w:p>
      <w:pPr>
        <w:keepNext w:val="0"/>
        <w:keepLines w:val="0"/>
        <w:pageBreakBefore w:val="0"/>
        <w:widowControl/>
        <w:suppressLineNumbers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“一件事”全链条安全管理的</w:t>
      </w:r>
    </w:p>
    <w:p>
      <w:pPr>
        <w:keepNext w:val="0"/>
        <w:keepLines w:val="0"/>
        <w:pageBreakBefore w:val="0"/>
        <w:widowControl/>
        <w:suppressLineNumbers w:val="0"/>
        <w:kinsoku/>
        <w:wordWrap/>
        <w:overflowPunct/>
        <w:topLinePunct w:val="0"/>
        <w:autoSpaceDE/>
        <w:autoSpaceDN/>
        <w:bidi w:val="0"/>
        <w:adjustRightInd/>
        <w:snapToGrid/>
        <w:spacing w:line="720" w:lineRule="exact"/>
        <w:jc w:val="center"/>
        <w:textAlignment w:val="auto"/>
        <w:rPr>
          <w:rFonts w:hint="default"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若干措施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eastAsia="仿宋_GB2312" w:cs="仿宋_GB2312"/>
          <w:color w:val="000000"/>
          <w:sz w:val="31"/>
          <w:szCs w:val="31"/>
          <w:lang w:val="en-US" w:eastAsia="zh-CN"/>
        </w:rPr>
      </w:pPr>
      <w:r>
        <w:rPr>
          <w:rFonts w:hint="eastAsia" w:ascii="仿宋_GB2312" w:hAnsi="仿宋_GB2312" w:eastAsia="仿宋_GB2312" w:cs="仿宋_GB2312"/>
          <w:sz w:val="32"/>
          <w:szCs w:val="32"/>
          <w:lang w:val="en-US" w:eastAsia="zh-CN"/>
        </w:rPr>
        <w:t>为深入落实</w:t>
      </w:r>
      <w:r>
        <w:rPr>
          <w:rFonts w:hint="eastAsia" w:ascii="仿宋_GB2312" w:eastAsia="仿宋_GB2312" w:cs="仿宋_GB2312"/>
          <w:color w:val="000000"/>
          <w:sz w:val="31"/>
          <w:szCs w:val="31"/>
          <w:lang w:val="en-US" w:eastAsia="zh-CN"/>
        </w:rPr>
        <w:t>北京市安全生产委员会《关于强化危险化学品“一件事”全链条安全管理的若干措施》，推进安全生产治本攻坚三年行动重点任务落地落实，破解危化品安全管理各环节亟需解决的突出问题，防范危化品重大安全风险，结合本区实际，现提出如下措施。</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pPr>
      <w:r>
        <w:rPr>
          <w:rFonts w:ascii="黑体" w:hAnsi="宋体" w:eastAsia="黑体" w:cs="黑体"/>
          <w:color w:val="000000"/>
          <w:sz w:val="31"/>
          <w:szCs w:val="31"/>
        </w:rPr>
        <w:t>一、总体要求</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firstLineChars="200"/>
        <w:jc w:val="both"/>
        <w:textAlignment w:val="auto"/>
        <w:rPr>
          <w:rFonts w:hint="default" w:ascii="仿宋_GB2312" w:eastAsia="仿宋_GB2312" w:cs="仿宋_GB2312"/>
          <w:color w:val="000000"/>
          <w:sz w:val="31"/>
          <w:szCs w:val="31"/>
          <w:lang w:val="en-US" w:eastAsia="zh-CN"/>
        </w:rPr>
      </w:pPr>
      <w:r>
        <w:rPr>
          <w:rFonts w:hint="eastAsia" w:ascii="仿宋_GB2312" w:eastAsia="仿宋_GB2312" w:cs="仿宋_GB2312"/>
          <w:color w:val="000000"/>
          <w:sz w:val="31"/>
          <w:szCs w:val="31"/>
          <w:lang w:val="en-US" w:eastAsia="zh-CN"/>
        </w:rPr>
        <w:t>以习近平新时代中国特色社会主义思想为指导，全面贯彻落实党的二十大和二十届二中、三中全会精神，坚持人民至上、生命至上，坚持首善标准、最严要求，严格落实安全生产“三管三必须”要求，明晰监管责任，加强危化品全链条安全管理。到2026年底，危化品安全生产基础进一步夯实，企业安全生产主体责任进一步落实，体制机制法制进一步完善，重大安全风险得到有效管控，危化品安全治理模式向事前预防转型取得新进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重点任务</w:t>
      </w:r>
    </w:p>
    <w:p>
      <w:pPr>
        <w:pStyle w:val="7"/>
        <w:keepNext w:val="0"/>
        <w:keepLines w:val="0"/>
        <w:widowControl/>
        <w:suppressLineNumbers w:val="0"/>
        <w:ind w:left="0" w:firstLine="640"/>
        <w:rPr>
          <w:sz w:val="32"/>
          <w:szCs w:val="32"/>
        </w:rPr>
      </w:pPr>
      <w:r>
        <w:rPr>
          <w:rFonts w:hint="eastAsia" w:ascii="楷体_GB2312" w:hAnsi="楷体_GB2312" w:eastAsia="楷体_GB2312" w:cs="楷体_GB2312"/>
          <w:sz w:val="32"/>
          <w:szCs w:val="32"/>
          <w:lang w:val="en-US" w:eastAsia="zh-CN"/>
        </w:rPr>
        <w:t>（一）</w:t>
      </w:r>
      <w:r>
        <w:rPr>
          <w:rFonts w:ascii="楷体_GB2312" w:eastAsia="楷体_GB2312" w:cs="楷体_GB2312"/>
          <w:color w:val="000000"/>
          <w:sz w:val="32"/>
          <w:szCs w:val="32"/>
        </w:rPr>
        <w:t>加强危险化学品经营安全风险管控</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left="0" w:firstLine="641"/>
        <w:textAlignment w:val="auto"/>
        <w:rPr>
          <w:sz w:val="32"/>
          <w:szCs w:val="32"/>
        </w:rPr>
      </w:pPr>
      <w:r>
        <w:rPr>
          <w:rFonts w:hint="eastAsia" w:ascii="楷体_GB2312" w:eastAsia="楷体_GB2312" w:cs="楷体_GB2312"/>
          <w:color w:val="000000"/>
          <w:sz w:val="32"/>
          <w:szCs w:val="32"/>
          <w:lang w:val="en-US" w:eastAsia="zh-CN"/>
        </w:rPr>
        <w:t>1</w:t>
      </w:r>
      <w:r>
        <w:rPr>
          <w:rFonts w:hint="eastAsia" w:ascii="楷体_GB2312" w:eastAsia="楷体_GB2312" w:cs="楷体_GB2312"/>
          <w:color w:val="000000"/>
          <w:sz w:val="32"/>
          <w:szCs w:val="32"/>
        </w:rPr>
        <w:t>.加强经营许可全链条协同管控。</w:t>
      </w:r>
      <w:r>
        <w:rPr>
          <w:rFonts w:hint="eastAsia" w:ascii="仿宋_GB2312" w:hAnsi="仿宋_GB2312" w:eastAsia="仿宋_GB2312" w:cs="仿宋_GB2312"/>
          <w:kern w:val="2"/>
          <w:sz w:val="32"/>
          <w:szCs w:val="32"/>
          <w:lang w:val="en-US" w:eastAsia="zh-CN" w:bidi="ar-SA"/>
        </w:rPr>
        <w:t>应用国家危化品经营安全监管系统，加强商务、市场监管、经信、应急、公安等部门协同监管和信息共享，推动证照一致性大数据核查，结合群众举报信息，实现“线上+线下”融合监管。严格落实国家有关危化品经营许可的有关要求，以“集中统一配号”强化经营许可和事中事后监管衔接，“一企一档”实施分级分类精准监管。</w:t>
      </w:r>
      <w:r>
        <w:rPr>
          <w:rFonts w:hint="eastAsia" w:ascii="楷体_GB2312" w:eastAsia="楷体_GB2312" w:cs="楷体_GB2312"/>
          <w:color w:val="000000"/>
          <w:sz w:val="32"/>
          <w:szCs w:val="32"/>
        </w:rPr>
        <w:t>（</w:t>
      </w:r>
      <w:r>
        <w:rPr>
          <w:rFonts w:hint="eastAsia" w:ascii="楷体_GB2312" w:eastAsia="楷体_GB2312" w:cs="楷体_GB2312"/>
          <w:color w:val="000000"/>
          <w:sz w:val="32"/>
          <w:szCs w:val="32"/>
          <w:lang w:val="en-US" w:eastAsia="zh-CN"/>
        </w:rPr>
        <w:t>区</w:t>
      </w:r>
      <w:r>
        <w:rPr>
          <w:rFonts w:hint="eastAsia" w:ascii="楷体_GB2312" w:eastAsia="楷体_GB2312" w:cs="楷体_GB2312"/>
          <w:color w:val="000000"/>
          <w:sz w:val="32"/>
          <w:szCs w:val="32"/>
        </w:rPr>
        <w:t>应急局、</w:t>
      </w:r>
      <w:r>
        <w:rPr>
          <w:rFonts w:hint="eastAsia" w:ascii="楷体_GB2312" w:eastAsia="楷体_GB2312" w:cs="楷体_GB2312"/>
          <w:color w:val="000000"/>
          <w:sz w:val="32"/>
          <w:szCs w:val="32"/>
          <w:lang w:val="en-US" w:eastAsia="zh-CN"/>
        </w:rPr>
        <w:t>区</w:t>
      </w:r>
      <w:r>
        <w:rPr>
          <w:rFonts w:hint="eastAsia" w:ascii="楷体_GB2312" w:eastAsia="楷体_GB2312" w:cs="楷体_GB2312"/>
          <w:color w:val="000000"/>
          <w:sz w:val="32"/>
          <w:szCs w:val="32"/>
        </w:rPr>
        <w:t>商务局、</w:t>
      </w:r>
      <w:r>
        <w:rPr>
          <w:rFonts w:hint="eastAsia" w:ascii="楷体_GB2312" w:eastAsia="楷体_GB2312" w:cs="楷体_GB2312"/>
          <w:color w:val="000000"/>
          <w:sz w:val="32"/>
          <w:szCs w:val="32"/>
          <w:lang w:val="en-US" w:eastAsia="zh-CN"/>
        </w:rPr>
        <w:t>区</w:t>
      </w:r>
      <w:r>
        <w:rPr>
          <w:rFonts w:hint="eastAsia" w:ascii="楷体_GB2312" w:eastAsia="楷体_GB2312" w:cs="楷体_GB2312"/>
          <w:color w:val="000000"/>
          <w:sz w:val="32"/>
          <w:szCs w:val="32"/>
        </w:rPr>
        <w:t>市监局、</w:t>
      </w:r>
      <w:r>
        <w:rPr>
          <w:rFonts w:hint="eastAsia" w:ascii="楷体_GB2312" w:eastAsia="楷体_GB2312" w:cs="楷体_GB2312"/>
          <w:color w:val="000000"/>
          <w:sz w:val="32"/>
          <w:szCs w:val="32"/>
          <w:lang w:val="en-US" w:eastAsia="zh-CN"/>
        </w:rPr>
        <w:t>区</w:t>
      </w:r>
      <w:r>
        <w:rPr>
          <w:rFonts w:hint="eastAsia" w:ascii="楷体_GB2312" w:eastAsia="楷体_GB2312" w:cs="楷体_GB2312"/>
          <w:color w:val="000000"/>
          <w:sz w:val="32"/>
          <w:szCs w:val="32"/>
        </w:rPr>
        <w:t>经信局、</w:t>
      </w:r>
      <w:r>
        <w:rPr>
          <w:rFonts w:hint="eastAsia" w:ascii="楷体_GB2312" w:eastAsia="楷体_GB2312" w:cs="楷体_GB2312"/>
          <w:color w:val="000000"/>
          <w:sz w:val="32"/>
          <w:szCs w:val="32"/>
          <w:lang w:val="en-US" w:eastAsia="zh-CN"/>
        </w:rPr>
        <w:t>区</w:t>
      </w:r>
      <w:r>
        <w:rPr>
          <w:rFonts w:hint="eastAsia" w:ascii="楷体_GB2312" w:eastAsia="楷体_GB2312" w:cs="楷体_GB2312"/>
          <w:color w:val="000000"/>
          <w:sz w:val="32"/>
          <w:szCs w:val="32"/>
        </w:rPr>
        <w:t>公安</w:t>
      </w:r>
      <w:r>
        <w:rPr>
          <w:rFonts w:hint="eastAsia" w:ascii="楷体_GB2312" w:eastAsia="楷体_GB2312" w:cs="楷体_GB2312"/>
          <w:color w:val="000000"/>
          <w:sz w:val="32"/>
          <w:szCs w:val="32"/>
          <w:lang w:val="en-US" w:eastAsia="zh-CN"/>
        </w:rPr>
        <w:t>分</w:t>
      </w:r>
      <w:r>
        <w:rPr>
          <w:rFonts w:hint="eastAsia" w:ascii="楷体_GB2312" w:eastAsia="楷体_GB2312" w:cs="楷体_GB2312"/>
          <w:color w:val="000000"/>
          <w:sz w:val="32"/>
          <w:szCs w:val="32"/>
        </w:rPr>
        <w:t>局等按职责分工负责，各</w:t>
      </w:r>
      <w:r>
        <w:rPr>
          <w:rFonts w:hint="eastAsia" w:ascii="楷体_GB2312" w:eastAsia="楷体_GB2312" w:cs="楷体_GB2312"/>
          <w:color w:val="000000"/>
          <w:sz w:val="32"/>
          <w:szCs w:val="32"/>
          <w:lang w:val="en-US" w:eastAsia="zh-CN"/>
        </w:rPr>
        <w:t>镇街、中关村门头沟园配合</w:t>
      </w:r>
      <w:r>
        <w:rPr>
          <w:rFonts w:hint="eastAsia" w:ascii="楷体_GB2312" w:eastAsia="楷体_GB2312" w:cs="楷体_GB2312"/>
          <w:color w:val="000000"/>
          <w:sz w:val="32"/>
          <w:szCs w:val="32"/>
        </w:rPr>
        <w:t>）</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left="0" w:firstLine="641"/>
        <w:textAlignment w:val="auto"/>
        <w:rPr>
          <w:sz w:val="32"/>
          <w:szCs w:val="32"/>
        </w:rPr>
      </w:pPr>
      <w:r>
        <w:rPr>
          <w:rFonts w:hint="eastAsia" w:ascii="楷体_GB2312" w:eastAsia="楷体_GB2312" w:cs="楷体_GB2312"/>
          <w:color w:val="000000"/>
          <w:sz w:val="32"/>
          <w:szCs w:val="32"/>
          <w:lang w:val="en-US" w:eastAsia="zh-CN"/>
        </w:rPr>
        <w:t>2</w:t>
      </w:r>
      <w:r>
        <w:rPr>
          <w:rFonts w:ascii="楷体_GB2312" w:eastAsia="楷体_GB2312" w:cs="楷体_GB2312"/>
          <w:color w:val="000000"/>
          <w:sz w:val="32"/>
          <w:szCs w:val="32"/>
        </w:rPr>
        <w:t>.提升加油站智能化监管水平。</w:t>
      </w:r>
      <w:r>
        <w:rPr>
          <w:rFonts w:hint="eastAsia" w:ascii="仿宋_GB2312" w:hAnsi="仿宋_GB2312" w:eastAsia="仿宋_GB2312" w:cs="仿宋_GB2312"/>
          <w:kern w:val="2"/>
          <w:sz w:val="32"/>
          <w:szCs w:val="32"/>
          <w:lang w:val="en-US" w:eastAsia="zh-CN" w:bidi="ar-SA"/>
        </w:rPr>
        <w:t>持续推进我区加油站智能视频监控系统接入“京西哨兵”监测预警平台二期建设项目，进一步推动加油站安全管理智能化建设。严格落实加油站设置新能源设施安全生产管理机制，规范新能源设施设置范围，合理规划布局，严格新能源设施建设和日常安全管理。</w:t>
      </w:r>
      <w:r>
        <w:rPr>
          <w:rFonts w:hint="eastAsia" w:ascii="楷体_GB2312" w:eastAsia="楷体_GB2312" w:cs="楷体_GB2312"/>
          <w:color w:val="000000"/>
          <w:sz w:val="32"/>
          <w:szCs w:val="32"/>
        </w:rPr>
        <w:t>（</w:t>
      </w:r>
      <w:r>
        <w:rPr>
          <w:rFonts w:hint="eastAsia" w:ascii="楷体_GB2312" w:eastAsia="楷体_GB2312" w:cs="楷体_GB2312"/>
          <w:color w:val="000000"/>
          <w:sz w:val="32"/>
          <w:szCs w:val="32"/>
          <w:lang w:val="en-US" w:eastAsia="zh-CN"/>
        </w:rPr>
        <w:t>区</w:t>
      </w:r>
      <w:r>
        <w:rPr>
          <w:rFonts w:hint="eastAsia" w:ascii="楷体_GB2312" w:eastAsia="楷体_GB2312" w:cs="楷体_GB2312"/>
          <w:color w:val="000000"/>
          <w:sz w:val="32"/>
          <w:szCs w:val="32"/>
        </w:rPr>
        <w:t>应急局、</w:t>
      </w:r>
      <w:r>
        <w:rPr>
          <w:rFonts w:hint="eastAsia" w:ascii="楷体_GB2312" w:eastAsia="楷体_GB2312" w:cs="楷体_GB2312"/>
          <w:color w:val="000000"/>
          <w:sz w:val="32"/>
          <w:szCs w:val="32"/>
          <w:lang w:val="en-US" w:eastAsia="zh-CN"/>
        </w:rPr>
        <w:t>区</w:t>
      </w:r>
      <w:r>
        <w:rPr>
          <w:rFonts w:hint="eastAsia" w:ascii="楷体_GB2312" w:eastAsia="楷体_GB2312" w:cs="楷体_GB2312"/>
          <w:color w:val="000000"/>
          <w:sz w:val="32"/>
          <w:szCs w:val="32"/>
        </w:rPr>
        <w:t>商务局、</w:t>
      </w:r>
      <w:r>
        <w:rPr>
          <w:rFonts w:hint="eastAsia" w:ascii="楷体_GB2312" w:eastAsia="楷体_GB2312" w:cs="楷体_GB2312"/>
          <w:color w:val="000000"/>
          <w:sz w:val="32"/>
          <w:szCs w:val="32"/>
          <w:lang w:val="en-US" w:eastAsia="zh-CN"/>
        </w:rPr>
        <w:t>区</w:t>
      </w:r>
      <w:r>
        <w:rPr>
          <w:rFonts w:hint="eastAsia" w:ascii="楷体_GB2312" w:eastAsia="楷体_GB2312" w:cs="楷体_GB2312"/>
          <w:color w:val="000000"/>
          <w:sz w:val="32"/>
          <w:szCs w:val="32"/>
        </w:rPr>
        <w:t>城管委、</w:t>
      </w:r>
      <w:r>
        <w:rPr>
          <w:rFonts w:hint="eastAsia" w:ascii="楷体_GB2312" w:eastAsia="楷体_GB2312" w:cs="楷体_GB2312"/>
          <w:color w:val="000000"/>
          <w:sz w:val="32"/>
          <w:szCs w:val="32"/>
          <w:lang w:val="en-US" w:eastAsia="zh-CN"/>
        </w:rPr>
        <w:t>区</w:t>
      </w:r>
      <w:r>
        <w:rPr>
          <w:rFonts w:hint="eastAsia" w:ascii="楷体_GB2312" w:eastAsia="楷体_GB2312" w:cs="楷体_GB2312"/>
          <w:color w:val="000000"/>
          <w:sz w:val="32"/>
          <w:szCs w:val="32"/>
        </w:rPr>
        <w:t>消防</w:t>
      </w:r>
      <w:r>
        <w:rPr>
          <w:rFonts w:hint="eastAsia" w:ascii="楷体_GB2312" w:eastAsia="楷体_GB2312" w:cs="楷体_GB2312"/>
          <w:color w:val="000000"/>
          <w:sz w:val="32"/>
          <w:szCs w:val="32"/>
          <w:lang w:val="en-US" w:eastAsia="zh-CN"/>
        </w:rPr>
        <w:t>支队</w:t>
      </w:r>
      <w:r>
        <w:rPr>
          <w:rFonts w:hint="eastAsia" w:ascii="楷体_GB2312" w:eastAsia="楷体_GB2312" w:cs="楷体_GB2312"/>
          <w:color w:val="000000"/>
          <w:sz w:val="32"/>
          <w:szCs w:val="32"/>
        </w:rPr>
        <w:t>等按职责分工负责，各</w:t>
      </w:r>
      <w:r>
        <w:rPr>
          <w:rFonts w:hint="eastAsia" w:ascii="楷体_GB2312" w:eastAsia="楷体_GB2312" w:cs="楷体_GB2312"/>
          <w:color w:val="000000"/>
          <w:sz w:val="32"/>
          <w:szCs w:val="32"/>
          <w:lang w:val="en-US" w:eastAsia="zh-CN"/>
        </w:rPr>
        <w:t>镇街、中关村门头沟园配合</w:t>
      </w:r>
      <w:r>
        <w:rPr>
          <w:rFonts w:hint="eastAsia" w:ascii="楷体_GB2312" w:eastAsia="楷体_GB2312" w:cs="楷体_GB2312"/>
          <w:color w:val="000000"/>
          <w:sz w:val="32"/>
          <w:szCs w:val="32"/>
        </w:rPr>
        <w:t>）</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left="0" w:firstLine="641"/>
        <w:textAlignment w:val="auto"/>
        <w:rPr>
          <w:rFonts w:hint="default" w:ascii="楷体_GB2312" w:eastAsia="楷体_GB2312" w:cs="楷体_GB2312"/>
          <w:color w:val="000000"/>
          <w:sz w:val="32"/>
          <w:szCs w:val="32"/>
          <w:lang w:val="en-US" w:eastAsia="zh-CN"/>
        </w:rPr>
      </w:pPr>
      <w:r>
        <w:rPr>
          <w:rFonts w:hint="default" w:ascii="楷体_GB2312" w:eastAsia="楷体_GB2312" w:cs="楷体_GB2312"/>
          <w:color w:val="000000"/>
          <w:sz w:val="32"/>
          <w:szCs w:val="32"/>
          <w:lang w:val="en-US" w:eastAsia="zh-CN"/>
        </w:rPr>
        <w:t>（</w:t>
      </w:r>
      <w:r>
        <w:rPr>
          <w:rFonts w:hint="eastAsia" w:ascii="楷体_GB2312" w:eastAsia="楷体_GB2312" w:cs="楷体_GB2312"/>
          <w:color w:val="000000"/>
          <w:sz w:val="32"/>
          <w:szCs w:val="32"/>
          <w:lang w:val="en-US" w:eastAsia="zh-CN"/>
        </w:rPr>
        <w:t>二</w:t>
      </w:r>
      <w:r>
        <w:rPr>
          <w:rFonts w:hint="default" w:ascii="楷体_GB2312" w:eastAsia="楷体_GB2312" w:cs="楷体_GB2312"/>
          <w:color w:val="000000"/>
          <w:sz w:val="32"/>
          <w:szCs w:val="32"/>
          <w:lang w:val="en-US" w:eastAsia="zh-CN"/>
        </w:rPr>
        <w:t>）加强危险化学品使用安全风险管控</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left="0" w:firstLine="641"/>
        <w:textAlignment w:val="auto"/>
        <w:rPr>
          <w:rFonts w:hint="default" w:ascii="楷体_GB2312" w:eastAsia="楷体_GB2312" w:cs="楷体_GB2312"/>
          <w:color w:val="000000"/>
          <w:sz w:val="32"/>
          <w:szCs w:val="32"/>
          <w:lang w:val="en-US" w:eastAsia="zh-CN"/>
        </w:rPr>
      </w:pPr>
      <w:r>
        <w:rPr>
          <w:rFonts w:hint="eastAsia" w:ascii="楷体_GB2312" w:eastAsia="楷体_GB2312" w:cs="楷体_GB2312"/>
          <w:color w:val="000000"/>
          <w:kern w:val="0"/>
          <w:sz w:val="32"/>
          <w:szCs w:val="32"/>
          <w:lang w:val="en-US" w:eastAsia="zh-CN" w:bidi="ar"/>
        </w:rPr>
        <w:t>3</w:t>
      </w:r>
      <w:r>
        <w:rPr>
          <w:rFonts w:hint="eastAsia" w:ascii="楷体_GB2312" w:hAnsi="宋体" w:eastAsia="楷体_GB2312" w:cs="楷体_GB2312"/>
          <w:color w:val="000000"/>
          <w:kern w:val="0"/>
          <w:sz w:val="32"/>
          <w:szCs w:val="32"/>
          <w:lang w:val="en-US" w:eastAsia="zh-CN" w:bidi="ar"/>
        </w:rPr>
        <w:t>.</w:t>
      </w:r>
      <w:r>
        <w:rPr>
          <w:rFonts w:hint="default" w:ascii="楷体_GB2312" w:hAnsi="宋体" w:eastAsia="楷体_GB2312" w:cs="楷体_GB2312"/>
          <w:color w:val="000000"/>
          <w:kern w:val="0"/>
          <w:sz w:val="32"/>
          <w:szCs w:val="32"/>
          <w:lang w:val="en-US" w:eastAsia="zh-CN" w:bidi="ar"/>
        </w:rPr>
        <w:t>夯实危化品使用安全管理责任。</w:t>
      </w:r>
      <w:r>
        <w:rPr>
          <w:rFonts w:hint="default" w:ascii="仿宋_GB2312" w:hAnsi="仿宋_GB2312" w:eastAsia="仿宋_GB2312" w:cs="仿宋_GB2312"/>
          <w:sz w:val="32"/>
          <w:szCs w:val="32"/>
          <w:lang w:val="en-US" w:eastAsia="zh-CN"/>
        </w:rPr>
        <w:t>按照安全生产“三管三必须”和“谁主管、谁负责”原则，严格落实《北京市危险化学品安全监管（管理）职责清单》，持续深化教育、科研、卫生、建筑、农业、电力、垃圾处理、水处理、体育等重点行业领域危化品使用安全监管（管理）。</w:t>
      </w:r>
      <w:r>
        <w:rPr>
          <w:rFonts w:hint="default" w:ascii="楷体_GB2312" w:eastAsia="楷体_GB2312" w:cs="楷体_GB2312"/>
          <w:color w:val="000000"/>
          <w:sz w:val="32"/>
          <w:szCs w:val="32"/>
          <w:lang w:val="en-US" w:eastAsia="zh-CN"/>
        </w:rPr>
        <w:t>（</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应急局、</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教委、</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科委、</w:t>
      </w:r>
      <w:r>
        <w:rPr>
          <w:rFonts w:hint="eastAsia" w:ascii="楷体_GB2312" w:eastAsia="楷体_GB2312" w:cs="楷体_GB2312"/>
          <w:color w:val="000000"/>
          <w:sz w:val="32"/>
          <w:szCs w:val="32"/>
          <w:lang w:val="en-US" w:eastAsia="zh-CN"/>
        </w:rPr>
        <w:t>区</w:t>
      </w:r>
      <w:r>
        <w:rPr>
          <w:rFonts w:hint="eastAsia" w:ascii="楷体_GB2312" w:eastAsia="楷体_GB2312" w:cs="楷体_GB2312"/>
          <w:color w:val="000000"/>
          <w:sz w:val="32"/>
          <w:szCs w:val="32"/>
        </w:rPr>
        <w:t>经信局</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卫健委、</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住建委、</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农业农村局、</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城管委、</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水务局、</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园林局、</w:t>
      </w:r>
      <w:r>
        <w:rPr>
          <w:rFonts w:hint="eastAsia" w:ascii="楷体_GB2312" w:eastAsia="楷体_GB2312" w:cs="楷体_GB2312"/>
          <w:color w:val="000000"/>
          <w:sz w:val="32"/>
          <w:szCs w:val="32"/>
          <w:lang w:val="en-US" w:eastAsia="zh-CN"/>
        </w:rPr>
        <w:t>区体育局等按职责分工负责，各镇街、中关村门头沟园配合）</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left="0" w:firstLine="641"/>
        <w:textAlignment w:val="auto"/>
        <w:rPr>
          <w:rFonts w:hint="default" w:ascii="楷体_GB2312" w:eastAsia="楷体_GB2312" w:cs="楷体_GB2312"/>
          <w:color w:val="000000"/>
          <w:sz w:val="32"/>
          <w:szCs w:val="32"/>
          <w:lang w:val="en-US" w:eastAsia="zh-CN"/>
        </w:rPr>
      </w:pPr>
      <w:r>
        <w:rPr>
          <w:rFonts w:hint="eastAsia" w:ascii="楷体_GB2312" w:eastAsia="楷体_GB2312" w:cs="楷体_GB2312"/>
          <w:color w:val="000000"/>
          <w:sz w:val="32"/>
          <w:szCs w:val="32"/>
          <w:lang w:val="en-US" w:eastAsia="zh-CN"/>
        </w:rPr>
        <w:t>4</w:t>
      </w:r>
      <w:r>
        <w:rPr>
          <w:rFonts w:hint="default" w:ascii="楷体_GB2312" w:eastAsia="楷体_GB2312" w:cs="楷体_GB2312"/>
          <w:color w:val="000000"/>
          <w:sz w:val="32"/>
          <w:szCs w:val="32"/>
          <w:lang w:val="en-US" w:eastAsia="zh-CN"/>
        </w:rPr>
        <w:t>.实施危化品使用信息报告。</w:t>
      </w:r>
      <w:r>
        <w:rPr>
          <w:rFonts w:hint="eastAsia" w:ascii="仿宋_GB2312" w:hAnsi="仿宋_GB2312" w:eastAsia="仿宋_GB2312" w:cs="仿宋_GB2312"/>
          <w:color w:val="000000"/>
          <w:sz w:val="32"/>
          <w:szCs w:val="32"/>
          <w:lang w:val="en-US" w:eastAsia="zh-CN"/>
        </w:rPr>
        <w:t>严格落实《北京市危险化学品禁止、限制、控制措施》要求，在限定区域内实施危化品使用信息报告并在全区范围内推广，动态掌握相关单位危化品使用信息和计划。结合使用报告信息，建立完善行业领域危化品使用单位台账，为做好危化品使用环节摸底普查、态势分析、精准监管提供基础。</w:t>
      </w:r>
      <w:r>
        <w:rPr>
          <w:rFonts w:hint="default" w:ascii="楷体_GB2312" w:eastAsia="楷体_GB2312" w:cs="楷体_GB2312"/>
          <w:color w:val="000000"/>
          <w:sz w:val="32"/>
          <w:szCs w:val="32"/>
          <w:lang w:val="en-US" w:eastAsia="zh-CN"/>
        </w:rPr>
        <w:t>（</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应急局、</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教委、</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科委、</w:t>
      </w:r>
      <w:r>
        <w:rPr>
          <w:rFonts w:hint="eastAsia" w:ascii="楷体_GB2312" w:eastAsia="楷体_GB2312" w:cs="楷体_GB2312"/>
          <w:color w:val="000000"/>
          <w:sz w:val="32"/>
          <w:szCs w:val="32"/>
          <w:lang w:val="en-US" w:eastAsia="zh-CN"/>
        </w:rPr>
        <w:t>区</w:t>
      </w:r>
      <w:r>
        <w:rPr>
          <w:rFonts w:hint="eastAsia" w:ascii="楷体_GB2312" w:eastAsia="楷体_GB2312" w:cs="楷体_GB2312"/>
          <w:color w:val="000000"/>
          <w:sz w:val="32"/>
          <w:szCs w:val="32"/>
        </w:rPr>
        <w:t>经信局</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卫健委、</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住建委、</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农业农村局、</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城管委、</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交通</w:t>
      </w:r>
      <w:r>
        <w:rPr>
          <w:rFonts w:hint="eastAsia" w:ascii="楷体_GB2312" w:eastAsia="楷体_GB2312" w:cs="楷体_GB2312"/>
          <w:color w:val="000000"/>
          <w:sz w:val="32"/>
          <w:szCs w:val="32"/>
          <w:lang w:val="en-US" w:eastAsia="zh-CN"/>
        </w:rPr>
        <w:t>局</w:t>
      </w:r>
      <w:r>
        <w:rPr>
          <w:rFonts w:hint="default" w:ascii="楷体_GB2312" w:eastAsia="楷体_GB2312" w:cs="楷体_GB2312"/>
          <w:color w:val="000000"/>
          <w:sz w:val="32"/>
          <w:szCs w:val="32"/>
          <w:lang w:val="en-US" w:eastAsia="zh-CN"/>
        </w:rPr>
        <w:t>、</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水务局、</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园林局、</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体育局等按职责分工负责，各镇街、中关村门头沟园配合）</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left="0" w:firstLine="641"/>
        <w:textAlignment w:val="auto"/>
        <w:rPr>
          <w:rFonts w:hint="default" w:ascii="楷体_GB2312" w:eastAsia="楷体_GB2312" w:cs="楷体_GB2312"/>
          <w:color w:val="000000"/>
          <w:sz w:val="32"/>
          <w:szCs w:val="32"/>
          <w:lang w:val="en-US" w:eastAsia="zh-CN"/>
        </w:rPr>
      </w:pPr>
      <w:r>
        <w:rPr>
          <w:rFonts w:hint="eastAsia" w:ascii="楷体_GB2312" w:eastAsia="楷体_GB2312" w:cs="楷体_GB2312"/>
          <w:color w:val="000000"/>
          <w:sz w:val="32"/>
          <w:szCs w:val="32"/>
          <w:lang w:val="en-US" w:eastAsia="zh-CN"/>
        </w:rPr>
        <w:t>5</w:t>
      </w:r>
      <w:r>
        <w:rPr>
          <w:rFonts w:hint="default" w:ascii="楷体_GB2312" w:eastAsia="楷体_GB2312" w:cs="楷体_GB2312"/>
          <w:color w:val="000000"/>
          <w:sz w:val="32"/>
          <w:szCs w:val="32"/>
          <w:lang w:val="en-US" w:eastAsia="zh-CN"/>
        </w:rPr>
        <w:t>.开展危化品储存设施安全评价。</w:t>
      </w:r>
      <w:r>
        <w:rPr>
          <w:rFonts w:hint="eastAsia" w:ascii="仿宋_GB2312" w:hAnsi="仿宋_GB2312" w:eastAsia="仿宋_GB2312" w:cs="仿宋_GB2312"/>
          <w:color w:val="000000"/>
          <w:sz w:val="32"/>
          <w:szCs w:val="32"/>
          <w:lang w:val="en-US" w:eastAsia="zh-CN"/>
        </w:rPr>
        <w:t>深化使用单位储存设施评价机制，推进实施《北京市危险化学品使用单位储存设施安全评价工作指引（试行）》，督促对新、改、扩建危化品储存设施开展安全预评价、安全设施设计、安全验收评价，防范出现“先天”问题隐患。加强已建危化品储存设施安全风险管控，每三年开展一次安全现状评价或评估，提高本质安全水平。</w:t>
      </w:r>
      <w:r>
        <w:rPr>
          <w:rFonts w:hint="default" w:ascii="楷体_GB2312" w:eastAsia="楷体_GB2312" w:cs="楷体_GB2312"/>
          <w:color w:val="000000"/>
          <w:sz w:val="32"/>
          <w:szCs w:val="32"/>
          <w:lang w:val="en-US" w:eastAsia="zh-CN"/>
        </w:rPr>
        <w:t>（</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应急局、</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教委、</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科委、</w:t>
      </w:r>
      <w:r>
        <w:rPr>
          <w:rFonts w:hint="eastAsia" w:ascii="楷体_GB2312" w:eastAsia="楷体_GB2312" w:cs="楷体_GB2312"/>
          <w:color w:val="000000"/>
          <w:sz w:val="32"/>
          <w:szCs w:val="32"/>
          <w:lang w:val="en-US" w:eastAsia="zh-CN"/>
        </w:rPr>
        <w:t>区</w:t>
      </w:r>
      <w:r>
        <w:rPr>
          <w:rFonts w:hint="eastAsia" w:ascii="楷体_GB2312" w:eastAsia="楷体_GB2312" w:cs="楷体_GB2312"/>
          <w:color w:val="000000"/>
          <w:sz w:val="32"/>
          <w:szCs w:val="32"/>
        </w:rPr>
        <w:t>经信局</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卫健委、</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住建委、</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农业农村局、</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城管委、</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交通</w:t>
      </w:r>
      <w:r>
        <w:rPr>
          <w:rFonts w:hint="eastAsia" w:ascii="楷体_GB2312" w:eastAsia="楷体_GB2312" w:cs="楷体_GB2312"/>
          <w:color w:val="000000"/>
          <w:sz w:val="32"/>
          <w:szCs w:val="32"/>
          <w:lang w:val="en-US" w:eastAsia="zh-CN"/>
        </w:rPr>
        <w:t>局</w:t>
      </w:r>
      <w:r>
        <w:rPr>
          <w:rFonts w:hint="default" w:ascii="楷体_GB2312" w:eastAsia="楷体_GB2312" w:cs="楷体_GB2312"/>
          <w:color w:val="000000"/>
          <w:sz w:val="32"/>
          <w:szCs w:val="32"/>
          <w:lang w:val="en-US" w:eastAsia="zh-CN"/>
        </w:rPr>
        <w:t>、</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水务局、</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园林局、</w:t>
      </w:r>
      <w:r>
        <w:rPr>
          <w:rFonts w:hint="eastAsia" w:ascii="楷体_GB2312" w:eastAsia="楷体_GB2312" w:cs="楷体_GB2312"/>
          <w:color w:val="000000"/>
          <w:sz w:val="32"/>
          <w:szCs w:val="32"/>
          <w:lang w:val="en-US" w:eastAsia="zh-CN"/>
        </w:rPr>
        <w:t>区</w:t>
      </w:r>
      <w:r>
        <w:rPr>
          <w:rFonts w:hint="default" w:ascii="楷体_GB2312" w:eastAsia="楷体_GB2312" w:cs="楷体_GB2312"/>
          <w:color w:val="000000"/>
          <w:sz w:val="32"/>
          <w:szCs w:val="32"/>
          <w:lang w:val="en-US" w:eastAsia="zh-CN"/>
        </w:rPr>
        <w:t>体育局等按职责分工负责，各镇街、中关村门头沟园配合）</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rPr>
          <w:rFonts w:ascii="楷体_GB2312" w:eastAsia="楷体_GB2312" w:cs="楷体_GB2312"/>
          <w:color w:val="000000"/>
          <w:sz w:val="32"/>
          <w:szCs w:val="32"/>
        </w:rPr>
      </w:pPr>
      <w:r>
        <w:rPr>
          <w:rFonts w:ascii="楷体_GB2312" w:eastAsia="楷体_GB2312" w:cs="楷体_GB2312"/>
          <w:color w:val="000000"/>
          <w:sz w:val="32"/>
          <w:szCs w:val="32"/>
        </w:rPr>
        <w:t>（</w:t>
      </w:r>
      <w:r>
        <w:rPr>
          <w:rFonts w:hint="eastAsia" w:ascii="楷体_GB2312" w:eastAsia="楷体_GB2312" w:cs="楷体_GB2312"/>
          <w:color w:val="000000"/>
          <w:sz w:val="32"/>
          <w:szCs w:val="32"/>
          <w:lang w:val="en-US" w:eastAsia="zh-CN"/>
        </w:rPr>
        <w:t>三</w:t>
      </w:r>
      <w:r>
        <w:rPr>
          <w:rFonts w:ascii="楷体_GB2312" w:eastAsia="楷体_GB2312" w:cs="楷体_GB2312"/>
          <w:color w:val="000000"/>
          <w:sz w:val="32"/>
          <w:szCs w:val="32"/>
        </w:rPr>
        <w:t>）加强危险货物运输安全风险管控</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left="0" w:firstLine="641"/>
        <w:textAlignment w:val="auto"/>
        <w:rPr>
          <w:sz w:val="32"/>
          <w:szCs w:val="32"/>
        </w:rPr>
      </w:pPr>
      <w:r>
        <w:rPr>
          <w:rFonts w:hint="eastAsia" w:ascii="楷体_GB2312" w:eastAsia="楷体_GB2312" w:cs="楷体_GB2312"/>
          <w:color w:val="000000"/>
          <w:sz w:val="32"/>
          <w:szCs w:val="32"/>
          <w:lang w:val="en-US" w:eastAsia="zh-CN"/>
        </w:rPr>
        <w:t>6.</w:t>
      </w:r>
      <w:r>
        <w:rPr>
          <w:rFonts w:ascii="楷体_GB2312" w:eastAsia="楷体_GB2312" w:cs="楷体_GB2312"/>
          <w:color w:val="000000"/>
          <w:sz w:val="32"/>
          <w:szCs w:val="32"/>
        </w:rPr>
        <w:t>健全危险货物运输安全监管链条。</w:t>
      </w:r>
      <w:r>
        <w:rPr>
          <w:rFonts w:ascii="仿宋_GB2312" w:eastAsia="仿宋_GB2312" w:cs="仿宋_GB2312"/>
          <w:color w:val="000000"/>
          <w:sz w:val="32"/>
          <w:szCs w:val="32"/>
        </w:rPr>
        <w:t>深入推进交通运输系</w:t>
      </w:r>
      <w:r>
        <w:rPr>
          <w:rFonts w:ascii="仿宋_GB2312" w:eastAsia="仿宋_GB2312" w:cs="仿宋_GB2312"/>
          <w:color w:val="000000"/>
          <w:sz w:val="32"/>
          <w:szCs w:val="32"/>
          <w:lang w:val="en-US" w:eastAsia="zh-CN"/>
        </w:rPr>
        <w:t>统安全生产治本攻坚三年行动，全面排查整治重大事故隐患。严</w:t>
      </w:r>
      <w:r>
        <w:rPr>
          <w:rFonts w:hint="eastAsia" w:ascii="仿宋_GB2312" w:eastAsia="仿宋_GB2312" w:cs="仿宋_GB2312"/>
          <w:color w:val="000000"/>
          <w:sz w:val="32"/>
          <w:szCs w:val="32"/>
        </w:rPr>
        <w:t>把危险货物运输车辆市场准入关，加强车辆配置核查和信息比对，严厉打击无证经营行为。健全信息共享和执法协作机制，严格危险货物运输审批管理和监督检查，严厉查处危险货物谎报瞒报、车辆非法改装、违规装货等违法行为。推动实现危险货物道路运输电子运单全覆盖，深化北斗定位技术在重点运营车辆动态监控中应用，推进在危险货物运输车辆上安装智能视频监控报警装置。落实危化品运输车辆联合审批备案机制。严格特大型公路桥梁、特长公路隧道、饮用水源地危险货物运输车辆通行管控。全面推进危险货物道路运输交通安全协同监管，深化危险货物运输交通安全风险综合评价体系构建、模型研发和标准整合，常态化开展跨部门信息</w:t>
      </w:r>
      <w:r>
        <w:rPr>
          <w:rFonts w:hint="eastAsia" w:ascii="仿宋_GB2312" w:eastAsia="仿宋_GB2312" w:cs="仿宋_GB2312"/>
          <w:color w:val="000000"/>
          <w:sz w:val="32"/>
          <w:szCs w:val="32"/>
          <w:lang w:val="en-US" w:eastAsia="zh-CN"/>
        </w:rPr>
        <w:t>比对、风险动态评价、画像报告推送、“红黄绿”三级监管等工</w:t>
      </w:r>
      <w:r>
        <w:rPr>
          <w:rFonts w:hint="eastAsia" w:ascii="仿宋_GB2312" w:eastAsia="仿宋_GB2312" w:cs="仿宋_GB2312"/>
          <w:color w:val="000000"/>
          <w:sz w:val="32"/>
          <w:szCs w:val="32"/>
        </w:rPr>
        <w:t>作。</w:t>
      </w:r>
      <w:r>
        <w:rPr>
          <w:rFonts w:ascii="楷体_GB2312" w:eastAsia="楷体_GB2312" w:cs="楷体_GB2312"/>
          <w:color w:val="000000"/>
          <w:sz w:val="32"/>
          <w:szCs w:val="32"/>
        </w:rPr>
        <w:t>（</w:t>
      </w:r>
      <w:r>
        <w:rPr>
          <w:rFonts w:hint="eastAsia" w:ascii="楷体_GB2312" w:eastAsia="楷体_GB2312" w:cs="楷体_GB2312"/>
          <w:color w:val="000000"/>
          <w:sz w:val="32"/>
          <w:szCs w:val="32"/>
          <w:lang w:val="en-US" w:eastAsia="zh-CN"/>
        </w:rPr>
        <w:t>区</w:t>
      </w:r>
      <w:r>
        <w:rPr>
          <w:rFonts w:ascii="楷体_GB2312" w:eastAsia="楷体_GB2312" w:cs="楷体_GB2312"/>
          <w:color w:val="000000"/>
          <w:sz w:val="32"/>
          <w:szCs w:val="32"/>
        </w:rPr>
        <w:t>公安</w:t>
      </w:r>
      <w:r>
        <w:rPr>
          <w:rFonts w:hint="eastAsia" w:ascii="楷体_GB2312" w:eastAsia="楷体_GB2312" w:cs="楷体_GB2312"/>
          <w:color w:val="000000"/>
          <w:sz w:val="32"/>
          <w:szCs w:val="32"/>
          <w:lang w:val="en-US" w:eastAsia="zh-CN"/>
        </w:rPr>
        <w:t>分</w:t>
      </w:r>
      <w:r>
        <w:rPr>
          <w:rFonts w:ascii="楷体_GB2312" w:eastAsia="楷体_GB2312" w:cs="楷体_GB2312"/>
          <w:color w:val="000000"/>
          <w:sz w:val="32"/>
          <w:szCs w:val="32"/>
        </w:rPr>
        <w:t>局、</w:t>
      </w:r>
      <w:r>
        <w:rPr>
          <w:rFonts w:hint="eastAsia" w:ascii="楷体_GB2312" w:eastAsia="楷体_GB2312" w:cs="楷体_GB2312"/>
          <w:color w:val="000000"/>
          <w:sz w:val="32"/>
          <w:szCs w:val="32"/>
          <w:lang w:val="en-US" w:eastAsia="zh-CN"/>
        </w:rPr>
        <w:t>区交通局</w:t>
      </w:r>
      <w:r>
        <w:rPr>
          <w:rFonts w:ascii="楷体_GB2312" w:eastAsia="楷体_GB2312" w:cs="楷体_GB2312"/>
          <w:color w:val="000000"/>
          <w:sz w:val="32"/>
          <w:szCs w:val="32"/>
        </w:rPr>
        <w:t>、</w:t>
      </w:r>
      <w:r>
        <w:rPr>
          <w:rFonts w:hint="eastAsia" w:ascii="楷体_GB2312" w:eastAsia="楷体_GB2312" w:cs="楷体_GB2312"/>
          <w:color w:val="000000"/>
          <w:sz w:val="32"/>
          <w:szCs w:val="32"/>
          <w:lang w:val="en-US" w:eastAsia="zh-CN"/>
        </w:rPr>
        <w:t>区交通支队</w:t>
      </w:r>
      <w:r>
        <w:rPr>
          <w:rFonts w:ascii="楷体_GB2312" w:eastAsia="楷体_GB2312" w:cs="楷体_GB2312"/>
          <w:color w:val="000000"/>
          <w:sz w:val="32"/>
          <w:szCs w:val="32"/>
        </w:rPr>
        <w:t>、</w:t>
      </w:r>
      <w:r>
        <w:rPr>
          <w:rFonts w:hint="eastAsia" w:ascii="楷体_GB2312" w:eastAsia="楷体_GB2312" w:cs="楷体_GB2312"/>
          <w:color w:val="000000"/>
          <w:sz w:val="32"/>
          <w:szCs w:val="32"/>
          <w:lang w:val="en-US" w:eastAsia="zh-CN"/>
        </w:rPr>
        <w:t>区</w:t>
      </w:r>
      <w:r>
        <w:rPr>
          <w:rFonts w:ascii="楷体_GB2312" w:eastAsia="楷体_GB2312" w:cs="楷体_GB2312"/>
          <w:color w:val="000000"/>
          <w:sz w:val="32"/>
          <w:szCs w:val="32"/>
        </w:rPr>
        <w:t>经信</w:t>
      </w:r>
      <w:r>
        <w:rPr>
          <w:rFonts w:hint="eastAsia" w:ascii="楷体_GB2312" w:eastAsia="楷体_GB2312" w:cs="楷体_GB2312"/>
          <w:color w:val="000000"/>
          <w:sz w:val="32"/>
          <w:szCs w:val="32"/>
        </w:rPr>
        <w:t>局、</w:t>
      </w:r>
      <w:r>
        <w:rPr>
          <w:rFonts w:hint="eastAsia" w:ascii="楷体_GB2312" w:eastAsia="楷体_GB2312" w:cs="楷体_GB2312"/>
          <w:color w:val="000000"/>
          <w:sz w:val="32"/>
          <w:szCs w:val="32"/>
          <w:lang w:val="en-US" w:eastAsia="zh-CN"/>
        </w:rPr>
        <w:t>区</w:t>
      </w:r>
      <w:r>
        <w:rPr>
          <w:rFonts w:hint="eastAsia" w:ascii="楷体_GB2312" w:eastAsia="楷体_GB2312" w:cs="楷体_GB2312"/>
          <w:color w:val="000000"/>
          <w:sz w:val="32"/>
          <w:szCs w:val="32"/>
        </w:rPr>
        <w:t>应急局等按职责分工负责，各镇街、中关村门头沟园配合）</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rPr>
          <w:rFonts w:hint="eastAsia" w:ascii="仿宋_GB2312" w:eastAsia="仿宋_GB2312" w:cs="仿宋_GB2312"/>
          <w:color w:val="000000"/>
          <w:sz w:val="32"/>
          <w:szCs w:val="32"/>
        </w:rPr>
      </w:pPr>
      <w:r>
        <w:rPr>
          <w:rFonts w:hint="eastAsia" w:ascii="楷体_GB2312" w:hAnsi="楷体_GB2312" w:eastAsia="楷体_GB2312" w:cs="楷体_GB2312"/>
          <w:kern w:val="2"/>
          <w:sz w:val="32"/>
          <w:szCs w:val="32"/>
          <w:lang w:val="en-US" w:eastAsia="zh-CN" w:bidi="ar-SA"/>
        </w:rPr>
        <w:t>（四）加强危险化学品安全监管基础工作</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left="0" w:firstLine="641"/>
        <w:textAlignment w:val="auto"/>
        <w:rPr>
          <w:rFonts w:hint="eastAsia" w:ascii="仿宋_GB2312" w:eastAsia="仿宋_GB2312" w:cs="仿宋_GB2312"/>
          <w:color w:val="000000"/>
          <w:sz w:val="32"/>
          <w:szCs w:val="32"/>
        </w:rPr>
      </w:pPr>
      <w:r>
        <w:rPr>
          <w:rFonts w:hint="eastAsia" w:ascii="楷体_GB2312" w:hAnsi="楷体_GB2312" w:eastAsia="楷体_GB2312" w:cs="楷体_GB2312"/>
          <w:kern w:val="2"/>
          <w:sz w:val="32"/>
          <w:szCs w:val="32"/>
          <w:lang w:val="en-US" w:eastAsia="zh-CN" w:bidi="ar-SA"/>
        </w:rPr>
        <w:t>7.推进危化品安全生产标准化建设。</w:t>
      </w:r>
      <w:r>
        <w:rPr>
          <w:rFonts w:hint="eastAsia" w:ascii="仿宋_GB2312" w:eastAsia="仿宋_GB2312" w:cs="仿宋_GB2312"/>
          <w:color w:val="000000"/>
          <w:sz w:val="32"/>
          <w:szCs w:val="32"/>
        </w:rPr>
        <w:t>督促企业积极开展标准化建设工作，持续提升安全条件和管理水平。根据企业标准化定级结果，落实涉企检查频次要求，减轻企业迎检负担。</w:t>
      </w:r>
      <w:r>
        <w:rPr>
          <w:rFonts w:hint="eastAsia" w:ascii="楷体_GB2312" w:eastAsia="楷体_GB2312" w:cs="楷体_GB2312"/>
          <w:color w:val="000000"/>
          <w:sz w:val="32"/>
          <w:szCs w:val="32"/>
          <w:lang w:val="en-US" w:eastAsia="zh-CN"/>
        </w:rPr>
        <w:t>（区应急局负责，各镇街、中关村门头沟园配合）</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rPr>
          <w:rFonts w:hint="eastAsia" w:ascii="楷体_GB2312" w:eastAsia="楷体_GB2312" w:cs="楷体_GB2312"/>
          <w:color w:val="000000"/>
          <w:sz w:val="32"/>
          <w:szCs w:val="32"/>
          <w:lang w:val="en-US" w:eastAsia="zh-CN"/>
        </w:rPr>
      </w:pPr>
      <w:r>
        <w:rPr>
          <w:rFonts w:hint="eastAsia" w:ascii="楷体_GB2312" w:hAnsi="楷体_GB2312" w:eastAsia="楷体_GB2312" w:cs="楷体_GB2312"/>
          <w:kern w:val="2"/>
          <w:sz w:val="32"/>
          <w:szCs w:val="32"/>
          <w:lang w:val="en-US" w:eastAsia="zh-CN" w:bidi="ar-SA"/>
        </w:rPr>
        <w:t>8.推进危化品法规标准制度建设。</w:t>
      </w:r>
      <w:r>
        <w:rPr>
          <w:rFonts w:hint="eastAsia" w:ascii="仿宋_GB2312" w:eastAsia="仿宋_GB2312" w:cs="仿宋_GB2312"/>
          <w:color w:val="000000"/>
          <w:sz w:val="32"/>
          <w:szCs w:val="32"/>
        </w:rPr>
        <w:t>持续推进《化工和危险化学品生产经营单位重大生产安全事故隐患判定标准》等宣贯培训。督促危化品经营和医药制造企业建立落实事故隐患内部报告奖励等制度机制。</w:t>
      </w:r>
      <w:r>
        <w:rPr>
          <w:rFonts w:hint="eastAsia" w:ascii="楷体_GB2312" w:eastAsia="楷体_GB2312" w:cs="楷体_GB2312"/>
          <w:color w:val="000000"/>
          <w:sz w:val="32"/>
          <w:szCs w:val="32"/>
          <w:lang w:val="en-US" w:eastAsia="zh-CN"/>
        </w:rPr>
        <w:t>（区应急局、区科委、区经信局、区住建委、区公安分局、区卫健委、区教委、区农业农村局、区城管委、区生态环境局、区水务局、区园林局、区交通局、区体育局、区市监局、区商务局、西区邮政局等按职责分工负责，各镇街、中关村门头沟园配合）</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rPr>
          <w:rFonts w:hint="eastAsia" w:ascii="仿宋_GB2312" w:eastAsia="仿宋_GB2312" w:cs="仿宋_GB2312"/>
          <w:color w:val="000000"/>
          <w:sz w:val="32"/>
          <w:szCs w:val="32"/>
        </w:rPr>
      </w:pPr>
      <w:r>
        <w:rPr>
          <w:rFonts w:hint="eastAsia" w:ascii="楷体_GB2312" w:hAnsi="楷体_GB2312" w:eastAsia="楷体_GB2312" w:cs="楷体_GB2312"/>
          <w:kern w:val="2"/>
          <w:sz w:val="32"/>
          <w:szCs w:val="32"/>
          <w:lang w:val="en-US" w:eastAsia="zh-CN" w:bidi="ar-SA"/>
        </w:rPr>
        <w:t>9.提升“企安安”系统应用质效。</w:t>
      </w:r>
      <w:r>
        <w:rPr>
          <w:rFonts w:hint="eastAsia" w:ascii="仿宋_GB2312" w:eastAsia="仿宋_GB2312" w:cs="仿宋_GB2312"/>
          <w:color w:val="000000"/>
          <w:sz w:val="32"/>
          <w:szCs w:val="32"/>
        </w:rPr>
        <w:t>督促企业依托“企安安”系统开展安全隐患排查治理，动态完善隐患台账，持续提升重大事故隐患发现率、问题隐患整改率等。加大监督指导力度，督促企业主要负责人定期带队对本单位重大事故隐患排查整治情况开展检查，推动重大事故隐患动态清零、闭环整改。</w:t>
      </w:r>
      <w:r>
        <w:rPr>
          <w:rFonts w:hint="eastAsia" w:ascii="楷体_GB2312" w:eastAsia="楷体_GB2312" w:cs="楷体_GB2312"/>
          <w:color w:val="000000"/>
          <w:sz w:val="32"/>
          <w:szCs w:val="32"/>
          <w:lang w:val="en-US" w:eastAsia="zh-CN"/>
        </w:rPr>
        <w:t>（区应急局负责，各镇街、中关村门头沟园配合）</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rPr>
          <w:rFonts w:ascii="楷体_GB2312" w:eastAsia="楷体_GB2312" w:cs="楷体_GB2312"/>
          <w:color w:val="000000"/>
          <w:sz w:val="31"/>
          <w:szCs w:val="31"/>
        </w:rPr>
      </w:pPr>
      <w:r>
        <w:rPr>
          <w:rFonts w:hint="eastAsia" w:ascii="楷体_GB2312" w:hAnsi="楷体_GB2312" w:eastAsia="楷体_GB2312" w:cs="楷体_GB2312"/>
          <w:kern w:val="2"/>
          <w:sz w:val="32"/>
          <w:szCs w:val="32"/>
          <w:lang w:val="en-US" w:eastAsia="zh-CN" w:bidi="ar-SA"/>
        </w:rPr>
        <w:t>10.开展常态化危化品“打非”工作。</w:t>
      </w:r>
      <w:r>
        <w:rPr>
          <w:rFonts w:hint="eastAsia" w:ascii="仿宋_GB2312" w:eastAsia="仿宋_GB2312" w:cs="仿宋_GB2312"/>
          <w:color w:val="000000"/>
          <w:sz w:val="32"/>
          <w:szCs w:val="32"/>
        </w:rPr>
        <w:t>利用危化品相关举报投诉线索，深入核查举报信息，严厉查处非法违法生产、经营、储存、运输危化品等行为。深入开展危化品“打非治违”专项行动，加大非法违法“小化工”打击整治力度，推动属地、部门、企业责任落实，综合利用大数据、群众监督等手段，聚焦重点地区、重点场所，保持高压态势，固化“打非治违”长效机制。（</w:t>
      </w:r>
      <w:r>
        <w:rPr>
          <w:rFonts w:hint="eastAsia" w:ascii="楷体_GB2312" w:eastAsia="楷体_GB2312" w:cs="楷体_GB2312"/>
          <w:color w:val="000000"/>
          <w:sz w:val="32"/>
          <w:szCs w:val="32"/>
          <w:lang w:val="en-US" w:eastAsia="zh-CN"/>
        </w:rPr>
        <w:t>区应急局、区公安分局、区交通局、区市监局、区交通支队等按职责分工负责，各镇街、中关村门头沟园配合）</w:t>
      </w:r>
    </w:p>
    <w:p>
      <w:pPr>
        <w:pStyle w:val="7"/>
        <w:keepNext w:val="0"/>
        <w:keepLines w:val="0"/>
        <w:pageBreakBefore w:val="0"/>
        <w:widowControl/>
        <w:suppressLineNumbers w:val="0"/>
        <w:kinsoku/>
        <w:wordWrap/>
        <w:overflowPunct/>
        <w:topLinePunct w:val="0"/>
        <w:autoSpaceDE/>
        <w:autoSpaceDN/>
        <w:bidi w:val="0"/>
        <w:adjustRightInd/>
        <w:snapToGrid/>
        <w:spacing w:line="560" w:lineRule="exact"/>
        <w:ind w:left="0" w:firstLine="641"/>
        <w:textAlignment w:val="auto"/>
        <w:rPr>
          <w:rFonts w:hint="default" w:ascii="楷体_GB2312" w:eastAsia="楷体_GB2312" w:cs="楷体_GB2312"/>
          <w:color w:val="000000"/>
          <w:sz w:val="32"/>
          <w:szCs w:val="32"/>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宋体-18030">
    <w:altName w:val="微软雅黑"/>
    <w:panose1 w:val="02010609060101010101"/>
    <w:charset w:val="86"/>
    <w:family w:val="modern"/>
    <w:pitch w:val="default"/>
    <w:sig w:usb0="00000000" w:usb1="00000000" w:usb2="000A005E"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987EB"/>
    <w:multiLevelType w:val="singleLevel"/>
    <w:tmpl w:val="056987E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BD19E4"/>
    <w:rsid w:val="00A16BE5"/>
    <w:rsid w:val="05516310"/>
    <w:rsid w:val="0EBD19E4"/>
    <w:rsid w:val="0F701365"/>
    <w:rsid w:val="21086470"/>
    <w:rsid w:val="36C106A1"/>
    <w:rsid w:val="37621897"/>
    <w:rsid w:val="3954380F"/>
    <w:rsid w:val="39E25D0C"/>
    <w:rsid w:val="3B6547DC"/>
    <w:rsid w:val="50731F32"/>
    <w:rsid w:val="508D557C"/>
    <w:rsid w:val="51CF1146"/>
    <w:rsid w:val="55223397"/>
    <w:rsid w:val="58F80EBC"/>
    <w:rsid w:val="5B366BD6"/>
    <w:rsid w:val="5CB2629A"/>
    <w:rsid w:val="5E8C3373"/>
    <w:rsid w:val="6C9841E2"/>
    <w:rsid w:val="6F2D6397"/>
    <w:rsid w:val="703A0FD1"/>
    <w:rsid w:val="78337136"/>
    <w:rsid w:val="7C9A0C03"/>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autoSpaceDE w:val="0"/>
      <w:autoSpaceDN w:val="0"/>
      <w:adjustRightInd w:val="0"/>
      <w:ind w:firstLine="420" w:firstLineChars="200"/>
    </w:pPr>
    <w:rPr>
      <w:rFonts w:ascii="宋体"/>
      <w:sz w:val="24"/>
    </w:rPr>
  </w:style>
  <w:style w:type="paragraph" w:styleId="3">
    <w:name w:val="Body Text"/>
    <w:basedOn w:val="1"/>
    <w:next w:val="4"/>
    <w:uiPriority w:val="0"/>
    <w:pPr>
      <w:spacing w:after="120"/>
    </w:pPr>
    <w:rPr>
      <w:kern w:val="0"/>
      <w:sz w:val="20"/>
    </w:rPr>
  </w:style>
  <w:style w:type="paragraph" w:customStyle="1" w:styleId="4">
    <w:name w:val="目录 11"/>
    <w:next w:val="1"/>
    <w:qFormat/>
    <w:uiPriority w:val="0"/>
    <w:pPr>
      <w:wordWrap w:val="0"/>
      <w:jc w:val="both"/>
    </w:pPr>
    <w:rPr>
      <w:rFonts w:ascii="Calibri" w:hAnsi="Calibri" w:eastAsia="宋体" w:cs="Times New Roman"/>
      <w:sz w:val="21"/>
      <w:szCs w:val="22"/>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2778</Words>
  <Characters>2803</Characters>
  <Lines>0</Lines>
  <Paragraphs>0</Paragraphs>
  <TotalTime>0</TotalTime>
  <ScaleCrop>false</ScaleCrop>
  <LinksUpToDate>false</LinksUpToDate>
  <CharactersWithSpaces>2808</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2025-06-10T07:29:00Z</dcterms:created>
  <dc:creator>WPS_1723433919</dc:creator>
  <cp:lastModifiedBy>Lenovos</cp:lastModifiedBy>
  <cp:lastPrinted>2025-06-30T05:57:00Z</cp:lastPrinted>
  <dcterms:modified xsi:type="dcterms:W3CDTF">2025-07-02T06:42:12Z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A4DBB3118D044E85895350602F484554_11</vt:lpwstr>
  </property>
  <property fmtid="{D5CDD505-2E9C-101B-9397-08002B2CF9AE}" pid="4" name="KSOTemplateDocerSaveRecord">
    <vt:lpwstr>eyJoZGlkIjoiYjA3Mzk4MTAxOTFiYjA4ZjNjMjA3ZjdlOTQ5ZTcyMTUiLCJ1c2VySWQiOiIxNjIyMDM5ODA2In0=</vt:lpwstr>
  </property>
</Properties>
</file>