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北京市门头沟区</w:t>
      </w:r>
      <w:r>
        <w:rPr>
          <w:rFonts w:hint="eastAsia" w:ascii="方正小标宋简体" w:hAnsi="方正小标宋简体" w:eastAsia="方正小标宋简体" w:cs="方正小标宋简体"/>
          <w:sz w:val="44"/>
          <w:szCs w:val="44"/>
          <w:lang w:val="en-US" w:eastAsia="zh-CN"/>
        </w:rPr>
        <w:t>人民防空办公室</w:t>
      </w:r>
    </w:p>
    <w:p>
      <w:pPr>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20</w:t>
      </w:r>
      <w:r>
        <w:rPr>
          <w:rFonts w:hint="eastAsia" w:ascii="方正小标宋简体" w:hAnsi="方正小标宋简体" w:eastAsia="方正小标宋简体" w:cs="方正小标宋简体"/>
          <w:sz w:val="44"/>
          <w:szCs w:val="44"/>
        </w:rPr>
        <w:t>20年政府信息</w:t>
      </w:r>
      <w:bookmarkStart w:id="0" w:name="_GoBack"/>
      <w:bookmarkEnd w:id="0"/>
      <w:r>
        <w:rPr>
          <w:rFonts w:hint="eastAsia" w:ascii="方正小标宋简体" w:hAnsi="方正小标宋简体" w:eastAsia="方正小标宋简体" w:cs="方正小标宋简体"/>
          <w:sz w:val="44"/>
          <w:szCs w:val="44"/>
        </w:rPr>
        <w:t>公开工作年度报告</w:t>
      </w:r>
    </w:p>
    <w:p>
      <w:pPr>
        <w:spacing w:line="560" w:lineRule="exact"/>
        <w:jc w:val="center"/>
        <w:rPr>
          <w:sz w:val="44"/>
          <w:szCs w:val="44"/>
        </w:rPr>
      </w:pPr>
    </w:p>
    <w:p>
      <w:pPr>
        <w:widowControl/>
        <w:spacing w:line="560" w:lineRule="exact"/>
        <w:jc w:val="left"/>
        <w:rPr>
          <w:rFonts w:hint="eastAsia" w:ascii="宋体" w:hAnsi="宋体" w:eastAsia="宋体" w:cs="宋体"/>
          <w:i w:val="0"/>
          <w:caps w:val="0"/>
          <w:color w:val="000000"/>
          <w:spacing w:val="0"/>
          <w:sz w:val="14"/>
          <w:szCs w:val="1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依据《中华人民共和国政府信息公开条例》第五十条规定，编制本报告。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firstLine="651"/>
        <w:jc w:val="left"/>
        <w:textAlignment w:val="baseline"/>
        <w:rPr>
          <w:rFonts w:hint="eastAsia" w:ascii="宋体" w:hAnsi="宋体" w:eastAsia="宋体" w:cs="宋体"/>
          <w:i w:val="0"/>
          <w:caps w:val="0"/>
          <w:color w:val="000000"/>
          <w:spacing w:val="0"/>
          <w:sz w:val="14"/>
          <w:szCs w:val="14"/>
        </w:rPr>
      </w:pPr>
      <w:r>
        <w:rPr>
          <w:rFonts w:hint="default" w:ascii="仿宋_GB2312" w:hAnsi="宋体" w:eastAsia="仿宋_GB2312" w:cs="仿宋_GB2312"/>
          <w:b/>
          <w:i w:val="0"/>
          <w:caps w:val="0"/>
          <w:color w:val="000000"/>
          <w:spacing w:val="2"/>
          <w:kern w:val="0"/>
          <w:sz w:val="32"/>
          <w:szCs w:val="32"/>
          <w:vertAlign w:val="baseline"/>
          <w:lang w:val="en-US" w:eastAsia="zh-CN" w:bidi="ar"/>
        </w:rPr>
        <w:t>一、总体情况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640" w:lineRule="atLeast"/>
        <w:ind w:left="0" w:right="0" w:firstLine="646"/>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按照区政务服务局《关于报送北京市20</w:t>
      </w:r>
      <w:r>
        <w:rPr>
          <w:rFonts w:hint="eastAsia" w:ascii="仿宋_GB2312" w:hAnsi="宋体" w:eastAsia="仿宋_GB2312" w:cs="仿宋_GB2312"/>
          <w:i w:val="0"/>
          <w:caps w:val="0"/>
          <w:color w:val="000000"/>
          <w:spacing w:val="0"/>
          <w:kern w:val="0"/>
          <w:sz w:val="32"/>
          <w:szCs w:val="32"/>
          <w:lang w:val="en-US" w:eastAsia="zh-CN" w:bidi="ar"/>
        </w:rPr>
        <w:t>20</w:t>
      </w:r>
      <w:r>
        <w:rPr>
          <w:rFonts w:hint="default" w:ascii="仿宋_GB2312" w:hAnsi="宋体" w:eastAsia="仿宋_GB2312" w:cs="仿宋_GB2312"/>
          <w:i w:val="0"/>
          <w:caps w:val="0"/>
          <w:color w:val="000000"/>
          <w:spacing w:val="0"/>
          <w:kern w:val="0"/>
          <w:sz w:val="32"/>
          <w:szCs w:val="32"/>
          <w:lang w:val="en-US" w:eastAsia="zh-CN" w:bidi="ar"/>
        </w:rPr>
        <w:t>年政务公开工作要点》精神，结合人防办工作实际，对照测评指标要求内容，我局认真落实各项公开任务，实现“应公开、尽公开”，现将20</w:t>
      </w:r>
      <w:r>
        <w:rPr>
          <w:rFonts w:hint="eastAsia" w:ascii="仿宋_GB2312" w:hAnsi="宋体" w:eastAsia="仿宋_GB2312" w:cs="仿宋_GB2312"/>
          <w:i w:val="0"/>
          <w:caps w:val="0"/>
          <w:color w:val="000000"/>
          <w:spacing w:val="0"/>
          <w:kern w:val="0"/>
          <w:sz w:val="32"/>
          <w:szCs w:val="32"/>
          <w:lang w:val="en-US" w:eastAsia="zh-CN" w:bidi="ar"/>
        </w:rPr>
        <w:t>20</w:t>
      </w:r>
      <w:r>
        <w:rPr>
          <w:rFonts w:hint="default" w:ascii="仿宋_GB2312" w:hAnsi="宋体" w:eastAsia="仿宋_GB2312" w:cs="仿宋_GB2312"/>
          <w:i w:val="0"/>
          <w:caps w:val="0"/>
          <w:color w:val="000000"/>
          <w:spacing w:val="0"/>
          <w:kern w:val="0"/>
          <w:sz w:val="32"/>
          <w:szCs w:val="32"/>
          <w:lang w:val="en-US" w:eastAsia="zh-CN" w:bidi="ar"/>
        </w:rPr>
        <w:t>年政府信息及政务公开工作总结如下。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firstLine="651"/>
        <w:jc w:val="left"/>
        <w:textAlignment w:val="baseline"/>
        <w:rPr>
          <w:rFonts w:hint="eastAsia" w:ascii="宋体" w:hAnsi="宋体" w:eastAsia="宋体" w:cs="宋体"/>
          <w:i w:val="0"/>
          <w:caps w:val="0"/>
          <w:color w:val="000000"/>
          <w:spacing w:val="0"/>
          <w:sz w:val="14"/>
          <w:szCs w:val="14"/>
        </w:rPr>
      </w:pPr>
      <w:r>
        <w:rPr>
          <w:rFonts w:hint="default" w:ascii="仿宋_GB2312" w:hAnsi="宋体" w:eastAsia="仿宋_GB2312" w:cs="仿宋_GB2312"/>
          <w:b/>
          <w:i w:val="0"/>
          <w:caps w:val="0"/>
          <w:color w:val="000000"/>
          <w:spacing w:val="2"/>
          <w:kern w:val="0"/>
          <w:sz w:val="32"/>
          <w:szCs w:val="32"/>
          <w:vertAlign w:val="baseline"/>
          <w:lang w:val="en-US" w:eastAsia="zh-CN" w:bidi="ar"/>
        </w:rPr>
        <w:t>二、建立信息公开领导机构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firstLine="645"/>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为确保机关各项公开工作落到实处，成立了政府信息和政务公开领导小组，由主任任组长，副主任副组长，领导小组办公室设在综合管理岗。领导小组召开专题会议，研究部署公开工作，收集政务舆情，研判、处置并回应群众关切的问题；安排专人负责政务公开工作的日常事务并记录工作情况，切实提高我办行政审批工作的透明度，提高工作效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firstLine="643"/>
        <w:jc w:val="left"/>
        <w:textAlignment w:val="baseline"/>
        <w:rPr>
          <w:rFonts w:hint="eastAsia" w:ascii="宋体" w:hAnsi="宋体" w:eastAsia="宋体" w:cs="宋体"/>
          <w:i w:val="0"/>
          <w:caps w:val="0"/>
          <w:color w:val="000000"/>
          <w:spacing w:val="0"/>
          <w:sz w:val="14"/>
          <w:szCs w:val="14"/>
        </w:rPr>
      </w:pPr>
      <w:r>
        <w:rPr>
          <w:rFonts w:hint="default" w:ascii="仿宋_GB2312" w:hAnsi="宋体" w:eastAsia="仿宋_GB2312" w:cs="仿宋_GB2312"/>
          <w:b/>
          <w:i w:val="0"/>
          <w:caps w:val="0"/>
          <w:color w:val="000000"/>
          <w:spacing w:val="0"/>
          <w:kern w:val="0"/>
          <w:sz w:val="32"/>
          <w:szCs w:val="32"/>
          <w:vertAlign w:val="baseline"/>
          <w:lang w:val="en-US" w:eastAsia="zh-CN" w:bidi="ar"/>
        </w:rPr>
        <w:t>三、</w:t>
      </w:r>
      <w:r>
        <w:rPr>
          <w:rFonts w:hint="default" w:ascii="仿宋_GB2312" w:hAnsi="宋体" w:eastAsia="仿宋_GB2312" w:cs="仿宋_GB2312"/>
          <w:b/>
          <w:i w:val="0"/>
          <w:caps w:val="0"/>
          <w:color w:val="333333"/>
          <w:spacing w:val="0"/>
          <w:kern w:val="0"/>
          <w:sz w:val="32"/>
          <w:szCs w:val="32"/>
          <w:vertAlign w:val="baseline"/>
          <w:lang w:val="en-US" w:eastAsia="zh-CN" w:bidi="ar"/>
        </w:rPr>
        <w:t>政府信息公开情况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333333"/>
          <w:spacing w:val="0"/>
          <w:kern w:val="0"/>
          <w:sz w:val="32"/>
          <w:szCs w:val="32"/>
          <w:lang w:val="en-US" w:eastAsia="zh-CN" w:bidi="ar"/>
        </w:rPr>
        <w:t>（一）主动公开工作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333333"/>
          <w:spacing w:val="0"/>
          <w:kern w:val="0"/>
          <w:sz w:val="32"/>
          <w:szCs w:val="32"/>
          <w:lang w:val="en-US" w:eastAsia="zh-CN" w:bidi="ar"/>
        </w:rPr>
        <w:t>按照“规范、及时、便民”的原则，通过政府门户网站及时公布有关政府信息，采取随时公开与定期清理相结合，事前公开与事后公开相结合的方式，及时主动更新政府信息，按时上报信息公开情况、纸制材料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1、公开情况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本局20</w:t>
      </w:r>
      <w:r>
        <w:rPr>
          <w:rFonts w:hint="eastAsia" w:ascii="仿宋_GB2312" w:hAnsi="宋体" w:eastAsia="仿宋_GB2312" w:cs="仿宋_GB2312"/>
          <w:i w:val="0"/>
          <w:caps w:val="0"/>
          <w:color w:val="000000"/>
          <w:spacing w:val="0"/>
          <w:kern w:val="0"/>
          <w:sz w:val="32"/>
          <w:szCs w:val="32"/>
          <w:lang w:val="en-US" w:eastAsia="zh-CN" w:bidi="ar"/>
        </w:rPr>
        <w:t>20</w:t>
      </w:r>
      <w:r>
        <w:rPr>
          <w:rFonts w:hint="default" w:ascii="仿宋_GB2312" w:hAnsi="宋体" w:eastAsia="仿宋_GB2312" w:cs="仿宋_GB2312"/>
          <w:i w:val="0"/>
          <w:caps w:val="0"/>
          <w:color w:val="000000"/>
          <w:spacing w:val="0"/>
          <w:kern w:val="0"/>
          <w:sz w:val="32"/>
          <w:szCs w:val="32"/>
          <w:lang w:val="en-US" w:eastAsia="zh-CN" w:bidi="ar"/>
        </w:rPr>
        <w:t>年共主动公开政府信息</w:t>
      </w:r>
      <w:r>
        <w:rPr>
          <w:rFonts w:hint="eastAsia" w:ascii="仿宋_GB2312" w:hAnsi="宋体" w:eastAsia="仿宋_GB2312" w:cs="仿宋_GB2312"/>
          <w:i w:val="0"/>
          <w:caps w:val="0"/>
          <w:color w:val="000000"/>
          <w:spacing w:val="0"/>
          <w:kern w:val="0"/>
          <w:sz w:val="32"/>
          <w:szCs w:val="32"/>
          <w:lang w:val="en-US" w:eastAsia="zh-CN" w:bidi="ar"/>
        </w:rPr>
        <w:t>107</w:t>
      </w:r>
      <w:r>
        <w:rPr>
          <w:rFonts w:hint="default" w:ascii="仿宋_GB2312" w:hAnsi="宋体" w:eastAsia="仿宋_GB2312" w:cs="仿宋_GB2312"/>
          <w:i w:val="0"/>
          <w:caps w:val="0"/>
          <w:color w:val="000000"/>
          <w:spacing w:val="0"/>
          <w:kern w:val="0"/>
          <w:sz w:val="32"/>
          <w:szCs w:val="32"/>
          <w:lang w:val="en-US" w:eastAsia="zh-CN" w:bidi="ar"/>
        </w:rPr>
        <w:t>条，并及时报送纸质文件；机构职能</w:t>
      </w:r>
      <w:r>
        <w:rPr>
          <w:rFonts w:hint="eastAsia" w:ascii="仿宋_GB2312" w:hAnsi="宋体" w:eastAsia="仿宋_GB2312" w:cs="仿宋_GB2312"/>
          <w:i w:val="0"/>
          <w:caps w:val="0"/>
          <w:color w:val="000000"/>
          <w:spacing w:val="0"/>
          <w:kern w:val="0"/>
          <w:sz w:val="32"/>
          <w:szCs w:val="32"/>
          <w:lang w:val="en-US" w:eastAsia="zh-CN" w:bidi="ar"/>
        </w:rPr>
        <w:t>8</w:t>
      </w:r>
      <w:r>
        <w:rPr>
          <w:rFonts w:hint="default" w:ascii="仿宋_GB2312" w:hAnsi="宋体" w:eastAsia="仿宋_GB2312" w:cs="仿宋_GB2312"/>
          <w:i w:val="0"/>
          <w:caps w:val="0"/>
          <w:color w:val="000000"/>
          <w:spacing w:val="0"/>
          <w:kern w:val="0"/>
          <w:sz w:val="32"/>
          <w:szCs w:val="32"/>
          <w:lang w:val="en-US" w:eastAsia="zh-CN" w:bidi="ar"/>
        </w:rPr>
        <w:t>条，其中包括机构</w:t>
      </w:r>
      <w:r>
        <w:rPr>
          <w:rFonts w:hint="eastAsia" w:ascii="仿宋_GB2312" w:hAnsi="宋体" w:eastAsia="仿宋_GB2312" w:cs="仿宋_GB2312"/>
          <w:i w:val="0"/>
          <w:caps w:val="0"/>
          <w:color w:val="000000"/>
          <w:spacing w:val="0"/>
          <w:kern w:val="0"/>
          <w:sz w:val="32"/>
          <w:szCs w:val="32"/>
          <w:lang w:val="en-US" w:eastAsia="zh-CN" w:bidi="ar"/>
        </w:rPr>
        <w:t>设置4</w:t>
      </w:r>
      <w:r>
        <w:rPr>
          <w:rFonts w:hint="default" w:ascii="仿宋_GB2312" w:hAnsi="宋体" w:eastAsia="仿宋_GB2312" w:cs="仿宋_GB2312"/>
          <w:i w:val="0"/>
          <w:caps w:val="0"/>
          <w:color w:val="000000"/>
          <w:spacing w:val="0"/>
          <w:kern w:val="0"/>
          <w:sz w:val="32"/>
          <w:szCs w:val="32"/>
          <w:lang w:val="en-US" w:eastAsia="zh-CN" w:bidi="ar"/>
        </w:rPr>
        <w:t>条，领导介绍4条。</w:t>
      </w:r>
      <w:r>
        <w:rPr>
          <w:rFonts w:hint="eastAsia" w:ascii="仿宋_GB2312" w:hAnsi="宋体" w:eastAsia="仿宋_GB2312" w:cs="仿宋_GB2312"/>
          <w:i w:val="0"/>
          <w:caps w:val="0"/>
          <w:color w:val="000000"/>
          <w:spacing w:val="0"/>
          <w:kern w:val="0"/>
          <w:sz w:val="32"/>
          <w:szCs w:val="32"/>
          <w:lang w:val="en-US" w:eastAsia="zh-CN" w:bidi="ar"/>
        </w:rPr>
        <w:t>业务动态45条。</w:t>
      </w:r>
      <w:r>
        <w:rPr>
          <w:rFonts w:hint="default" w:ascii="仿宋_GB2312" w:hAnsi="宋体" w:eastAsia="仿宋_GB2312" w:cs="仿宋_GB2312"/>
          <w:i w:val="0"/>
          <w:caps w:val="0"/>
          <w:color w:val="000000"/>
          <w:spacing w:val="0"/>
          <w:kern w:val="0"/>
          <w:sz w:val="32"/>
          <w:szCs w:val="32"/>
          <w:lang w:val="en-US" w:eastAsia="zh-CN" w:bidi="ar"/>
        </w:rPr>
        <w:t>结果公示</w:t>
      </w:r>
      <w:r>
        <w:rPr>
          <w:rFonts w:hint="eastAsia" w:ascii="仿宋_GB2312" w:hAnsi="宋体" w:eastAsia="仿宋_GB2312" w:cs="仿宋_GB2312"/>
          <w:i w:val="0"/>
          <w:caps w:val="0"/>
          <w:color w:val="000000"/>
          <w:spacing w:val="0"/>
          <w:kern w:val="0"/>
          <w:sz w:val="32"/>
          <w:szCs w:val="32"/>
          <w:lang w:val="en-US" w:eastAsia="zh-CN" w:bidi="ar"/>
        </w:rPr>
        <w:t>54</w:t>
      </w:r>
      <w:r>
        <w:rPr>
          <w:rFonts w:hint="default" w:ascii="仿宋_GB2312" w:hAnsi="宋体" w:eastAsia="仿宋_GB2312" w:cs="仿宋_GB2312"/>
          <w:i w:val="0"/>
          <w:caps w:val="0"/>
          <w:color w:val="000000"/>
          <w:spacing w:val="0"/>
          <w:kern w:val="0"/>
          <w:sz w:val="32"/>
          <w:szCs w:val="32"/>
          <w:lang w:val="en-US" w:eastAsia="zh-CN" w:bidi="ar"/>
        </w:rPr>
        <w:t>条，</w:t>
      </w:r>
      <w:r>
        <w:rPr>
          <w:rFonts w:hint="eastAsia" w:ascii="仿宋_GB2312" w:hAnsi="宋体" w:eastAsia="仿宋_GB2312" w:cs="仿宋_GB2312"/>
          <w:i w:val="0"/>
          <w:caps w:val="0"/>
          <w:color w:val="000000"/>
          <w:spacing w:val="0"/>
          <w:kern w:val="0"/>
          <w:sz w:val="32"/>
          <w:szCs w:val="32"/>
          <w:lang w:val="en-US" w:eastAsia="zh-CN" w:bidi="ar"/>
        </w:rPr>
        <w:t>其中其他行政职权28条，</w:t>
      </w:r>
      <w:r>
        <w:rPr>
          <w:rFonts w:hint="default" w:ascii="仿宋_GB2312" w:hAnsi="宋体" w:eastAsia="仿宋_GB2312" w:cs="仿宋_GB2312"/>
          <w:i w:val="0"/>
          <w:caps w:val="0"/>
          <w:color w:val="000000"/>
          <w:spacing w:val="0"/>
          <w:kern w:val="0"/>
          <w:sz w:val="32"/>
          <w:szCs w:val="32"/>
          <w:lang w:val="en-US" w:eastAsia="zh-CN" w:bidi="ar"/>
        </w:rPr>
        <w:t>行政处罚</w:t>
      </w:r>
      <w:r>
        <w:rPr>
          <w:rFonts w:hint="eastAsia" w:ascii="仿宋_GB2312" w:hAnsi="宋体" w:eastAsia="仿宋_GB2312" w:cs="仿宋_GB2312"/>
          <w:i w:val="0"/>
          <w:caps w:val="0"/>
          <w:color w:val="000000"/>
          <w:spacing w:val="0"/>
          <w:kern w:val="0"/>
          <w:sz w:val="32"/>
          <w:szCs w:val="32"/>
          <w:lang w:val="en-US" w:eastAsia="zh-CN" w:bidi="ar"/>
        </w:rPr>
        <w:t>3</w:t>
      </w:r>
      <w:r>
        <w:rPr>
          <w:rFonts w:hint="default" w:ascii="仿宋_GB2312" w:hAnsi="宋体" w:eastAsia="仿宋_GB2312" w:cs="仿宋_GB2312"/>
          <w:i w:val="0"/>
          <w:caps w:val="0"/>
          <w:color w:val="000000"/>
          <w:spacing w:val="0"/>
          <w:kern w:val="0"/>
          <w:sz w:val="32"/>
          <w:szCs w:val="32"/>
          <w:lang w:val="en-US" w:eastAsia="zh-CN" w:bidi="ar"/>
        </w:rPr>
        <w:t>条</w:t>
      </w:r>
      <w:r>
        <w:rPr>
          <w:rFonts w:hint="eastAsia" w:ascii="仿宋_GB2312" w:hAnsi="宋体" w:eastAsia="仿宋_GB2312" w:cs="仿宋_GB2312"/>
          <w:i w:val="0"/>
          <w:caps w:val="0"/>
          <w:color w:val="000000"/>
          <w:spacing w:val="0"/>
          <w:kern w:val="0"/>
          <w:sz w:val="32"/>
          <w:szCs w:val="32"/>
          <w:lang w:val="en-US" w:eastAsia="zh-CN" w:bidi="ar"/>
        </w:rPr>
        <w:t>，行政许可20条，</w:t>
      </w:r>
      <w:r>
        <w:rPr>
          <w:rFonts w:hint="default" w:ascii="仿宋_GB2312" w:hAnsi="宋体" w:eastAsia="仿宋_GB2312" w:cs="仿宋_GB2312"/>
          <w:b w:val="0"/>
          <w:bCs w:val="0"/>
          <w:i w:val="0"/>
          <w:caps w:val="0"/>
          <w:color w:val="000000"/>
          <w:spacing w:val="0"/>
          <w:kern w:val="0"/>
          <w:sz w:val="32"/>
          <w:szCs w:val="32"/>
          <w:lang w:val="en-US" w:eastAsia="zh-CN" w:bidi="ar"/>
        </w:rPr>
        <w:t>政府信息公开指南</w:t>
      </w:r>
      <w:r>
        <w:rPr>
          <w:rFonts w:hint="default" w:ascii="仿宋_GB2312" w:hAnsi="宋体" w:eastAsia="仿宋_GB2312" w:cs="仿宋_GB2312"/>
          <w:i w:val="0"/>
          <w:caps w:val="0"/>
          <w:color w:val="000000"/>
          <w:spacing w:val="0"/>
          <w:kern w:val="0"/>
          <w:sz w:val="32"/>
          <w:szCs w:val="32"/>
          <w:lang w:val="en-US" w:eastAsia="zh-CN" w:bidi="ar"/>
        </w:rPr>
        <w:t>1条，</w:t>
      </w:r>
      <w:r>
        <w:rPr>
          <w:rFonts w:hint="default" w:ascii="仿宋_GB2312" w:hAnsi="宋体" w:eastAsia="仿宋_GB2312" w:cs="仿宋_GB2312"/>
          <w:b w:val="0"/>
          <w:bCs w:val="0"/>
          <w:i w:val="0"/>
          <w:caps w:val="0"/>
          <w:color w:val="000000"/>
          <w:spacing w:val="0"/>
          <w:kern w:val="0"/>
          <w:sz w:val="32"/>
          <w:szCs w:val="32"/>
          <w:lang w:val="en-US" w:eastAsia="zh-CN" w:bidi="ar"/>
        </w:rPr>
        <w:t>政府信息主动公开1条</w:t>
      </w:r>
      <w:r>
        <w:rPr>
          <w:rFonts w:hint="eastAsia" w:ascii="仿宋_GB2312" w:hAnsi="宋体" w:eastAsia="仿宋_GB2312" w:cs="仿宋_GB2312"/>
          <w:b w:val="0"/>
          <w:bCs w:val="0"/>
          <w:i w:val="0"/>
          <w:caps w:val="0"/>
          <w:color w:val="000000"/>
          <w:spacing w:val="0"/>
          <w:kern w:val="0"/>
          <w:sz w:val="32"/>
          <w:szCs w:val="32"/>
          <w:lang w:val="en-US" w:eastAsia="zh-CN" w:bidi="ar"/>
        </w:rPr>
        <w:t>，</w:t>
      </w:r>
      <w:r>
        <w:rPr>
          <w:rFonts w:hint="default" w:ascii="仿宋_GB2312" w:hAnsi="宋体" w:eastAsia="仿宋_GB2312" w:cs="仿宋_GB2312"/>
          <w:b w:val="0"/>
          <w:bCs w:val="0"/>
          <w:i w:val="0"/>
          <w:caps w:val="0"/>
          <w:color w:val="000000"/>
          <w:spacing w:val="0"/>
          <w:kern w:val="0"/>
          <w:sz w:val="32"/>
          <w:szCs w:val="32"/>
          <w:lang w:val="en-US" w:eastAsia="zh-CN" w:bidi="ar"/>
        </w:rPr>
        <w:t>政府信息公开年报1条</w:t>
      </w:r>
      <w:r>
        <w:rPr>
          <w:rFonts w:hint="default" w:ascii="仿宋_GB2312" w:hAnsi="宋体" w:eastAsia="仿宋_GB2312" w:cs="仿宋_GB2312"/>
          <w:i w:val="0"/>
          <w:caps w:val="0"/>
          <w:color w:val="000000"/>
          <w:spacing w:val="0"/>
          <w:kern w:val="0"/>
          <w:sz w:val="32"/>
          <w:szCs w:val="32"/>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2、及时清理与审查政府信息，确保信息及时公开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按照相关制度要求，每月初对生成的政府信息及时进行清理审查。由信息公开管理人员对上月生成的每一份政府信息进行清理，向保密审查小组提出审查请求。保密审查工作实行领导负责制，按照保密审查工作制度要求，保密小组提出审查意见，上报局主要领导审核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（二）依申请公开情况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20</w:t>
      </w:r>
      <w:r>
        <w:rPr>
          <w:rFonts w:hint="eastAsia" w:ascii="仿宋_GB2312" w:hAnsi="宋体" w:eastAsia="仿宋_GB2312" w:cs="仿宋_GB2312"/>
          <w:i w:val="0"/>
          <w:caps w:val="0"/>
          <w:color w:val="000000"/>
          <w:spacing w:val="0"/>
          <w:kern w:val="0"/>
          <w:sz w:val="32"/>
          <w:szCs w:val="32"/>
          <w:lang w:val="en-US" w:eastAsia="zh-CN" w:bidi="ar"/>
        </w:rPr>
        <w:t>20</w:t>
      </w:r>
      <w:r>
        <w:rPr>
          <w:rFonts w:hint="default" w:ascii="仿宋_GB2312" w:hAnsi="宋体" w:eastAsia="仿宋_GB2312" w:cs="仿宋_GB2312"/>
          <w:i w:val="0"/>
          <w:caps w:val="0"/>
          <w:color w:val="000000"/>
          <w:spacing w:val="0"/>
          <w:kern w:val="0"/>
          <w:sz w:val="32"/>
          <w:szCs w:val="32"/>
          <w:lang w:val="en-US" w:eastAsia="zh-CN" w:bidi="ar"/>
        </w:rPr>
        <w:t>年度收到政府信息公开申请</w:t>
      </w:r>
      <w:r>
        <w:rPr>
          <w:rFonts w:hint="eastAsia" w:ascii="仿宋_GB2312" w:hAnsi="宋体" w:eastAsia="仿宋_GB2312" w:cs="仿宋_GB2312"/>
          <w:i w:val="0"/>
          <w:caps w:val="0"/>
          <w:color w:val="000000"/>
          <w:spacing w:val="0"/>
          <w:kern w:val="0"/>
          <w:sz w:val="32"/>
          <w:szCs w:val="32"/>
          <w:lang w:val="en-US" w:eastAsia="zh-CN" w:bidi="ar"/>
        </w:rPr>
        <w:t>30</w:t>
      </w:r>
      <w:r>
        <w:rPr>
          <w:rFonts w:hint="default" w:ascii="仿宋_GB2312" w:hAnsi="宋体" w:eastAsia="仿宋_GB2312" w:cs="仿宋_GB2312"/>
          <w:i w:val="0"/>
          <w:caps w:val="0"/>
          <w:color w:val="000000"/>
          <w:spacing w:val="0"/>
          <w:kern w:val="0"/>
          <w:sz w:val="32"/>
          <w:szCs w:val="32"/>
          <w:lang w:val="en-US" w:eastAsia="zh-CN" w:bidi="ar"/>
        </w:rPr>
        <w:t>条，已经处理完毕。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（三）数据报送工作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25" w:firstLine="640"/>
        <w:jc w:val="left"/>
        <w:textAlignment w:val="baseline"/>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vertAlign w:val="baseline"/>
          <w:lang w:val="en-US" w:eastAsia="zh-CN" w:bidi="ar"/>
        </w:rPr>
        <w:t>20</w:t>
      </w:r>
      <w:r>
        <w:rPr>
          <w:rFonts w:hint="eastAsia" w:ascii="仿宋_GB2312" w:hAnsi="宋体" w:eastAsia="仿宋_GB2312" w:cs="仿宋_GB2312"/>
          <w:i w:val="0"/>
          <w:caps w:val="0"/>
          <w:color w:val="000000"/>
          <w:spacing w:val="0"/>
          <w:kern w:val="0"/>
          <w:sz w:val="32"/>
          <w:szCs w:val="32"/>
          <w:vertAlign w:val="baseline"/>
          <w:lang w:val="en-US" w:eastAsia="zh-CN" w:bidi="ar"/>
        </w:rPr>
        <w:t>20</w:t>
      </w:r>
      <w:r>
        <w:rPr>
          <w:rFonts w:hint="default" w:ascii="仿宋_GB2312" w:hAnsi="宋体" w:eastAsia="仿宋_GB2312" w:cs="仿宋_GB2312"/>
          <w:i w:val="0"/>
          <w:caps w:val="0"/>
          <w:color w:val="000000"/>
          <w:spacing w:val="0"/>
          <w:kern w:val="0"/>
          <w:sz w:val="32"/>
          <w:szCs w:val="32"/>
          <w:vertAlign w:val="baseline"/>
          <w:lang w:val="en-US" w:eastAsia="zh-CN" w:bidi="ar"/>
        </w:rPr>
        <w:t>年度政府信息公开数据报送工作除网络系统不畅外严格按照区政府要求按时上报。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25" w:firstLine="643"/>
        <w:jc w:val="left"/>
        <w:textAlignment w:val="baseline"/>
        <w:rPr>
          <w:rFonts w:hint="eastAsia" w:ascii="宋体" w:hAnsi="宋体" w:eastAsia="宋体" w:cs="宋体"/>
          <w:i w:val="0"/>
          <w:caps w:val="0"/>
          <w:color w:val="000000"/>
          <w:spacing w:val="0"/>
          <w:sz w:val="14"/>
          <w:szCs w:val="14"/>
        </w:rPr>
      </w:pPr>
      <w:r>
        <w:rPr>
          <w:rFonts w:hint="default" w:ascii="仿宋_GB2312" w:hAnsi="宋体" w:eastAsia="仿宋_GB2312" w:cs="仿宋_GB2312"/>
          <w:b/>
          <w:i w:val="0"/>
          <w:caps w:val="0"/>
          <w:color w:val="333333"/>
          <w:spacing w:val="0"/>
          <w:kern w:val="0"/>
          <w:sz w:val="32"/>
          <w:szCs w:val="32"/>
          <w:vertAlign w:val="baseline"/>
          <w:lang w:val="en-US" w:eastAsia="zh-CN" w:bidi="ar"/>
        </w:rPr>
        <w:t>四、重点领域</w:t>
      </w:r>
      <w:r>
        <w:rPr>
          <w:rFonts w:hint="default" w:ascii="仿宋_GB2312" w:hAnsi="宋体" w:eastAsia="仿宋_GB2312" w:cs="仿宋_GB2312"/>
          <w:b/>
          <w:i w:val="0"/>
          <w:caps w:val="0"/>
          <w:color w:val="000000"/>
          <w:spacing w:val="0"/>
          <w:kern w:val="0"/>
          <w:sz w:val="32"/>
          <w:szCs w:val="32"/>
          <w:vertAlign w:val="baseline"/>
          <w:lang w:val="en-US" w:eastAsia="zh-CN" w:bidi="ar"/>
        </w:rPr>
        <w:t>政务信息公开情况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按照上级要求，民防局门户网站上对机构职责、政策法规、行政许可、信息公开、全程办事及宣传教育等重点领域信息公开。其中行政许可及信息公开项主要围绕权力运行责任清单中的内容进行公开，包括五项行政审批：人防工程拆除批准、人防工程改造、平时利用人民防空工程批准、人民防空警报设施拆除批准及人防工程竣工验收备案，五项许可涉及到人民防空工程位置、面积和人民防空工程的防护效能，这些都属于保密范畴。如果我</w:t>
      </w:r>
      <w:r>
        <w:rPr>
          <w:rFonts w:hint="eastAsia" w:ascii="仿宋_GB2312" w:hAnsi="宋体" w:eastAsia="仿宋_GB2312" w:cs="仿宋_GB2312"/>
          <w:i w:val="0"/>
          <w:caps w:val="0"/>
          <w:color w:val="000000"/>
          <w:spacing w:val="0"/>
          <w:kern w:val="0"/>
          <w:sz w:val="32"/>
          <w:szCs w:val="32"/>
          <w:lang w:val="en-US" w:eastAsia="zh-CN" w:bidi="ar"/>
        </w:rPr>
        <w:t>办</w:t>
      </w:r>
      <w:r>
        <w:rPr>
          <w:rFonts w:hint="default" w:ascii="仿宋_GB2312" w:hAnsi="宋体" w:eastAsia="仿宋_GB2312" w:cs="仿宋_GB2312"/>
          <w:i w:val="0"/>
          <w:caps w:val="0"/>
          <w:color w:val="000000"/>
          <w:spacing w:val="0"/>
          <w:kern w:val="0"/>
          <w:sz w:val="32"/>
          <w:szCs w:val="32"/>
          <w:lang w:val="en-US" w:eastAsia="zh-CN" w:bidi="ar"/>
        </w:rPr>
        <w:t>的许可在网上审批，势必会造成人防工程所有保密工程的泄露。造成战时不必要的损失。因此</w:t>
      </w:r>
      <w:r>
        <w:rPr>
          <w:rFonts w:hint="eastAsia" w:ascii="仿宋_GB2312" w:hAnsi="宋体" w:eastAsia="仿宋_GB2312" w:cs="仿宋_GB2312"/>
          <w:i w:val="0"/>
          <w:caps w:val="0"/>
          <w:color w:val="000000"/>
          <w:spacing w:val="0"/>
          <w:kern w:val="0"/>
          <w:sz w:val="32"/>
          <w:szCs w:val="32"/>
          <w:lang w:val="en-US" w:eastAsia="zh-CN" w:bidi="ar"/>
        </w:rPr>
        <w:t>六</w:t>
      </w:r>
      <w:r>
        <w:rPr>
          <w:rFonts w:hint="default" w:ascii="仿宋_GB2312" w:hAnsi="宋体" w:eastAsia="仿宋_GB2312" w:cs="仿宋_GB2312"/>
          <w:i w:val="0"/>
          <w:caps w:val="0"/>
          <w:color w:val="000000"/>
          <w:spacing w:val="0"/>
          <w:kern w:val="0"/>
          <w:sz w:val="32"/>
          <w:szCs w:val="32"/>
          <w:lang w:val="en-US" w:eastAsia="zh-CN" w:bidi="ar"/>
        </w:rPr>
        <w:t>项许可不可网上审批，可到工程管理岗办理。公开内容还包含人防工程执法处罚及</w:t>
      </w:r>
      <w:r>
        <w:rPr>
          <w:rFonts w:hint="eastAsia" w:ascii="仿宋_GB2312" w:hAnsi="宋体" w:eastAsia="仿宋_GB2312" w:cs="仿宋_GB2312"/>
          <w:i w:val="0"/>
          <w:caps w:val="0"/>
          <w:color w:val="000000"/>
          <w:spacing w:val="0"/>
          <w:kern w:val="0"/>
          <w:sz w:val="32"/>
          <w:szCs w:val="32"/>
          <w:lang w:val="en-US" w:eastAsia="zh-CN" w:bidi="ar"/>
        </w:rPr>
        <w:t>七</w:t>
      </w:r>
      <w:r>
        <w:rPr>
          <w:rFonts w:hint="default" w:ascii="仿宋_GB2312" w:hAnsi="宋体" w:eastAsia="仿宋_GB2312" w:cs="仿宋_GB2312"/>
          <w:i w:val="0"/>
          <w:caps w:val="0"/>
          <w:color w:val="000000"/>
          <w:spacing w:val="0"/>
          <w:kern w:val="0"/>
          <w:sz w:val="32"/>
          <w:szCs w:val="32"/>
          <w:lang w:val="en-US" w:eastAsia="zh-CN" w:bidi="ar"/>
        </w:rPr>
        <w:t>项行政检查：对落实人防防护体系建设进行监督检查、对人防工程维护管理的监督检查、对人防工程使用安全的监督检查及人民防空通信警报建设监督检查。我</w:t>
      </w:r>
      <w:r>
        <w:rPr>
          <w:rFonts w:hint="eastAsia" w:ascii="仿宋_GB2312" w:hAnsi="宋体" w:eastAsia="仿宋_GB2312" w:cs="仿宋_GB2312"/>
          <w:i w:val="0"/>
          <w:caps w:val="0"/>
          <w:color w:val="000000"/>
          <w:spacing w:val="0"/>
          <w:kern w:val="0"/>
          <w:sz w:val="32"/>
          <w:szCs w:val="32"/>
          <w:lang w:val="en-US" w:eastAsia="zh-CN" w:bidi="ar"/>
        </w:rPr>
        <w:t>办</w:t>
      </w:r>
      <w:r>
        <w:rPr>
          <w:rFonts w:hint="default" w:ascii="仿宋_GB2312" w:hAnsi="宋体" w:eastAsia="仿宋_GB2312" w:cs="仿宋_GB2312"/>
          <w:i w:val="0"/>
          <w:caps w:val="0"/>
          <w:color w:val="000000"/>
          <w:spacing w:val="0"/>
          <w:kern w:val="0"/>
          <w:sz w:val="32"/>
          <w:szCs w:val="32"/>
          <w:lang w:val="en-US" w:eastAsia="zh-CN" w:bidi="ar"/>
        </w:rPr>
        <w:t>全程办事代理大厅负责对重要政策出台的政策解读，负责对前来咨询的人员、信函邮件等给予认真、详细的解读和回答。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ascii="仿宋" w:hAnsi="仿宋" w:eastAsia="仿宋" w:cs="仿宋"/>
          <w:i w:val="0"/>
          <w:caps w:val="0"/>
          <w:color w:val="000000"/>
          <w:spacing w:val="0"/>
          <w:kern w:val="0"/>
          <w:sz w:val="32"/>
          <w:szCs w:val="32"/>
          <w:lang w:val="en-US" w:eastAsia="zh-CN" w:bidi="ar"/>
        </w:rPr>
        <w:t>20</w:t>
      </w:r>
      <w:r>
        <w:rPr>
          <w:rFonts w:hint="eastAsia" w:ascii="仿宋" w:hAnsi="仿宋" w:eastAsia="仿宋" w:cs="仿宋"/>
          <w:i w:val="0"/>
          <w:caps w:val="0"/>
          <w:color w:val="000000"/>
          <w:spacing w:val="0"/>
          <w:kern w:val="0"/>
          <w:sz w:val="32"/>
          <w:szCs w:val="32"/>
          <w:lang w:val="en-US" w:eastAsia="zh-CN" w:bidi="ar"/>
        </w:rPr>
        <w:t>20</w:t>
      </w:r>
      <w:r>
        <w:rPr>
          <w:rFonts w:ascii="仿宋" w:hAnsi="仿宋" w:eastAsia="仿宋" w:cs="仿宋"/>
          <w:i w:val="0"/>
          <w:caps w:val="0"/>
          <w:color w:val="000000"/>
          <w:spacing w:val="0"/>
          <w:kern w:val="0"/>
          <w:sz w:val="32"/>
          <w:szCs w:val="32"/>
          <w:lang w:val="en-US" w:eastAsia="zh-CN" w:bidi="ar"/>
        </w:rPr>
        <w:t>年招投标工作</w:t>
      </w:r>
      <w:r>
        <w:rPr>
          <w:rFonts w:hint="eastAsia" w:ascii="仿宋" w:hAnsi="仿宋" w:eastAsia="仿宋" w:cs="仿宋"/>
          <w:i w:val="0"/>
          <w:caps w:val="0"/>
          <w:color w:val="000000"/>
          <w:spacing w:val="0"/>
          <w:kern w:val="0"/>
          <w:sz w:val="32"/>
          <w:szCs w:val="32"/>
          <w:lang w:val="en-US" w:eastAsia="zh-CN" w:bidi="ar"/>
        </w:rPr>
        <w:t>没有</w:t>
      </w:r>
      <w:r>
        <w:rPr>
          <w:rFonts w:ascii="仿宋" w:hAnsi="仿宋" w:eastAsia="仿宋" w:cs="仿宋"/>
          <w:i w:val="0"/>
          <w:caps w:val="0"/>
          <w:color w:val="000000"/>
          <w:spacing w:val="0"/>
          <w:kern w:val="0"/>
          <w:sz w:val="32"/>
          <w:szCs w:val="32"/>
          <w:lang w:val="en-US" w:eastAsia="zh-CN" w:bidi="ar"/>
        </w:rPr>
        <w:t>委托门头沟区政府采购中心进行政府采购招投标。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000000"/>
          <w:spacing w:val="0"/>
          <w:sz w:val="14"/>
          <w:szCs w:val="14"/>
        </w:rPr>
      </w:pPr>
      <w:r>
        <w:rPr>
          <w:rFonts w:hint="default" w:ascii="仿宋_GB2312" w:hAnsi="宋体" w:eastAsia="仿宋_GB2312" w:cs="仿宋_GB2312"/>
          <w:i w:val="0"/>
          <w:caps w:val="0"/>
          <w:color w:val="000000"/>
          <w:spacing w:val="0"/>
          <w:kern w:val="0"/>
          <w:sz w:val="32"/>
          <w:szCs w:val="32"/>
          <w:lang w:val="en-US" w:eastAsia="zh-CN" w:bidi="ar"/>
        </w:rPr>
        <w:t>经查，我局20</w:t>
      </w:r>
      <w:r>
        <w:rPr>
          <w:rFonts w:hint="eastAsia" w:ascii="仿宋_GB2312" w:hAnsi="宋体" w:eastAsia="仿宋_GB2312" w:cs="仿宋_GB2312"/>
          <w:i w:val="0"/>
          <w:caps w:val="0"/>
          <w:color w:val="000000"/>
          <w:spacing w:val="0"/>
          <w:kern w:val="0"/>
          <w:sz w:val="32"/>
          <w:szCs w:val="32"/>
          <w:lang w:val="en-US" w:eastAsia="zh-CN" w:bidi="ar"/>
        </w:rPr>
        <w:t>20</w:t>
      </w:r>
      <w:r>
        <w:rPr>
          <w:rFonts w:hint="default" w:ascii="仿宋_GB2312" w:hAnsi="宋体" w:eastAsia="仿宋_GB2312" w:cs="仿宋_GB2312"/>
          <w:i w:val="0"/>
          <w:caps w:val="0"/>
          <w:color w:val="000000"/>
          <w:spacing w:val="0"/>
          <w:kern w:val="0"/>
          <w:sz w:val="32"/>
          <w:szCs w:val="32"/>
          <w:lang w:val="en-US" w:eastAsia="zh-CN" w:bidi="ar"/>
        </w:rPr>
        <w:t>年没有行政诉讼和行政复议情况，没有与社会资本合作和行政审批中介服务事项。</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二、主动公开政府信息情况</w:t>
      </w:r>
    </w:p>
    <w:tbl>
      <w:tblPr>
        <w:tblStyle w:val="7"/>
        <w:tblW w:w="8613" w:type="dxa"/>
        <w:jc w:val="center"/>
        <w:tblInd w:w="0" w:type="dxa"/>
        <w:tblLayout w:type="fixed"/>
        <w:tblCellMar>
          <w:top w:w="0" w:type="dxa"/>
          <w:left w:w="108" w:type="dxa"/>
          <w:bottom w:w="0" w:type="dxa"/>
          <w:right w:w="108" w:type="dxa"/>
        </w:tblCellMar>
      </w:tblPr>
      <w:tblGrid>
        <w:gridCol w:w="1572"/>
        <w:gridCol w:w="1230"/>
        <w:gridCol w:w="2175"/>
        <w:gridCol w:w="1887"/>
        <w:gridCol w:w="1749"/>
      </w:tblGrid>
      <w:tr>
        <w:tblPrEx>
          <w:tblLayout w:type="fixed"/>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pPr>
            <w:r>
              <w:rPr>
                <w:rFonts w:hint="eastAsia"/>
              </w:rPr>
              <w:t>第二十条第（一）项</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本年新制作数量</w:t>
            </w:r>
          </w:p>
        </w:tc>
        <w:tc>
          <w:tcPr>
            <w:tcW w:w="1887"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本年新公开数量</w:t>
            </w:r>
          </w:p>
        </w:tc>
        <w:tc>
          <w:tcPr>
            <w:tcW w:w="1749"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对外公开总数量</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规章</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规范性文件</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rPr>
                <w:rFonts w:hint="eastAsia"/>
              </w:rPr>
            </w:pPr>
            <w:r>
              <w:rPr>
                <w:rFonts w:hint="eastAsia"/>
              </w:rPr>
              <w:t>第二十条第（五）项</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上一年项目数量</w:t>
            </w:r>
          </w:p>
        </w:tc>
        <w:tc>
          <w:tcPr>
            <w:tcW w:w="1887"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本年增/减</w:t>
            </w:r>
          </w:p>
        </w:tc>
        <w:tc>
          <w:tcPr>
            <w:tcW w:w="1749"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处理决定数量</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行政许可</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6</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173</w:t>
            </w:r>
          </w:p>
        </w:tc>
      </w:tr>
      <w:tr>
        <w:tblPrEx>
          <w:tblLayout w:type="fixed"/>
          <w:tblCellMar>
            <w:top w:w="0" w:type="dxa"/>
            <w:left w:w="108" w:type="dxa"/>
            <w:bottom w:w="0" w:type="dxa"/>
            <w:right w:w="108" w:type="dxa"/>
          </w:tblCellMar>
        </w:tblPrEx>
        <w:trPr>
          <w:trHeight w:val="454" w:hRule="atLeast"/>
          <w:jc w:val="center"/>
        </w:trPr>
        <w:tc>
          <w:tcPr>
            <w:tcW w:w="1572" w:type="dxa"/>
            <w:vMerge w:val="restart"/>
            <w:tcBorders>
              <w:top w:val="nil"/>
              <w:left w:val="single" w:color="auto" w:sz="4" w:space="0"/>
              <w:right w:val="single" w:color="auto" w:sz="4" w:space="0"/>
            </w:tcBorders>
            <w:shd w:val="clear" w:color="auto" w:fill="9CC2E5"/>
            <w:vAlign w:val="center"/>
          </w:tcPr>
          <w:p>
            <w:pPr>
              <w:jc w:val="center"/>
              <w:rPr>
                <w:rFonts w:hint="eastAsia"/>
              </w:rPr>
            </w:pPr>
            <w:r>
              <w:rPr>
                <w:rFonts w:hint="eastAsia"/>
              </w:rPr>
              <w:t>其他对外管理服务事项</w:t>
            </w:r>
          </w:p>
        </w:tc>
        <w:tc>
          <w:tcPr>
            <w:tcW w:w="1230" w:type="dxa"/>
            <w:tcBorders>
              <w:top w:val="nil"/>
              <w:left w:val="single" w:color="auto" w:sz="4" w:space="0"/>
              <w:bottom w:val="single" w:color="000000" w:sz="4" w:space="0"/>
              <w:right w:val="single" w:color="auto" w:sz="4" w:space="0"/>
            </w:tcBorders>
            <w:shd w:val="clear" w:color="auto" w:fill="9CC2E5"/>
            <w:vAlign w:val="center"/>
          </w:tcPr>
          <w:p>
            <w:pPr>
              <w:jc w:val="center"/>
              <w:rPr>
                <w:rFonts w:hint="eastAsia"/>
              </w:rPr>
            </w:pPr>
            <w:r>
              <w:rPr>
                <w:rFonts w:hint="eastAsia"/>
              </w:rPr>
              <w:t>行政</w:t>
            </w:r>
            <w:r>
              <w:t>检查</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75</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-68</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360</w:t>
            </w:r>
          </w:p>
        </w:tc>
      </w:tr>
      <w:tr>
        <w:tblPrEx>
          <w:tblLayout w:type="fixed"/>
          <w:tblCellMar>
            <w:top w:w="0" w:type="dxa"/>
            <w:left w:w="108" w:type="dxa"/>
            <w:bottom w:w="0" w:type="dxa"/>
            <w:right w:w="108" w:type="dxa"/>
          </w:tblCellMar>
        </w:tblPrEx>
        <w:trPr>
          <w:trHeight w:val="454" w:hRule="atLeast"/>
          <w:jc w:val="center"/>
        </w:trPr>
        <w:tc>
          <w:tcPr>
            <w:tcW w:w="1572" w:type="dxa"/>
            <w:vMerge w:val="continue"/>
            <w:tcBorders>
              <w:left w:val="single" w:color="auto" w:sz="4" w:space="0"/>
              <w:bottom w:val="single" w:color="000000" w:sz="4" w:space="0"/>
              <w:right w:val="single" w:color="auto" w:sz="4" w:space="0"/>
            </w:tcBorders>
            <w:shd w:val="clear" w:color="auto" w:fill="9CC2E5"/>
            <w:vAlign w:val="center"/>
          </w:tcPr>
          <w:p>
            <w:pPr>
              <w:jc w:val="center"/>
              <w:rPr>
                <w:rFonts w:hint="eastAsia"/>
              </w:rPr>
            </w:pPr>
          </w:p>
        </w:tc>
        <w:tc>
          <w:tcPr>
            <w:tcW w:w="1230" w:type="dxa"/>
            <w:tcBorders>
              <w:top w:val="nil"/>
              <w:left w:val="single" w:color="auto" w:sz="4" w:space="0"/>
              <w:bottom w:val="single" w:color="000000" w:sz="4" w:space="0"/>
              <w:right w:val="single" w:color="auto" w:sz="4" w:space="0"/>
            </w:tcBorders>
            <w:shd w:val="clear" w:color="auto" w:fill="9CC2E5"/>
            <w:vAlign w:val="center"/>
          </w:tcPr>
          <w:p>
            <w:pPr>
              <w:jc w:val="center"/>
              <w:rPr>
                <w:rFonts w:hint="eastAsia"/>
              </w:rPr>
            </w:pPr>
            <w:r>
              <w:rPr>
                <w:rFonts w:hint="eastAsia"/>
              </w:rPr>
              <w:t>行政</w:t>
            </w:r>
            <w:r>
              <w:t>确认</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rPr>
                <w:rFonts w:hint="eastAsia"/>
              </w:rPr>
            </w:pPr>
            <w:r>
              <w:rPr>
                <w:rFonts w:hint="eastAsia"/>
              </w:rPr>
              <w:t>第二十条第（六）项</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上一年项目数量</w:t>
            </w:r>
          </w:p>
        </w:tc>
        <w:tc>
          <w:tcPr>
            <w:tcW w:w="1887"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本年增/减</w:t>
            </w:r>
          </w:p>
        </w:tc>
        <w:tc>
          <w:tcPr>
            <w:tcW w:w="1749"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处理决定数量</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行政处罚</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75</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2</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行政强制</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1749"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000000" w:sz="8" w:space="0"/>
              <w:right w:val="single" w:color="auto" w:sz="4" w:space="0"/>
            </w:tcBorders>
            <w:shd w:val="clear" w:color="auto" w:fill="5B9BD5"/>
            <w:vAlign w:val="center"/>
          </w:tcPr>
          <w:p>
            <w:pPr>
              <w:jc w:val="center"/>
              <w:rPr>
                <w:rFonts w:hint="eastAsia"/>
              </w:rPr>
            </w:pPr>
            <w:r>
              <w:rPr>
                <w:rFonts w:hint="eastAsia"/>
              </w:rPr>
              <w:t>第二十条第（八）项</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000000" w:sz="8"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信息内容</w:t>
            </w:r>
          </w:p>
        </w:tc>
        <w:tc>
          <w:tcPr>
            <w:tcW w:w="2175" w:type="dxa"/>
            <w:tcBorders>
              <w:top w:val="single" w:color="000000" w:sz="8" w:space="0"/>
              <w:left w:val="nil"/>
              <w:bottom w:val="single" w:color="auto" w:sz="4" w:space="0"/>
              <w:right w:val="single" w:color="auto" w:sz="4" w:space="0"/>
            </w:tcBorders>
            <w:shd w:val="clear" w:color="auto" w:fill="BDD6EE"/>
            <w:vAlign w:val="center"/>
          </w:tcPr>
          <w:p>
            <w:pPr>
              <w:jc w:val="center"/>
              <w:rPr>
                <w:rFonts w:hint="eastAsia"/>
              </w:rPr>
            </w:pPr>
            <w:r>
              <w:rPr>
                <w:rFonts w:hint="eastAsia"/>
              </w:rPr>
              <w:t>上一年项目数量</w:t>
            </w:r>
          </w:p>
        </w:tc>
        <w:tc>
          <w:tcPr>
            <w:tcW w:w="3636" w:type="dxa"/>
            <w:gridSpan w:val="2"/>
            <w:tcBorders>
              <w:top w:val="single" w:color="000000" w:sz="8" w:space="0"/>
              <w:left w:val="nil"/>
              <w:bottom w:val="single" w:color="auto" w:sz="4" w:space="0"/>
              <w:right w:val="single" w:color="000000" w:sz="4" w:space="0"/>
            </w:tcBorders>
            <w:shd w:val="clear" w:color="auto" w:fill="BDD6EE"/>
            <w:vAlign w:val="center"/>
          </w:tcPr>
          <w:p>
            <w:pPr>
              <w:jc w:val="center"/>
              <w:rPr>
                <w:rFonts w:hint="eastAsia"/>
              </w:rPr>
            </w:pPr>
            <w:r>
              <w:rPr>
                <w:rFonts w:hint="eastAsia"/>
              </w:rPr>
              <w:t>本年增/减</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行政事业性收费</w:t>
            </w:r>
          </w:p>
        </w:tc>
        <w:tc>
          <w:tcPr>
            <w:tcW w:w="2175" w:type="dxa"/>
            <w:tcBorders>
              <w:top w:val="single" w:color="auto" w:sz="4" w:space="0"/>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3636" w:type="dxa"/>
            <w:gridSpan w:val="2"/>
            <w:tcBorders>
              <w:top w:val="single" w:color="auto" w:sz="4" w:space="0"/>
              <w:left w:val="nil"/>
              <w:bottom w:val="single" w:color="auto" w:sz="4" w:space="0"/>
              <w:right w:val="single" w:color="000000" w:sz="4" w:space="0"/>
            </w:tcBorders>
            <w:vAlign w:val="center"/>
          </w:tcPr>
          <w:p>
            <w:pPr>
              <w:jc w:val="center"/>
              <w:rPr>
                <w:rFonts w:hint="eastAsia" w:eastAsiaTheme="minorEastAsia"/>
                <w:lang w:val="en-US" w:eastAsia="zh-CN"/>
              </w:rPr>
            </w:pPr>
            <w:r>
              <w:rPr>
                <w:rFonts w:hint="eastAsia"/>
                <w:lang w:val="en-US" w:eastAsia="zh-CN"/>
              </w:rPr>
              <w:t>0</w:t>
            </w:r>
          </w:p>
        </w:tc>
      </w:tr>
      <w:tr>
        <w:tblPrEx>
          <w:tblLayout w:type="fixed"/>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rPr>
                <w:rFonts w:hint="eastAsia"/>
              </w:rPr>
            </w:pPr>
            <w:r>
              <w:rPr>
                <w:rFonts w:hint="eastAsia"/>
              </w:rPr>
              <w:t>第二十条第（九）项</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rPr>
                <w:rFonts w:hint="eastAsia"/>
              </w:rPr>
            </w:pPr>
            <w:r>
              <w:rPr>
                <w:rFonts w:hint="eastAsia"/>
              </w:rPr>
              <w:t>采购项目数量</w:t>
            </w:r>
          </w:p>
        </w:tc>
        <w:tc>
          <w:tcPr>
            <w:tcW w:w="3636" w:type="dxa"/>
            <w:gridSpan w:val="2"/>
            <w:tcBorders>
              <w:top w:val="single" w:color="auto" w:sz="4" w:space="0"/>
              <w:left w:val="nil"/>
              <w:bottom w:val="single" w:color="auto" w:sz="4" w:space="0"/>
              <w:right w:val="single" w:color="000000" w:sz="4" w:space="0"/>
            </w:tcBorders>
            <w:shd w:val="clear" w:color="auto" w:fill="BDD6EE"/>
            <w:vAlign w:val="center"/>
          </w:tcPr>
          <w:p>
            <w:pPr>
              <w:jc w:val="center"/>
              <w:rPr>
                <w:rFonts w:hint="eastAsia"/>
              </w:rPr>
            </w:pPr>
            <w:r>
              <w:rPr>
                <w:rFonts w:hint="eastAsia"/>
              </w:rPr>
              <w:t>采购总金额（万元，保留四位小数）</w:t>
            </w:r>
          </w:p>
        </w:tc>
      </w:tr>
      <w:tr>
        <w:tblPrEx>
          <w:tblLayout w:type="fixed"/>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rPr>
                <w:rFonts w:hint="eastAsia"/>
              </w:rPr>
            </w:pPr>
            <w:r>
              <w:rPr>
                <w:rFonts w:hint="eastAsia"/>
              </w:rPr>
              <w:t>政府集中采购</w:t>
            </w:r>
          </w:p>
        </w:tc>
        <w:tc>
          <w:tcPr>
            <w:tcW w:w="2175" w:type="dxa"/>
            <w:tcBorders>
              <w:top w:val="nil"/>
              <w:left w:val="nil"/>
              <w:bottom w:val="single" w:color="auto" w:sz="4" w:space="0"/>
              <w:right w:val="single" w:color="auto" w:sz="4" w:space="0"/>
            </w:tcBorders>
            <w:vAlign w:val="center"/>
          </w:tcPr>
          <w:p>
            <w:pPr>
              <w:jc w:val="center"/>
              <w:rPr>
                <w:rFonts w:hint="eastAsia" w:eastAsiaTheme="minorEastAsia"/>
                <w:lang w:val="en-US" w:eastAsia="zh-CN"/>
              </w:rPr>
            </w:pPr>
            <w:r>
              <w:rPr>
                <w:rFonts w:hint="eastAsia"/>
                <w:lang w:val="en-US" w:eastAsia="zh-CN"/>
              </w:rPr>
              <w:t>0</w:t>
            </w:r>
          </w:p>
        </w:tc>
        <w:tc>
          <w:tcPr>
            <w:tcW w:w="3636" w:type="dxa"/>
            <w:gridSpan w:val="2"/>
            <w:tcBorders>
              <w:top w:val="single" w:color="auto" w:sz="4" w:space="0"/>
              <w:left w:val="nil"/>
              <w:bottom w:val="single" w:color="auto" w:sz="4" w:space="0"/>
              <w:right w:val="single" w:color="000000" w:sz="4" w:space="0"/>
            </w:tcBorders>
            <w:vAlign w:val="center"/>
          </w:tcPr>
          <w:p>
            <w:pPr>
              <w:jc w:val="center"/>
              <w:rPr>
                <w:rFonts w:hint="default" w:eastAsiaTheme="minorEastAsia"/>
                <w:lang w:val="en-US" w:eastAsia="zh-CN"/>
              </w:rPr>
            </w:pPr>
            <w:r>
              <w:rPr>
                <w:rFonts w:hint="eastAsia"/>
                <w:lang w:val="en-US" w:eastAsia="zh-CN"/>
              </w:rPr>
              <w:t>0</w:t>
            </w:r>
          </w:p>
        </w:tc>
      </w:tr>
    </w:tbl>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三、收到和处理政府信息公开申请情况</w:t>
      </w:r>
    </w:p>
    <w:tbl>
      <w:tblPr>
        <w:tblStyle w:val="7"/>
        <w:tblW w:w="90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99"/>
        <w:gridCol w:w="856"/>
        <w:gridCol w:w="2957"/>
        <w:gridCol w:w="709"/>
        <w:gridCol w:w="709"/>
        <w:gridCol w:w="709"/>
        <w:gridCol w:w="708"/>
        <w:gridCol w:w="709"/>
        <w:gridCol w:w="56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2" w:hRule="atLeast"/>
          <w:jc w:val="center"/>
        </w:trPr>
        <w:tc>
          <w:tcPr>
            <w:tcW w:w="4212" w:type="dxa"/>
            <w:gridSpan w:val="3"/>
            <w:vMerge w:val="restart"/>
            <w:shd w:val="clear" w:color="auto" w:fill="5B9BD5"/>
            <w:tcMar>
              <w:top w:w="0" w:type="dxa"/>
              <w:left w:w="108" w:type="dxa"/>
              <w:bottom w:w="0" w:type="dxa"/>
              <w:right w:w="108" w:type="dxa"/>
            </w:tcMar>
            <w:vAlign w:val="center"/>
          </w:tcPr>
          <w:p>
            <w:r>
              <w:rPr>
                <w:rFonts w:hint="eastAsia"/>
              </w:rPr>
              <w:t>（本列数据的勾稽关系为：第一项加第二项之和，等于第三项加第四项之和）</w:t>
            </w:r>
          </w:p>
        </w:tc>
        <w:tc>
          <w:tcPr>
            <w:tcW w:w="4820" w:type="dxa"/>
            <w:gridSpan w:val="7"/>
            <w:shd w:val="clear" w:color="auto" w:fill="5B9BD5"/>
            <w:tcMar>
              <w:top w:w="0" w:type="dxa"/>
              <w:left w:w="108" w:type="dxa"/>
              <w:bottom w:w="0" w:type="dxa"/>
              <w:right w:w="108" w:type="dxa"/>
            </w:tcMar>
            <w:vAlign w:val="center"/>
          </w:tcPr>
          <w:p>
            <w:pPr>
              <w:jc w:val="center"/>
            </w:pPr>
            <w:r>
              <w:rPr>
                <w:rFonts w:hint="eastAsia"/>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44" w:hRule="atLeast"/>
          <w:jc w:val="center"/>
        </w:trPr>
        <w:tc>
          <w:tcPr>
            <w:tcW w:w="4212" w:type="dxa"/>
            <w:gridSpan w:val="3"/>
            <w:vMerge w:val="continue"/>
            <w:shd w:val="clear" w:color="auto" w:fill="5B9BD5"/>
            <w:tcMar>
              <w:top w:w="0" w:type="dxa"/>
              <w:left w:w="108" w:type="dxa"/>
              <w:bottom w:w="0" w:type="dxa"/>
              <w:right w:w="108" w:type="dxa"/>
            </w:tcMar>
            <w:vAlign w:val="center"/>
          </w:tcPr>
          <w:p>
            <w:pPr>
              <w:rPr>
                <w:rFonts w:hint="eastAsia"/>
              </w:rPr>
            </w:pPr>
          </w:p>
        </w:tc>
        <w:tc>
          <w:tcPr>
            <w:tcW w:w="709" w:type="dxa"/>
            <w:vMerge w:val="restart"/>
            <w:shd w:val="clear" w:color="auto" w:fill="5B9BD5"/>
            <w:tcMar>
              <w:top w:w="0" w:type="dxa"/>
              <w:left w:w="108" w:type="dxa"/>
              <w:bottom w:w="0" w:type="dxa"/>
              <w:right w:w="108" w:type="dxa"/>
            </w:tcMar>
            <w:vAlign w:val="center"/>
          </w:tcPr>
          <w:p>
            <w:pPr>
              <w:jc w:val="center"/>
            </w:pPr>
            <w:r>
              <w:rPr>
                <w:rFonts w:hint="eastAsia"/>
              </w:rPr>
              <w:t>自然人</w:t>
            </w:r>
          </w:p>
        </w:tc>
        <w:tc>
          <w:tcPr>
            <w:tcW w:w="3402" w:type="dxa"/>
            <w:gridSpan w:val="5"/>
            <w:shd w:val="clear" w:color="auto" w:fill="5B9BD5"/>
            <w:tcMar>
              <w:top w:w="0" w:type="dxa"/>
              <w:left w:w="108" w:type="dxa"/>
              <w:bottom w:w="0" w:type="dxa"/>
              <w:right w:w="108" w:type="dxa"/>
            </w:tcMar>
            <w:vAlign w:val="center"/>
          </w:tcPr>
          <w:p>
            <w:pPr>
              <w:jc w:val="center"/>
            </w:pPr>
            <w:r>
              <w:rPr>
                <w:rFonts w:hint="eastAsia"/>
              </w:rPr>
              <w:t>法人或其他组织</w:t>
            </w:r>
          </w:p>
        </w:tc>
        <w:tc>
          <w:tcPr>
            <w:tcW w:w="709" w:type="dxa"/>
            <w:vMerge w:val="restart"/>
            <w:shd w:val="clear" w:color="auto" w:fill="5B9BD5"/>
            <w:tcMar>
              <w:top w:w="0" w:type="dxa"/>
              <w:left w:w="108" w:type="dxa"/>
              <w:bottom w:w="0" w:type="dxa"/>
              <w:right w:w="108" w:type="dxa"/>
            </w:tcMar>
            <w:vAlign w:val="center"/>
          </w:tcPr>
          <w:p>
            <w:pPr>
              <w:jc w:val="center"/>
            </w:pPr>
            <w:r>
              <w:rPr>
                <w:rFonts w:hint="eastAsia"/>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4212" w:type="dxa"/>
            <w:gridSpan w:val="3"/>
            <w:vMerge w:val="continue"/>
            <w:shd w:val="clear" w:color="auto" w:fill="auto"/>
            <w:tcMar>
              <w:top w:w="0" w:type="dxa"/>
              <w:left w:w="108" w:type="dxa"/>
              <w:bottom w:w="0" w:type="dxa"/>
              <w:right w:w="108" w:type="dxa"/>
            </w:tcMar>
            <w:vAlign w:val="center"/>
          </w:tcPr>
          <w:p>
            <w:pPr>
              <w:rPr>
                <w:rFonts w:hint="eastAsia"/>
              </w:rPr>
            </w:pPr>
          </w:p>
        </w:tc>
        <w:tc>
          <w:tcPr>
            <w:tcW w:w="709" w:type="dxa"/>
            <w:vMerge w:val="continue"/>
            <w:shd w:val="clear" w:color="auto" w:fill="auto"/>
            <w:tcMar>
              <w:top w:w="0" w:type="dxa"/>
              <w:left w:w="108" w:type="dxa"/>
              <w:bottom w:w="0" w:type="dxa"/>
              <w:right w:w="108" w:type="dxa"/>
            </w:tcMar>
            <w:vAlign w:val="center"/>
          </w:tcPr>
          <w:p>
            <w:pPr>
              <w:jc w:val="center"/>
              <w:rPr>
                <w:rFonts w:hint="eastAsia"/>
              </w:rPr>
            </w:pPr>
          </w:p>
        </w:tc>
        <w:tc>
          <w:tcPr>
            <w:tcW w:w="709" w:type="dxa"/>
            <w:shd w:val="clear" w:color="auto" w:fill="5B9BD5"/>
            <w:tcMar>
              <w:top w:w="0" w:type="dxa"/>
              <w:left w:w="108" w:type="dxa"/>
              <w:bottom w:w="0" w:type="dxa"/>
              <w:right w:w="108" w:type="dxa"/>
            </w:tcMar>
            <w:vAlign w:val="center"/>
          </w:tcPr>
          <w:p>
            <w:pPr>
              <w:jc w:val="center"/>
            </w:pPr>
            <w:r>
              <w:rPr>
                <w:rFonts w:hint="eastAsia"/>
              </w:rPr>
              <w:t>商业企业</w:t>
            </w:r>
          </w:p>
        </w:tc>
        <w:tc>
          <w:tcPr>
            <w:tcW w:w="709" w:type="dxa"/>
            <w:shd w:val="clear" w:color="auto" w:fill="5B9BD5"/>
            <w:tcMar>
              <w:top w:w="0" w:type="dxa"/>
              <w:left w:w="108" w:type="dxa"/>
              <w:bottom w:w="0" w:type="dxa"/>
              <w:right w:w="108" w:type="dxa"/>
            </w:tcMar>
            <w:vAlign w:val="center"/>
          </w:tcPr>
          <w:p>
            <w:pPr>
              <w:jc w:val="center"/>
            </w:pPr>
            <w:r>
              <w:rPr>
                <w:rFonts w:hint="eastAsia"/>
              </w:rPr>
              <w:t>科研机构</w:t>
            </w:r>
          </w:p>
        </w:tc>
        <w:tc>
          <w:tcPr>
            <w:tcW w:w="708" w:type="dxa"/>
            <w:shd w:val="clear" w:color="auto" w:fill="5B9BD5"/>
            <w:tcMar>
              <w:top w:w="0" w:type="dxa"/>
              <w:left w:w="108" w:type="dxa"/>
              <w:bottom w:w="0" w:type="dxa"/>
              <w:right w:w="108" w:type="dxa"/>
            </w:tcMar>
            <w:vAlign w:val="center"/>
          </w:tcPr>
          <w:p>
            <w:pPr>
              <w:jc w:val="center"/>
            </w:pPr>
            <w:r>
              <w:rPr>
                <w:rFonts w:hint="eastAsia"/>
              </w:rPr>
              <w:t>社会公益组织</w:t>
            </w:r>
          </w:p>
        </w:tc>
        <w:tc>
          <w:tcPr>
            <w:tcW w:w="709" w:type="dxa"/>
            <w:shd w:val="clear" w:color="auto" w:fill="5B9BD5"/>
            <w:tcMar>
              <w:top w:w="0" w:type="dxa"/>
              <w:left w:w="108" w:type="dxa"/>
              <w:bottom w:w="0" w:type="dxa"/>
              <w:right w:w="108" w:type="dxa"/>
            </w:tcMar>
            <w:vAlign w:val="center"/>
          </w:tcPr>
          <w:p>
            <w:pPr>
              <w:jc w:val="center"/>
            </w:pPr>
            <w:r>
              <w:rPr>
                <w:rFonts w:hint="eastAsia"/>
              </w:rPr>
              <w:t>法律服务机构</w:t>
            </w:r>
          </w:p>
        </w:tc>
        <w:tc>
          <w:tcPr>
            <w:tcW w:w="567" w:type="dxa"/>
            <w:shd w:val="clear" w:color="auto" w:fill="5B9BD5"/>
            <w:tcMar>
              <w:top w:w="0" w:type="dxa"/>
              <w:left w:w="108" w:type="dxa"/>
              <w:bottom w:w="0" w:type="dxa"/>
              <w:right w:w="108" w:type="dxa"/>
            </w:tcMar>
            <w:vAlign w:val="center"/>
          </w:tcPr>
          <w:p>
            <w:pPr>
              <w:jc w:val="center"/>
            </w:pPr>
            <w:r>
              <w:rPr>
                <w:rFonts w:hint="eastAsia"/>
              </w:rPr>
              <w:t>其他</w:t>
            </w:r>
          </w:p>
        </w:tc>
        <w:tc>
          <w:tcPr>
            <w:tcW w:w="709" w:type="dxa"/>
            <w:vMerge w:val="continue"/>
            <w:tcMar>
              <w:top w:w="0" w:type="dxa"/>
              <w:left w:w="108" w:type="dxa"/>
              <w:bottom w:w="0" w:type="dxa"/>
              <w:right w:w="108" w:type="dxa"/>
            </w:tcMar>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一、本年新收政府信息公开申请数量</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30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二、上年结转政府信息公开申请数量</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restart"/>
            <w:shd w:val="clear" w:color="auto" w:fill="9CC2E5"/>
            <w:tcMar>
              <w:top w:w="0" w:type="dxa"/>
              <w:left w:w="108" w:type="dxa"/>
              <w:bottom w:w="0" w:type="dxa"/>
              <w:right w:w="108" w:type="dxa"/>
            </w:tcMar>
            <w:vAlign w:val="center"/>
          </w:tcPr>
          <w:p>
            <w:r>
              <w:rPr>
                <w:rFonts w:hint="eastAsia"/>
              </w:rPr>
              <w:t>三、本年度办理结果</w:t>
            </w:r>
          </w:p>
        </w:tc>
        <w:tc>
          <w:tcPr>
            <w:tcW w:w="3813" w:type="dxa"/>
            <w:gridSpan w:val="2"/>
            <w:shd w:val="clear" w:color="auto" w:fill="BDD6EE"/>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（一）予以公开</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3813" w:type="dxa"/>
            <w:gridSpan w:val="2"/>
            <w:shd w:val="clear" w:color="auto" w:fill="BDD6EE"/>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（二）部分公开（区分处理的，只计这一情形，不计其他情形）</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restart"/>
            <w:shd w:val="clear" w:color="auto" w:fill="BDD6EE"/>
            <w:tcMar>
              <w:top w:w="0" w:type="dxa"/>
              <w:left w:w="108" w:type="dxa"/>
              <w:bottom w:w="0" w:type="dxa"/>
              <w:right w:w="108" w:type="dxa"/>
            </w:tcMar>
            <w:vAlign w:val="center"/>
          </w:tcPr>
          <w:p>
            <w:pPr>
              <w:jc w:val="center"/>
              <w:rPr>
                <w:rFonts w:hint="eastAsia" w:ascii="楷体_GB2312" w:eastAsia="楷体_GB2312"/>
              </w:rPr>
            </w:pPr>
            <w:r>
              <w:rPr>
                <w:rFonts w:hint="eastAsia" w:ascii="楷体_GB2312" w:eastAsia="楷体_GB2312"/>
              </w:rPr>
              <w:t>（三）不予</w:t>
            </w:r>
          </w:p>
          <w:p>
            <w:pPr>
              <w:jc w:val="center"/>
              <w:rPr>
                <w:rFonts w:hint="eastAsia" w:ascii="楷体_GB2312" w:eastAsia="楷体_GB2312"/>
              </w:rPr>
            </w:pPr>
            <w:r>
              <w:rPr>
                <w:rFonts w:hint="eastAsia" w:ascii="楷体_GB2312" w:eastAsia="楷体_GB2312"/>
              </w:rPr>
              <w:t>公开</w:t>
            </w: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1.属于国家秘密</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2</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2.其他法律行政法规禁止公开</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3.危及“三安全一稳定”</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4.保护第三方合法权益</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5.属于三类内部事务信息</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6.属于四类过程性信息</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7.属于行政执法案卷</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8.属于行政查询事项</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restart"/>
            <w:shd w:val="clear" w:color="auto" w:fill="BDD6EE"/>
            <w:tcMar>
              <w:top w:w="0" w:type="dxa"/>
              <w:left w:w="108" w:type="dxa"/>
              <w:bottom w:w="0" w:type="dxa"/>
              <w:right w:w="108" w:type="dxa"/>
            </w:tcMar>
            <w:vAlign w:val="center"/>
          </w:tcPr>
          <w:p>
            <w:pPr>
              <w:jc w:val="center"/>
              <w:rPr>
                <w:rFonts w:hint="eastAsia" w:ascii="楷体_GB2312" w:eastAsia="楷体_GB2312"/>
              </w:rPr>
            </w:pPr>
            <w:r>
              <w:rPr>
                <w:rFonts w:hint="eastAsia" w:ascii="楷体_GB2312" w:eastAsia="楷体_GB2312"/>
              </w:rPr>
              <w:t>（四）无法</w:t>
            </w:r>
          </w:p>
          <w:p>
            <w:pPr>
              <w:jc w:val="center"/>
              <w:rPr>
                <w:rFonts w:hint="eastAsia" w:ascii="楷体_GB2312" w:eastAsia="楷体_GB2312"/>
              </w:rPr>
            </w:pPr>
            <w:r>
              <w:rPr>
                <w:rFonts w:hint="eastAsia" w:ascii="楷体_GB2312" w:eastAsia="楷体_GB2312"/>
              </w:rPr>
              <w:t>提供</w:t>
            </w: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1.本机关不掌握相关政府信息</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28</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2.没有现成信息需要另行制作</w:t>
            </w:r>
          </w:p>
        </w:tc>
        <w:tc>
          <w:tcPr>
            <w:tcW w:w="709" w:type="dxa"/>
            <w:tcMar>
              <w:top w:w="0" w:type="dxa"/>
              <w:left w:w="108" w:type="dxa"/>
              <w:bottom w:w="0" w:type="dxa"/>
              <w:right w:w="108" w:type="dxa"/>
            </w:tcMar>
            <w:vAlign w:val="center"/>
          </w:tcPr>
          <w:p>
            <w:pPr>
              <w:jc w:val="center"/>
              <w:rPr>
                <w:rFonts w:hint="eastAsia" w:eastAsiaTheme="minorEastAsia"/>
                <w:lang w:eastAsia="zh-CN"/>
              </w:rPr>
            </w:pPr>
            <w:r>
              <w:rPr>
                <w:rFonts w:hint="eastAsia"/>
                <w:lang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jc w:val="cente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3.补正后申请内容仍不明确</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restart"/>
            <w:shd w:val="clear" w:color="auto" w:fill="BDD6EE"/>
            <w:tcMar>
              <w:top w:w="0" w:type="dxa"/>
              <w:left w:w="108" w:type="dxa"/>
              <w:bottom w:w="0" w:type="dxa"/>
              <w:right w:w="108" w:type="dxa"/>
            </w:tcMar>
            <w:vAlign w:val="center"/>
          </w:tcPr>
          <w:p>
            <w:pPr>
              <w:jc w:val="center"/>
              <w:rPr>
                <w:rFonts w:hint="eastAsia" w:ascii="楷体_GB2312" w:eastAsia="楷体_GB2312"/>
              </w:rPr>
            </w:pPr>
            <w:r>
              <w:rPr>
                <w:rFonts w:hint="eastAsia" w:ascii="楷体_GB2312" w:eastAsia="楷体_GB2312"/>
              </w:rPr>
              <w:t>（五）不予</w:t>
            </w:r>
          </w:p>
          <w:p>
            <w:pPr>
              <w:jc w:val="center"/>
              <w:rPr>
                <w:rFonts w:hint="eastAsia" w:ascii="楷体_GB2312" w:eastAsia="楷体_GB2312"/>
              </w:rPr>
            </w:pPr>
            <w:r>
              <w:rPr>
                <w:rFonts w:hint="eastAsia" w:ascii="楷体_GB2312" w:eastAsia="楷体_GB2312"/>
              </w:rPr>
              <w:t>处理</w:t>
            </w: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1.信访举报投诉类申请</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2.重复申请</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3.要求提供公开出版物</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4.无正当理由大量反复申请</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856" w:type="dxa"/>
            <w:vMerge w:val="continue"/>
            <w:shd w:val="clear" w:color="auto" w:fill="BDD6EE"/>
            <w:tcMar>
              <w:top w:w="0" w:type="dxa"/>
              <w:left w:w="108" w:type="dxa"/>
              <w:bottom w:w="0" w:type="dxa"/>
              <w:right w:w="108" w:type="dxa"/>
            </w:tcMar>
            <w:vAlign w:val="center"/>
          </w:tcPr>
          <w:p>
            <w:pPr>
              <w:rPr>
                <w:rFonts w:hint="eastAsia" w:ascii="楷体_GB2312" w:eastAsia="楷体_GB2312"/>
              </w:rPr>
            </w:pPr>
          </w:p>
        </w:tc>
        <w:tc>
          <w:tcPr>
            <w:tcW w:w="2957" w:type="dxa"/>
            <w:shd w:val="clear" w:color="auto" w:fill="DEEAF6"/>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5.要求行政机关确认或重新出具已获取信息</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3813" w:type="dxa"/>
            <w:gridSpan w:val="2"/>
            <w:shd w:val="clear" w:color="auto" w:fill="BDD6EE"/>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（六）其他处理</w:t>
            </w:r>
          </w:p>
        </w:tc>
        <w:tc>
          <w:tcPr>
            <w:tcW w:w="709"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lang w:val="en-US"/>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pPr>
              <w:rPr>
                <w:rFonts w:hint="eastAsia"/>
              </w:rPr>
            </w:pPr>
          </w:p>
        </w:tc>
        <w:tc>
          <w:tcPr>
            <w:tcW w:w="3813" w:type="dxa"/>
            <w:gridSpan w:val="2"/>
            <w:shd w:val="clear" w:color="auto" w:fill="BDD6EE"/>
            <w:tcMar>
              <w:top w:w="0" w:type="dxa"/>
              <w:left w:w="108" w:type="dxa"/>
              <w:bottom w:w="0" w:type="dxa"/>
              <w:right w:w="108" w:type="dxa"/>
            </w:tcMar>
            <w:vAlign w:val="center"/>
          </w:tcPr>
          <w:p>
            <w:pPr>
              <w:rPr>
                <w:rFonts w:hint="eastAsia" w:ascii="楷体_GB2312" w:eastAsia="楷体_GB2312"/>
              </w:rPr>
            </w:pPr>
            <w:r>
              <w:rPr>
                <w:rFonts w:hint="eastAsia" w:ascii="楷体_GB2312" w:eastAsia="楷体_GB2312"/>
              </w:rPr>
              <w:t>（七）总计</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30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四、结转下年度继续办理</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8"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567" w:type="dxa"/>
            <w:tcMar>
              <w:top w:w="0" w:type="dxa"/>
              <w:left w:w="108" w:type="dxa"/>
              <w:bottom w:w="0" w:type="dxa"/>
              <w:right w:w="108" w:type="dxa"/>
            </w:tcMar>
            <w:vAlign w:val="center"/>
          </w:tcPr>
          <w:p>
            <w:pPr>
              <w:jc w:val="center"/>
              <w:rPr>
                <w:rFonts w:hint="eastAsia"/>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rPr>
            </w:pPr>
            <w:r>
              <w:rPr>
                <w:rFonts w:hint="eastAsia"/>
                <w:lang w:val="en-US" w:eastAsia="zh-CN"/>
              </w:rPr>
              <w:t>0</w:t>
            </w: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tbl>
      <w:tblPr>
        <w:tblStyle w:val="7"/>
        <w:tblW w:w="8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67"/>
        <w:gridCol w:w="541"/>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5" w:hRule="atLeast"/>
          <w:jc w:val="center"/>
        </w:trPr>
        <w:tc>
          <w:tcPr>
            <w:tcW w:w="2874" w:type="dxa"/>
            <w:gridSpan w:val="5"/>
            <w:tcBorders>
              <w:bottom w:val="single" w:color="auto" w:sz="4" w:space="0"/>
            </w:tcBorders>
            <w:shd w:val="clear" w:color="auto" w:fill="5B9BD5"/>
            <w:tcMar>
              <w:top w:w="0" w:type="dxa"/>
              <w:left w:w="108" w:type="dxa"/>
              <w:bottom w:w="0" w:type="dxa"/>
              <w:right w:w="108" w:type="dxa"/>
            </w:tcMar>
            <w:vAlign w:val="center"/>
          </w:tcPr>
          <w:p>
            <w:pPr>
              <w:jc w:val="center"/>
            </w:pPr>
            <w:r>
              <w:rPr>
                <w:rFonts w:hint="eastAsia"/>
              </w:rPr>
              <w:t>行政复议</w:t>
            </w:r>
          </w:p>
        </w:tc>
        <w:tc>
          <w:tcPr>
            <w:tcW w:w="5997" w:type="dxa"/>
            <w:gridSpan w:val="10"/>
            <w:tcBorders>
              <w:bottom w:val="single" w:color="auto" w:sz="4" w:space="0"/>
            </w:tcBorders>
            <w:shd w:val="clear" w:color="auto" w:fill="5B9BD5"/>
            <w:tcMar>
              <w:top w:w="0" w:type="dxa"/>
              <w:left w:w="108" w:type="dxa"/>
              <w:bottom w:w="0" w:type="dxa"/>
              <w:right w:w="108" w:type="dxa"/>
            </w:tcMar>
            <w:vAlign w:val="center"/>
          </w:tcPr>
          <w:p>
            <w:pPr>
              <w:jc w:val="center"/>
            </w:pPr>
            <w:r>
              <w:rPr>
                <w:rFonts w:hint="eastAsia"/>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5" w:hRule="atLeast"/>
          <w:jc w:val="center"/>
        </w:trPr>
        <w:tc>
          <w:tcPr>
            <w:tcW w:w="467"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结</w:t>
            </w:r>
          </w:p>
          <w:p>
            <w:pPr>
              <w:jc w:val="center"/>
            </w:pPr>
            <w:r>
              <w:rPr>
                <w:rFonts w:hint="eastAsia"/>
              </w:rPr>
              <w:t>果</w:t>
            </w:r>
          </w:p>
          <w:p>
            <w:pPr>
              <w:jc w:val="center"/>
            </w:pPr>
            <w:r>
              <w:rPr>
                <w:rFonts w:hint="eastAsia"/>
              </w:rPr>
              <w:t>维</w:t>
            </w:r>
          </w:p>
          <w:p>
            <w:pPr>
              <w:jc w:val="center"/>
            </w:pPr>
            <w:r>
              <w:rPr>
                <w:rFonts w:hint="eastAsia"/>
              </w:rPr>
              <w:t>持</w:t>
            </w:r>
          </w:p>
        </w:tc>
        <w:tc>
          <w:tcPr>
            <w:tcW w:w="541"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结果纠正</w:t>
            </w:r>
          </w:p>
        </w:tc>
        <w:tc>
          <w:tcPr>
            <w:tcW w:w="604"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其他结果</w:t>
            </w:r>
          </w:p>
        </w:tc>
        <w:tc>
          <w:tcPr>
            <w:tcW w:w="604"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尚未审结</w:t>
            </w:r>
          </w:p>
        </w:tc>
        <w:tc>
          <w:tcPr>
            <w:tcW w:w="658"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总 计</w:t>
            </w:r>
          </w:p>
        </w:tc>
        <w:tc>
          <w:tcPr>
            <w:tcW w:w="2970" w:type="dxa"/>
            <w:gridSpan w:val="5"/>
            <w:tcBorders>
              <w:top w:val="single" w:color="auto" w:sz="4" w:space="0"/>
            </w:tcBorders>
            <w:shd w:val="clear" w:color="auto" w:fill="9CC2E5"/>
            <w:tcMar>
              <w:top w:w="0" w:type="dxa"/>
              <w:left w:w="108" w:type="dxa"/>
              <w:bottom w:w="0" w:type="dxa"/>
              <w:right w:w="108" w:type="dxa"/>
            </w:tcMar>
            <w:vAlign w:val="center"/>
          </w:tcPr>
          <w:p>
            <w:pPr>
              <w:jc w:val="center"/>
            </w:pPr>
            <w:r>
              <w:rPr>
                <w:rFonts w:hint="eastAsia"/>
              </w:rPr>
              <w:t>未经复议直接起诉</w:t>
            </w:r>
          </w:p>
        </w:tc>
        <w:tc>
          <w:tcPr>
            <w:tcW w:w="3027" w:type="dxa"/>
            <w:gridSpan w:val="5"/>
            <w:tcBorders>
              <w:top w:val="single" w:color="auto" w:sz="4" w:space="0"/>
            </w:tcBorders>
            <w:shd w:val="clear" w:color="auto" w:fill="9CC2E5"/>
            <w:tcMar>
              <w:top w:w="0" w:type="dxa"/>
              <w:left w:w="108" w:type="dxa"/>
              <w:bottom w:w="0" w:type="dxa"/>
              <w:right w:w="108" w:type="dxa"/>
            </w:tcMar>
            <w:vAlign w:val="center"/>
          </w:tcPr>
          <w:p>
            <w:pPr>
              <w:jc w:val="center"/>
            </w:pPr>
            <w:r>
              <w:rPr>
                <w:rFonts w:hint="eastAsia"/>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467" w:type="dxa"/>
            <w:vMerge w:val="continue"/>
            <w:tcMar>
              <w:top w:w="0" w:type="dxa"/>
              <w:left w:w="108" w:type="dxa"/>
              <w:bottom w:w="0" w:type="dxa"/>
              <w:right w:w="108" w:type="dxa"/>
            </w:tcMar>
            <w:vAlign w:val="center"/>
          </w:tcPr>
          <w:p>
            <w:pPr>
              <w:jc w:val="center"/>
              <w:rPr>
                <w:rFonts w:hint="eastAsia"/>
              </w:rPr>
            </w:pPr>
          </w:p>
        </w:tc>
        <w:tc>
          <w:tcPr>
            <w:tcW w:w="541" w:type="dxa"/>
            <w:vMerge w:val="continue"/>
            <w:tcMar>
              <w:top w:w="0" w:type="dxa"/>
              <w:left w:w="108" w:type="dxa"/>
              <w:bottom w:w="0" w:type="dxa"/>
              <w:right w:w="108" w:type="dxa"/>
            </w:tcMar>
            <w:vAlign w:val="center"/>
          </w:tcPr>
          <w:p>
            <w:pPr>
              <w:jc w:val="center"/>
              <w:rPr>
                <w:rFonts w:hint="eastAsia"/>
              </w:rPr>
            </w:pPr>
          </w:p>
        </w:tc>
        <w:tc>
          <w:tcPr>
            <w:tcW w:w="604" w:type="dxa"/>
            <w:vMerge w:val="continue"/>
            <w:tcMar>
              <w:top w:w="0" w:type="dxa"/>
              <w:left w:w="108" w:type="dxa"/>
              <w:bottom w:w="0" w:type="dxa"/>
              <w:right w:w="108" w:type="dxa"/>
            </w:tcMar>
            <w:vAlign w:val="center"/>
          </w:tcPr>
          <w:p>
            <w:pPr>
              <w:jc w:val="center"/>
              <w:rPr>
                <w:rFonts w:hint="eastAsia"/>
              </w:rPr>
            </w:pPr>
          </w:p>
        </w:tc>
        <w:tc>
          <w:tcPr>
            <w:tcW w:w="604" w:type="dxa"/>
            <w:vMerge w:val="continue"/>
            <w:tcMar>
              <w:top w:w="0" w:type="dxa"/>
              <w:left w:w="108" w:type="dxa"/>
              <w:bottom w:w="0" w:type="dxa"/>
              <w:right w:w="108" w:type="dxa"/>
            </w:tcMar>
            <w:vAlign w:val="center"/>
          </w:tcPr>
          <w:p>
            <w:pPr>
              <w:jc w:val="center"/>
              <w:rPr>
                <w:rFonts w:hint="eastAsia"/>
              </w:rPr>
            </w:pPr>
          </w:p>
        </w:tc>
        <w:tc>
          <w:tcPr>
            <w:tcW w:w="658" w:type="dxa"/>
            <w:vMerge w:val="continue"/>
            <w:tcMar>
              <w:top w:w="0" w:type="dxa"/>
              <w:left w:w="108" w:type="dxa"/>
              <w:bottom w:w="0" w:type="dxa"/>
              <w:right w:w="108" w:type="dxa"/>
            </w:tcMar>
            <w:vAlign w:val="center"/>
          </w:tcPr>
          <w:p>
            <w:pPr>
              <w:jc w:val="center"/>
              <w:rPr>
                <w:rFonts w:hint="eastAsia"/>
              </w:rPr>
            </w:pPr>
          </w:p>
        </w:tc>
        <w:tc>
          <w:tcPr>
            <w:tcW w:w="550" w:type="dxa"/>
            <w:tcMar>
              <w:top w:w="0" w:type="dxa"/>
              <w:left w:w="108" w:type="dxa"/>
              <w:bottom w:w="0" w:type="dxa"/>
              <w:right w:w="108" w:type="dxa"/>
            </w:tcMar>
            <w:vAlign w:val="center"/>
          </w:tcPr>
          <w:p>
            <w:pPr>
              <w:jc w:val="center"/>
            </w:pPr>
            <w:r>
              <w:rPr>
                <w:rFonts w:hint="eastAsia"/>
              </w:rPr>
              <w:t>结果维持</w:t>
            </w:r>
          </w:p>
        </w:tc>
        <w:tc>
          <w:tcPr>
            <w:tcW w:w="605" w:type="dxa"/>
            <w:tcMar>
              <w:top w:w="0" w:type="dxa"/>
              <w:left w:w="108" w:type="dxa"/>
              <w:bottom w:w="0" w:type="dxa"/>
              <w:right w:w="108" w:type="dxa"/>
            </w:tcMar>
            <w:vAlign w:val="center"/>
          </w:tcPr>
          <w:p>
            <w:pPr>
              <w:jc w:val="center"/>
            </w:pPr>
            <w:r>
              <w:rPr>
                <w:rFonts w:hint="eastAsia"/>
              </w:rPr>
              <w:t>结果纠正</w:t>
            </w:r>
          </w:p>
        </w:tc>
        <w:tc>
          <w:tcPr>
            <w:tcW w:w="605" w:type="dxa"/>
            <w:tcMar>
              <w:top w:w="0" w:type="dxa"/>
              <w:left w:w="108" w:type="dxa"/>
              <w:bottom w:w="0" w:type="dxa"/>
              <w:right w:w="108" w:type="dxa"/>
            </w:tcMar>
            <w:vAlign w:val="center"/>
          </w:tcPr>
          <w:p>
            <w:pPr>
              <w:jc w:val="center"/>
            </w:pPr>
            <w:r>
              <w:rPr>
                <w:rFonts w:hint="eastAsia"/>
              </w:rPr>
              <w:t>其他结果</w:t>
            </w:r>
          </w:p>
        </w:tc>
        <w:tc>
          <w:tcPr>
            <w:tcW w:w="605" w:type="dxa"/>
            <w:tcMar>
              <w:top w:w="0" w:type="dxa"/>
              <w:left w:w="108" w:type="dxa"/>
              <w:bottom w:w="0" w:type="dxa"/>
              <w:right w:w="108" w:type="dxa"/>
            </w:tcMar>
            <w:vAlign w:val="center"/>
          </w:tcPr>
          <w:p>
            <w:pPr>
              <w:jc w:val="center"/>
            </w:pPr>
            <w:r>
              <w:rPr>
                <w:rFonts w:hint="eastAsia"/>
              </w:rPr>
              <w:t>尚未审结</w:t>
            </w:r>
          </w:p>
        </w:tc>
        <w:tc>
          <w:tcPr>
            <w:tcW w:w="605" w:type="dxa"/>
            <w:tcMar>
              <w:top w:w="0" w:type="dxa"/>
              <w:left w:w="108" w:type="dxa"/>
              <w:bottom w:w="0" w:type="dxa"/>
              <w:right w:w="108" w:type="dxa"/>
            </w:tcMar>
            <w:vAlign w:val="center"/>
          </w:tcPr>
          <w:p>
            <w:pPr>
              <w:jc w:val="center"/>
            </w:pPr>
            <w:r>
              <w:rPr>
                <w:rFonts w:hint="eastAsia"/>
              </w:rPr>
              <w:t>总计</w:t>
            </w:r>
          </w:p>
        </w:tc>
        <w:tc>
          <w:tcPr>
            <w:tcW w:w="605" w:type="dxa"/>
            <w:tcMar>
              <w:top w:w="0" w:type="dxa"/>
              <w:left w:w="108" w:type="dxa"/>
              <w:bottom w:w="0" w:type="dxa"/>
              <w:right w:w="108" w:type="dxa"/>
            </w:tcMar>
            <w:vAlign w:val="center"/>
          </w:tcPr>
          <w:p>
            <w:pPr>
              <w:jc w:val="center"/>
            </w:pPr>
            <w:r>
              <w:rPr>
                <w:rFonts w:hint="eastAsia"/>
              </w:rPr>
              <w:t>结果维持</w:t>
            </w:r>
          </w:p>
        </w:tc>
        <w:tc>
          <w:tcPr>
            <w:tcW w:w="605" w:type="dxa"/>
            <w:tcMar>
              <w:top w:w="0" w:type="dxa"/>
              <w:left w:w="108" w:type="dxa"/>
              <w:bottom w:w="0" w:type="dxa"/>
              <w:right w:w="108" w:type="dxa"/>
            </w:tcMar>
            <w:vAlign w:val="center"/>
          </w:tcPr>
          <w:p>
            <w:pPr>
              <w:jc w:val="center"/>
            </w:pPr>
            <w:r>
              <w:rPr>
                <w:rFonts w:hint="eastAsia"/>
              </w:rPr>
              <w:t>结果纠正</w:t>
            </w:r>
          </w:p>
        </w:tc>
        <w:tc>
          <w:tcPr>
            <w:tcW w:w="605" w:type="dxa"/>
            <w:tcMar>
              <w:top w:w="0" w:type="dxa"/>
              <w:left w:w="108" w:type="dxa"/>
              <w:bottom w:w="0" w:type="dxa"/>
              <w:right w:w="108" w:type="dxa"/>
            </w:tcMar>
            <w:vAlign w:val="center"/>
          </w:tcPr>
          <w:p>
            <w:pPr>
              <w:jc w:val="center"/>
            </w:pPr>
            <w:r>
              <w:rPr>
                <w:rFonts w:hint="eastAsia"/>
              </w:rPr>
              <w:t>其他结果</w:t>
            </w:r>
          </w:p>
        </w:tc>
        <w:tc>
          <w:tcPr>
            <w:tcW w:w="606" w:type="dxa"/>
            <w:tcMar>
              <w:top w:w="0" w:type="dxa"/>
              <w:left w:w="108" w:type="dxa"/>
              <w:bottom w:w="0" w:type="dxa"/>
              <w:right w:w="108" w:type="dxa"/>
            </w:tcMar>
            <w:vAlign w:val="center"/>
          </w:tcPr>
          <w:p>
            <w:pPr>
              <w:jc w:val="center"/>
            </w:pPr>
            <w:r>
              <w:rPr>
                <w:rFonts w:hint="eastAsia"/>
              </w:rPr>
              <w:t>尚未审结</w:t>
            </w:r>
          </w:p>
        </w:tc>
        <w:tc>
          <w:tcPr>
            <w:tcW w:w="606" w:type="dxa"/>
            <w:tcMar>
              <w:top w:w="0" w:type="dxa"/>
              <w:left w:w="108" w:type="dxa"/>
              <w:bottom w:w="0" w:type="dxa"/>
              <w:right w:w="108" w:type="dxa"/>
            </w:tcMar>
            <w:vAlign w:val="center"/>
          </w:tcPr>
          <w:p>
            <w:pPr>
              <w:jc w:val="center"/>
            </w:pPr>
            <w:r>
              <w:rPr>
                <w:rFonts w:hint="eastAsia"/>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4" w:hRule="atLeast"/>
          <w:jc w:val="center"/>
        </w:trPr>
        <w:tc>
          <w:tcPr>
            <w:tcW w:w="467"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541"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4"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4"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58"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550"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5"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6"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c>
          <w:tcPr>
            <w:tcW w:w="606" w:type="dxa"/>
            <w:tcMar>
              <w:top w:w="0" w:type="dxa"/>
              <w:left w:w="108" w:type="dxa"/>
              <w:bottom w:w="0" w:type="dxa"/>
              <w:right w:w="108" w:type="dxa"/>
            </w:tcMar>
            <w:vAlign w:val="center"/>
          </w:tcPr>
          <w:p>
            <w:pPr>
              <w:jc w:val="center"/>
              <w:rPr>
                <w:rFonts w:hint="eastAsia" w:eastAsiaTheme="minorEastAsia"/>
                <w:lang w:val="en-US" w:eastAsia="zh-CN"/>
              </w:rPr>
            </w:pPr>
            <w:r>
              <w:rPr>
                <w:rFonts w:hint="eastAsia"/>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14"/>
          <w:szCs w:val="14"/>
        </w:rPr>
      </w:pPr>
      <w:r>
        <w:rPr>
          <w:rFonts w:hint="eastAsia" w:ascii="宋体" w:hAnsi="宋体" w:eastAsia="宋体" w:cs="宋体"/>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6" w:lineRule="atLeast"/>
        <w:ind w:left="0" w:right="0" w:firstLine="480"/>
        <w:jc w:val="left"/>
        <w:rPr>
          <w:rFonts w:hint="eastAsia" w:ascii="宋体" w:hAnsi="宋体" w:eastAsia="宋体" w:cs="宋体"/>
          <w:i w:val="0"/>
          <w:caps w:val="0"/>
          <w:color w:val="000000"/>
          <w:spacing w:val="0"/>
          <w:sz w:val="14"/>
          <w:szCs w:val="14"/>
        </w:rPr>
      </w:pPr>
      <w:r>
        <w:rPr>
          <w:rFonts w:hint="eastAsia" w:ascii="宋体" w:hAnsi="宋体" w:eastAsia="宋体" w:cs="宋体"/>
          <w:b/>
          <w:i w:val="0"/>
          <w:caps w:val="0"/>
          <w:color w:val="333333"/>
          <w:spacing w:val="0"/>
          <w:kern w:val="0"/>
          <w:sz w:val="24"/>
          <w:szCs w:val="24"/>
          <w:shd w:val="clear" w:fill="FFFFFF"/>
          <w:lang w:val="en-US" w:eastAsia="zh-CN" w:bidi="ar"/>
        </w:rPr>
        <w:t>八、存在的主要问题及改进情况</w:t>
      </w:r>
    </w:p>
    <w:p>
      <w:pPr>
        <w:pStyle w:val="3"/>
        <w:keepNext w:val="0"/>
        <w:keepLines w:val="0"/>
        <w:widowControl/>
        <w:suppressLineNumbers w:val="0"/>
        <w:ind w:left="0" w:firstLine="0"/>
        <w:rPr>
          <w:rFonts w:hint="eastAsia" w:ascii="宋体" w:hAnsi="宋体" w:eastAsia="宋体" w:cs="宋体"/>
          <w:i w:val="0"/>
          <w:caps w:val="0"/>
          <w:color w:val="000000"/>
          <w:spacing w:val="0"/>
        </w:rPr>
      </w:pPr>
      <w:r>
        <w:rPr>
          <w:rFonts w:hint="default" w:ascii="仿宋_GB2312" w:hAnsi="宋体" w:eastAsia="仿宋_GB2312" w:cs="仿宋_GB2312"/>
          <w:i w:val="0"/>
          <w:caps w:val="0"/>
          <w:color w:val="000000"/>
          <w:spacing w:val="0"/>
          <w:sz w:val="32"/>
          <w:szCs w:val="32"/>
        </w:rPr>
        <w:t> </w:t>
      </w:r>
      <w:r>
        <w:rPr>
          <w:rFonts w:hint="eastAsia" w:ascii="仿宋_GB2312" w:eastAsia="仿宋_GB2312" w:cs="仿宋_GB2312"/>
          <w:i w:val="0"/>
          <w:caps w:val="0"/>
          <w:color w:val="000000"/>
          <w:spacing w:val="0"/>
          <w:sz w:val="32"/>
          <w:szCs w:val="32"/>
          <w:lang w:val="en-US" w:eastAsia="zh-CN"/>
        </w:rPr>
        <w:t xml:space="preserve"> </w:t>
      </w:r>
      <w:r>
        <w:rPr>
          <w:rFonts w:hint="default" w:ascii="仿宋_GB2312" w:hAnsi="宋体" w:eastAsia="仿宋_GB2312" w:cs="仿宋_GB2312"/>
          <w:b w:val="0"/>
          <w:i w:val="0"/>
          <w:caps w:val="0"/>
          <w:color w:val="000000"/>
          <w:spacing w:val="0"/>
          <w:sz w:val="32"/>
          <w:szCs w:val="32"/>
        </w:rPr>
        <w:t>根据参照本单位政府信息主动公开全清单和20</w:t>
      </w:r>
      <w:r>
        <w:rPr>
          <w:rFonts w:hint="eastAsia" w:ascii="仿宋_GB2312" w:eastAsia="仿宋_GB2312" w:cs="仿宋_GB2312"/>
          <w:b w:val="0"/>
          <w:i w:val="0"/>
          <w:caps w:val="0"/>
          <w:color w:val="000000"/>
          <w:spacing w:val="0"/>
          <w:sz w:val="32"/>
          <w:szCs w:val="32"/>
          <w:lang w:val="en-US" w:eastAsia="zh-CN"/>
        </w:rPr>
        <w:t>20</w:t>
      </w:r>
      <w:r>
        <w:rPr>
          <w:rFonts w:hint="default" w:ascii="仿宋_GB2312" w:hAnsi="宋体" w:eastAsia="仿宋_GB2312" w:cs="仿宋_GB2312"/>
          <w:b w:val="0"/>
          <w:i w:val="0"/>
          <w:caps w:val="0"/>
          <w:color w:val="000000"/>
          <w:spacing w:val="0"/>
          <w:sz w:val="32"/>
          <w:szCs w:val="32"/>
        </w:rPr>
        <w:t>年门头沟区人民防空办公室政务公开测评报告显示在主动公开（基础类）和全清单公开情况中有需要整改的项目，我办积极进行自查，逐条完成了整改。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6" w:lineRule="atLeast"/>
        <w:ind w:left="0" w:right="0" w:firstLine="480"/>
        <w:jc w:val="left"/>
        <w:rPr>
          <w:rFonts w:hint="eastAsia" w:ascii="宋体" w:hAnsi="宋体" w:eastAsia="宋体" w:cs="宋体"/>
          <w:i w:val="0"/>
          <w:caps w:val="0"/>
          <w:color w:val="000000"/>
          <w:spacing w:val="0"/>
          <w:sz w:val="14"/>
          <w:szCs w:val="14"/>
        </w:rPr>
      </w:pPr>
      <w:r>
        <w:rPr>
          <w:rFonts w:hint="eastAsia" w:ascii="宋体" w:hAnsi="宋体" w:eastAsia="宋体" w:cs="宋体"/>
          <w:b/>
          <w:i w:val="0"/>
          <w:caps w:val="0"/>
          <w:color w:val="333333"/>
          <w:spacing w:val="0"/>
          <w:kern w:val="0"/>
          <w:sz w:val="24"/>
          <w:szCs w:val="24"/>
          <w:shd w:val="clear" w:fill="FFFFFF"/>
          <w:lang w:val="en-US" w:eastAsia="zh-CN" w:bidi="ar"/>
        </w:rPr>
        <w:t>九、其他需要报告的事项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6" w:lineRule="atLeast"/>
        <w:ind w:left="0" w:right="0" w:firstLine="480"/>
        <w:jc w:val="left"/>
        <w:rPr>
          <w:rFonts w:hint="eastAsia" w:ascii="宋体" w:hAnsi="宋体" w:eastAsia="宋体" w:cs="宋体"/>
          <w:i w:val="0"/>
          <w:caps w:val="0"/>
          <w:color w:val="000000"/>
          <w:spacing w:val="0"/>
          <w:sz w:val="14"/>
          <w:szCs w:val="14"/>
        </w:rPr>
      </w:pPr>
      <w:r>
        <w:rPr>
          <w:rFonts w:hint="eastAsia" w:ascii="仿宋" w:hAnsi="仿宋" w:eastAsia="仿宋" w:cs="仿宋"/>
          <w:i w:val="0"/>
          <w:caps w:val="0"/>
          <w:color w:val="000000"/>
          <w:spacing w:val="0"/>
          <w:kern w:val="0"/>
          <w:sz w:val="32"/>
          <w:szCs w:val="32"/>
          <w:shd w:val="clear" w:fill="FFFFFF"/>
          <w:lang w:val="en-US" w:eastAsia="zh-CN" w:bidi="ar"/>
        </w:rPr>
        <w:t>http://www.bjmtg.gov.cn/，如需了解更多政府信息，请登录查询。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14"/>
          <w:szCs w:val="14"/>
        </w:rPr>
      </w:pPr>
      <w:r>
        <w:rPr>
          <w:rFonts w:hint="default" w:ascii="Calibri" w:hAnsi="Calibri" w:eastAsia="宋体" w:cs="Calibri"/>
          <w:i w:val="0"/>
          <w:caps w:val="0"/>
          <w:color w:val="000000"/>
          <w:spacing w:val="0"/>
          <w:kern w:val="0"/>
          <w:sz w:val="21"/>
          <w:szCs w:val="21"/>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华文行楷">
    <w:altName w:val="微软雅黑"/>
    <w:panose1 w:val="0201080004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702E6"/>
    <w:rsid w:val="00FB4075"/>
    <w:rsid w:val="01001356"/>
    <w:rsid w:val="012D6395"/>
    <w:rsid w:val="02CA1CC0"/>
    <w:rsid w:val="04480049"/>
    <w:rsid w:val="04672BD7"/>
    <w:rsid w:val="0BA06152"/>
    <w:rsid w:val="0ED138DD"/>
    <w:rsid w:val="10210CD1"/>
    <w:rsid w:val="104C6772"/>
    <w:rsid w:val="150449B8"/>
    <w:rsid w:val="15512657"/>
    <w:rsid w:val="173D051C"/>
    <w:rsid w:val="1A962D2A"/>
    <w:rsid w:val="1D400A95"/>
    <w:rsid w:val="1E42298E"/>
    <w:rsid w:val="1FB702E6"/>
    <w:rsid w:val="22F42C71"/>
    <w:rsid w:val="238D692C"/>
    <w:rsid w:val="23ED0F8A"/>
    <w:rsid w:val="24245279"/>
    <w:rsid w:val="250C0E81"/>
    <w:rsid w:val="25FB368F"/>
    <w:rsid w:val="26A468D4"/>
    <w:rsid w:val="288670FB"/>
    <w:rsid w:val="29785859"/>
    <w:rsid w:val="297C6516"/>
    <w:rsid w:val="2E8034EA"/>
    <w:rsid w:val="2ECA1FE8"/>
    <w:rsid w:val="2F315757"/>
    <w:rsid w:val="2FEB2614"/>
    <w:rsid w:val="31774DDE"/>
    <w:rsid w:val="37B94E48"/>
    <w:rsid w:val="38C94910"/>
    <w:rsid w:val="39543092"/>
    <w:rsid w:val="399415CB"/>
    <w:rsid w:val="3D517A1C"/>
    <w:rsid w:val="3DA6662F"/>
    <w:rsid w:val="40025D1C"/>
    <w:rsid w:val="418C020E"/>
    <w:rsid w:val="45781F1F"/>
    <w:rsid w:val="45EA5522"/>
    <w:rsid w:val="47FA04CF"/>
    <w:rsid w:val="4A9A72ED"/>
    <w:rsid w:val="4AF50643"/>
    <w:rsid w:val="512D0649"/>
    <w:rsid w:val="52FF59C8"/>
    <w:rsid w:val="547E4A0B"/>
    <w:rsid w:val="57572E12"/>
    <w:rsid w:val="57C1716D"/>
    <w:rsid w:val="59326D6F"/>
    <w:rsid w:val="5A847907"/>
    <w:rsid w:val="5AE55589"/>
    <w:rsid w:val="5B000E27"/>
    <w:rsid w:val="5D386912"/>
    <w:rsid w:val="5F963F2F"/>
    <w:rsid w:val="60D338AB"/>
    <w:rsid w:val="61C74ED4"/>
    <w:rsid w:val="63DD1EF0"/>
    <w:rsid w:val="647007D8"/>
    <w:rsid w:val="650B624C"/>
    <w:rsid w:val="6640758F"/>
    <w:rsid w:val="692C6B28"/>
    <w:rsid w:val="6E0D7140"/>
    <w:rsid w:val="6E9F4146"/>
    <w:rsid w:val="6EC65507"/>
    <w:rsid w:val="70BC736C"/>
    <w:rsid w:val="710E5772"/>
    <w:rsid w:val="718E20AB"/>
    <w:rsid w:val="73B15672"/>
    <w:rsid w:val="758B148A"/>
    <w:rsid w:val="772C1534"/>
    <w:rsid w:val="7CB333CA"/>
    <w:rsid w:val="7CDF7592"/>
    <w:rsid w:val="7D0C7F61"/>
    <w:rsid w:val="7F1675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uiPriority w:val="0"/>
    <w:pPr>
      <w:jc w:val="left"/>
    </w:p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2021-01-13T11:11:00Z</dcterms:created>
  <dc:creator>dellx</dc:creator>
  <cp:lastModifiedBy>MRX</cp:lastModifiedBy>
  <dcterms:modified xsi:type="dcterms:W3CDTF">2021-01-19T03:43:17Z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