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北京市门头沟区</w:t>
      </w:r>
      <w:bookmarkStart w:id="0" w:name="_GoBack"/>
      <w:bookmarkEnd w:id="0"/>
      <w:r>
        <w:rPr>
          <w:rFonts w:hint="eastAsia" w:ascii="方正小标宋简体" w:hAnsi="方正小标宋简体" w:eastAsia="方正小标宋简体" w:cs="方正小标宋简体"/>
          <w:sz w:val="44"/>
          <w:szCs w:val="44"/>
          <w:lang w:eastAsia="zh-CN"/>
        </w:rPr>
        <w:t>统计局</w:t>
      </w:r>
      <w:r>
        <w:rPr>
          <w:rFonts w:hint="eastAsia" w:ascii="方正小标宋简体" w:hAnsi="方正小标宋简体" w:eastAsia="方正小标宋简体" w:cs="方正小标宋简体"/>
          <w:sz w:val="44"/>
          <w:szCs w:val="44"/>
          <w:lang w:val="en-US" w:eastAsia="zh-CN"/>
        </w:rPr>
        <w:t xml:space="preserve"> 经济社会调查队</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年政府信息公开工作年度报告</w:t>
      </w:r>
    </w:p>
    <w:p>
      <w:pPr>
        <w:widowControl/>
        <w:shd w:val="clear" w:color="auto"/>
        <w:spacing w:line="360" w:lineRule="auto"/>
        <w:jc w:val="center"/>
        <w:rPr>
          <w:rFonts w:hint="eastAsia" w:ascii="仿宋_GB2312" w:hAnsi="仿宋_GB2312" w:eastAsia="仿宋_GB2312" w:cs="仿宋_GB2312"/>
          <w:b/>
          <w:bCs/>
          <w:color w:val="auto"/>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outlineLvl w:val="9"/>
        <w:rPr>
          <w:rFonts w:hint="eastAsia" w:ascii="仿宋_GB2312" w:hAnsi="仿宋_GB2312" w:eastAsia="仿宋_GB2312" w:cs="仿宋_GB2312"/>
          <w:b/>
          <w:bCs/>
          <w:color w:val="auto"/>
          <w:kern w:val="0"/>
          <w:sz w:val="32"/>
          <w:szCs w:val="32"/>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北京市门头沟区统计局</w:t>
      </w:r>
      <w:r>
        <w:rPr>
          <w:rFonts w:hint="eastAsia" w:ascii="仿宋_GB2312" w:hAnsi="仿宋_GB2312" w:eastAsia="仿宋_GB2312" w:cs="仿宋_GB2312"/>
          <w:color w:val="auto"/>
          <w:sz w:val="32"/>
          <w:szCs w:val="32"/>
          <w:lang w:val="en-US" w:eastAsia="zh-CN"/>
        </w:rPr>
        <w:t>、经济社会调查队</w:t>
      </w:r>
      <w:r>
        <w:rPr>
          <w:rFonts w:hint="eastAsia" w:ascii="仿宋_GB2312" w:hAnsi="仿宋_GB2312" w:eastAsia="仿宋_GB2312" w:cs="仿宋_GB2312"/>
          <w:color w:val="auto"/>
          <w:sz w:val="32"/>
          <w:szCs w:val="32"/>
        </w:rPr>
        <w:t>积极推进</w:t>
      </w:r>
      <w:r>
        <w:rPr>
          <w:rFonts w:hint="eastAsia" w:ascii="仿宋_GB2312" w:hAnsi="仿宋_GB2312" w:eastAsia="仿宋_GB2312" w:cs="仿宋_GB2312"/>
          <w:color w:val="auto"/>
          <w:sz w:val="32"/>
          <w:szCs w:val="32"/>
          <w:lang w:eastAsia="zh-CN"/>
        </w:rPr>
        <w:t>本单位</w:t>
      </w:r>
      <w:r>
        <w:rPr>
          <w:rFonts w:hint="eastAsia" w:ascii="仿宋_GB2312" w:hAnsi="仿宋_GB2312" w:eastAsia="仿宋_GB2312" w:cs="仿宋_GB2312"/>
          <w:color w:val="auto"/>
          <w:sz w:val="32"/>
          <w:szCs w:val="32"/>
        </w:rPr>
        <w:t>政府信息公开工作，坚持以满足区域社会公众统计信息需求为</w:t>
      </w:r>
      <w:r>
        <w:rPr>
          <w:rFonts w:hint="eastAsia" w:ascii="仿宋_GB2312" w:hAnsi="仿宋_GB2312" w:eastAsia="仿宋_GB2312" w:cs="仿宋_GB2312"/>
          <w:color w:val="auto"/>
          <w:sz w:val="32"/>
          <w:szCs w:val="32"/>
          <w:lang w:eastAsia="zh-CN"/>
        </w:rPr>
        <w:t>导向</w:t>
      </w:r>
      <w:r>
        <w:rPr>
          <w:rFonts w:hint="eastAsia" w:ascii="仿宋_GB2312" w:hAnsi="仿宋_GB2312" w:eastAsia="仿宋_GB2312" w:cs="仿宋_GB2312"/>
          <w:color w:val="auto"/>
          <w:sz w:val="32"/>
          <w:szCs w:val="32"/>
        </w:rPr>
        <w:t>，全力提高统计政府信息公开工作</w:t>
      </w:r>
      <w:r>
        <w:rPr>
          <w:rFonts w:hint="eastAsia" w:ascii="仿宋_GB2312" w:hAnsi="仿宋_GB2312" w:eastAsia="仿宋_GB2312" w:cs="仿宋_GB2312"/>
          <w:color w:val="auto"/>
          <w:sz w:val="32"/>
          <w:szCs w:val="32"/>
          <w:lang w:eastAsia="zh-CN"/>
        </w:rPr>
        <w:t>水平。</w:t>
      </w:r>
      <w:r>
        <w:rPr>
          <w:rFonts w:hint="eastAsia" w:ascii="仿宋_GB2312" w:hAnsi="仿宋_GB2312" w:eastAsia="仿宋_GB2312" w:cs="仿宋_GB2312"/>
          <w:color w:val="auto"/>
          <w:sz w:val="32"/>
          <w:szCs w:val="32"/>
          <w:lang w:val="en-US" w:eastAsia="zh-CN"/>
        </w:rPr>
        <w:t>按照</w:t>
      </w:r>
      <w:r>
        <w:rPr>
          <w:rFonts w:hint="eastAsia" w:ascii="仿宋_GB2312" w:hAnsi="仿宋_GB2312" w:eastAsia="仿宋_GB2312" w:cs="仿宋_GB2312"/>
          <w:color w:val="auto"/>
          <w:sz w:val="32"/>
          <w:szCs w:val="32"/>
        </w:rPr>
        <w:t>《政府信息公开条例》</w:t>
      </w:r>
      <w:r>
        <w:rPr>
          <w:rFonts w:hint="eastAsia" w:ascii="仿宋_GB2312" w:hAnsi="仿宋_GB2312" w:eastAsia="仿宋_GB2312" w:cs="仿宋_GB2312"/>
          <w:color w:val="auto"/>
          <w:sz w:val="32"/>
          <w:szCs w:val="32"/>
          <w:lang w:val="en-US" w:eastAsia="zh-CN"/>
        </w:rPr>
        <w:t>第二十条</w:t>
      </w:r>
      <w:r>
        <w:rPr>
          <w:rFonts w:hint="eastAsia" w:ascii="仿宋_GB2312" w:hAnsi="仿宋_GB2312" w:eastAsia="仿宋_GB2312" w:cs="仿宋_GB2312"/>
          <w:color w:val="auto"/>
          <w:sz w:val="32"/>
          <w:szCs w:val="32"/>
          <w:lang w:eastAsia="zh-CN"/>
        </w:rPr>
        <w:t>、第二十一条关于法定主动公开内容要求，北京市门头沟区统计局、</w:t>
      </w:r>
      <w:r>
        <w:rPr>
          <w:rFonts w:hint="eastAsia" w:ascii="仿宋_GB2312" w:hAnsi="仿宋_GB2312" w:eastAsia="仿宋_GB2312" w:cs="仿宋_GB2312"/>
          <w:color w:val="auto"/>
          <w:sz w:val="32"/>
          <w:szCs w:val="32"/>
          <w:lang w:val="en-US" w:eastAsia="zh-CN"/>
        </w:rPr>
        <w:t>经济社会调查队通过北京市门头沟区人民政府门户网站公开各类信息共计735条左右，所公开的各类信息均符合政务公开内容及更新时限要求。</w:t>
      </w:r>
      <w:r>
        <w:rPr>
          <w:rFonts w:hint="eastAsia" w:ascii="仿宋_GB2312" w:hAnsi="仿宋_GB2312" w:eastAsia="仿宋_GB2312" w:cs="仿宋_GB2312"/>
          <w:color w:val="auto"/>
          <w:sz w:val="32"/>
          <w:szCs w:val="32"/>
          <w:lang w:eastAsia="zh-CN"/>
        </w:rPr>
        <w:t>北京市门头沟区统计局、</w:t>
      </w:r>
      <w:r>
        <w:rPr>
          <w:rFonts w:hint="eastAsia" w:ascii="仿宋_GB2312" w:hAnsi="仿宋_GB2312" w:eastAsia="仿宋_GB2312" w:cs="仿宋_GB2312"/>
          <w:color w:val="auto"/>
          <w:sz w:val="32"/>
          <w:szCs w:val="32"/>
          <w:lang w:val="en-US" w:eastAsia="zh-CN"/>
        </w:rPr>
        <w:t>经济社会调查队依申请公开工作有序开展，</w:t>
      </w:r>
      <w:r>
        <w:rPr>
          <w:rFonts w:hint="eastAsia" w:ascii="仿宋_GB2312" w:hAnsi="仿宋_GB2312" w:eastAsia="仿宋_GB2312" w:cs="仿宋_GB2312"/>
          <w:color w:val="auto"/>
          <w:sz w:val="32"/>
          <w:szCs w:val="32"/>
          <w:lang w:eastAsia="zh-CN"/>
        </w:rPr>
        <w:t>依申请政府信息公开事项呈逐年减少趋势。2020年，北京市门头沟区统计局、</w:t>
      </w:r>
      <w:r>
        <w:rPr>
          <w:rFonts w:hint="eastAsia" w:ascii="仿宋_GB2312" w:hAnsi="仿宋_GB2312" w:eastAsia="仿宋_GB2312" w:cs="仿宋_GB2312"/>
          <w:color w:val="auto"/>
          <w:sz w:val="32"/>
          <w:szCs w:val="32"/>
          <w:lang w:val="en-US" w:eastAsia="zh-CN"/>
        </w:rPr>
        <w:t>经济社会调查队</w:t>
      </w:r>
      <w:r>
        <w:rPr>
          <w:rFonts w:hint="eastAsia" w:ascii="仿宋_GB2312" w:hAnsi="仿宋_GB2312" w:eastAsia="仿宋_GB2312" w:cs="仿宋_GB2312"/>
          <w:color w:val="auto"/>
          <w:sz w:val="32"/>
          <w:szCs w:val="32"/>
          <w:lang w:eastAsia="zh-CN"/>
        </w:rPr>
        <w:t>未接到政府信息公开申请，办事人员所需政府信息可通过网络等方式便捷查询。</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2020年，</w:t>
      </w:r>
      <w:r>
        <w:rPr>
          <w:rFonts w:hint="eastAsia" w:ascii="仿宋_GB2312" w:hAnsi="仿宋_GB2312" w:eastAsia="仿宋_GB2312" w:cs="仿宋_GB2312"/>
          <w:color w:val="auto"/>
          <w:sz w:val="32"/>
          <w:szCs w:val="32"/>
          <w:lang w:eastAsia="zh-CN"/>
        </w:rPr>
        <w:t>北京市门头沟区统计局、</w:t>
      </w:r>
      <w:r>
        <w:rPr>
          <w:rFonts w:hint="eastAsia" w:ascii="仿宋_GB2312" w:hAnsi="仿宋_GB2312" w:eastAsia="仿宋_GB2312" w:cs="仿宋_GB2312"/>
          <w:color w:val="auto"/>
          <w:sz w:val="32"/>
          <w:szCs w:val="32"/>
          <w:lang w:val="en-US" w:eastAsia="zh-CN"/>
        </w:rPr>
        <w:t>经济社会调查队进一步完善本行政机关的政府信息公开工作制度</w:t>
      </w:r>
      <w:r>
        <w:rPr>
          <w:rFonts w:hint="eastAsia" w:ascii="仿宋_GB2312" w:hAnsi="仿宋_GB2312" w:eastAsia="仿宋_GB2312" w:cs="仿宋_GB2312"/>
          <w:color w:val="auto"/>
          <w:sz w:val="32"/>
          <w:szCs w:val="32"/>
          <w:lang w:eastAsia="zh-CN"/>
        </w:rPr>
        <w:t>，细化政府信息公开工作流程，公开管理运行顺畅，公开咨询、申请以及答复工作顺利开展。全年组织开展</w:t>
      </w:r>
      <w:r>
        <w:rPr>
          <w:rFonts w:hint="eastAsia" w:ascii="仿宋_GB2312" w:hAnsi="仿宋_GB2312" w:eastAsia="仿宋_GB2312" w:cs="仿宋_GB2312"/>
          <w:color w:val="auto"/>
          <w:sz w:val="32"/>
          <w:szCs w:val="32"/>
        </w:rPr>
        <w:t>《政府信息公开条例》</w:t>
      </w:r>
      <w:r>
        <w:rPr>
          <w:rFonts w:hint="eastAsia" w:ascii="仿宋_GB2312" w:hAnsi="仿宋_GB2312" w:eastAsia="仿宋_GB2312" w:cs="仿宋_GB2312"/>
          <w:color w:val="auto"/>
          <w:sz w:val="32"/>
          <w:szCs w:val="32"/>
          <w:lang w:eastAsia="zh-CN"/>
        </w:rPr>
        <w:t>学习，</w:t>
      </w:r>
      <w:r>
        <w:rPr>
          <w:rFonts w:hint="eastAsia" w:ascii="仿宋_GB2312" w:hAnsi="仿宋_GB2312" w:eastAsia="仿宋_GB2312" w:cs="仿宋_GB2312"/>
          <w:color w:val="auto"/>
          <w:sz w:val="32"/>
          <w:szCs w:val="32"/>
          <w:lang w:val="en-US" w:eastAsia="zh-CN"/>
        </w:rPr>
        <w:t>持续做好公开平台信息维护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加强对</w:t>
      </w:r>
      <w:r>
        <w:rPr>
          <w:rFonts w:hint="eastAsia" w:ascii="仿宋_GB2312" w:hAnsi="仿宋_GB2312" w:eastAsia="仿宋_GB2312" w:cs="仿宋_GB2312"/>
          <w:color w:val="auto"/>
          <w:sz w:val="32"/>
          <w:szCs w:val="32"/>
          <w:lang w:eastAsia="zh-CN"/>
        </w:rPr>
        <w:t>本行政机关</w:t>
      </w:r>
      <w:r>
        <w:rPr>
          <w:rFonts w:hint="eastAsia" w:ascii="仿宋_GB2312" w:hAnsi="仿宋_GB2312" w:eastAsia="仿宋_GB2312" w:cs="仿宋_GB2312"/>
          <w:color w:val="auto"/>
          <w:sz w:val="32"/>
          <w:szCs w:val="32"/>
        </w:rPr>
        <w:t>政府信息公开工作</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日常指导和监督检查</w:t>
      </w:r>
      <w:r>
        <w:rPr>
          <w:rFonts w:hint="eastAsia" w:ascii="仿宋_GB2312" w:hAnsi="仿宋_GB2312" w:eastAsia="仿宋_GB2312" w:cs="仿宋_GB2312"/>
          <w:color w:val="auto"/>
          <w:sz w:val="32"/>
          <w:szCs w:val="32"/>
          <w:lang w:eastAsia="zh-CN"/>
        </w:rPr>
        <w:t>，截止</w:t>
      </w:r>
      <w:r>
        <w:rPr>
          <w:rFonts w:hint="eastAsia" w:ascii="仿宋_GB2312" w:hAnsi="仿宋_GB2312" w:eastAsia="仿宋_GB2312" w:cs="仿宋_GB2312"/>
          <w:color w:val="auto"/>
          <w:sz w:val="32"/>
          <w:szCs w:val="32"/>
          <w:lang w:val="en-US" w:eastAsia="zh-CN"/>
        </w:rPr>
        <w:t>2020年底，</w:t>
      </w:r>
      <w:r>
        <w:rPr>
          <w:rFonts w:hint="eastAsia" w:ascii="仿宋_GB2312" w:hAnsi="仿宋_GB2312" w:eastAsia="仿宋_GB2312" w:cs="仿宋_GB2312"/>
          <w:color w:val="auto"/>
          <w:sz w:val="32"/>
          <w:szCs w:val="32"/>
          <w:lang w:eastAsia="zh-CN"/>
        </w:rPr>
        <w:t>未产生</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eastAsia="zh-CN"/>
        </w:rPr>
        <w:t>本行政机关</w:t>
      </w:r>
      <w:r>
        <w:rPr>
          <w:rFonts w:hint="eastAsia" w:ascii="仿宋_GB2312" w:hAnsi="仿宋_GB2312" w:eastAsia="仿宋_GB2312" w:cs="仿宋_GB2312"/>
          <w:color w:val="auto"/>
          <w:sz w:val="32"/>
          <w:szCs w:val="32"/>
        </w:rPr>
        <w:t>政府信息公开工作举报、投诉、追责</w:t>
      </w:r>
      <w:r>
        <w:rPr>
          <w:rFonts w:hint="eastAsia" w:ascii="仿宋_GB2312" w:hAnsi="仿宋_GB2312" w:eastAsia="仿宋_GB2312" w:cs="仿宋_GB2312"/>
          <w:color w:val="auto"/>
          <w:sz w:val="32"/>
          <w:szCs w:val="32"/>
          <w:lang w:eastAsia="zh-CN"/>
        </w:rPr>
        <w:t>情况。</w:t>
      </w:r>
    </w:p>
    <w:p>
      <w:pPr>
        <w:spacing w:line="560" w:lineRule="exact"/>
        <w:ind w:firstLine="640" w:firstLineChars="200"/>
        <w:rPr>
          <w:rFonts w:hint="eastAsia" w:ascii="黑体" w:hAnsi="黑体" w:eastAsia="黑体" w:cs="黑体"/>
          <w:sz w:val="32"/>
          <w:szCs w:val="32"/>
          <w:highlight w:val="yellow"/>
          <w:lang w:eastAsia="zh-CN"/>
        </w:rPr>
      </w:pPr>
      <w:r>
        <w:rPr>
          <w:rFonts w:hint="eastAsia" w:ascii="黑体" w:hAnsi="黑体" w:eastAsia="黑体" w:cs="黑体"/>
          <w:sz w:val="32"/>
          <w:szCs w:val="32"/>
          <w:highlight w:val="none"/>
          <w:shd w:val="clear"/>
        </w:rPr>
        <w:t>二、主动公开政府信息情况</w:t>
      </w:r>
    </w:p>
    <w:tbl>
      <w:tblPr>
        <w:tblStyle w:val="5"/>
        <w:tblW w:w="8140" w:type="dxa"/>
        <w:jc w:val="center"/>
        <w:tblInd w:w="0" w:type="dxa"/>
        <w:tblLayout w:type="fixed"/>
        <w:tblCellMar>
          <w:top w:w="15" w:type="dxa"/>
          <w:left w:w="15" w:type="dxa"/>
          <w:bottom w:w="15" w:type="dxa"/>
          <w:right w:w="15" w:type="dxa"/>
        </w:tblCellMar>
      </w:tblPr>
      <w:tblGrid>
        <w:gridCol w:w="1556"/>
        <w:gridCol w:w="1557"/>
        <w:gridCol w:w="1875"/>
        <w:gridCol w:w="6"/>
        <w:gridCol w:w="1265"/>
        <w:gridCol w:w="1881"/>
      </w:tblGrid>
      <w:tr>
        <w:tblPrEx>
          <w:tblLayout w:type="fixed"/>
          <w:tblCellMar>
            <w:top w:w="15" w:type="dxa"/>
            <w:left w:w="15" w:type="dxa"/>
            <w:bottom w:w="15" w:type="dxa"/>
            <w:right w:w="15" w:type="dxa"/>
          </w:tblCellMar>
        </w:tblPrEx>
        <w:trPr>
          <w:trHeight w:val="495" w:hRule="atLeast"/>
          <w:jc w:val="center"/>
        </w:trPr>
        <w:tc>
          <w:tcPr>
            <w:tcW w:w="8140" w:type="dxa"/>
            <w:gridSpan w:val="6"/>
            <w:tcBorders>
              <w:top w:val="single" w:color="auto" w:sz="8" w:space="0"/>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第二十条第（一）项</w:t>
            </w:r>
          </w:p>
        </w:tc>
      </w:tr>
      <w:tr>
        <w:tblPrEx>
          <w:tblLayout w:type="fixed"/>
          <w:tblCellMar>
            <w:top w:w="15" w:type="dxa"/>
            <w:left w:w="15" w:type="dxa"/>
            <w:bottom w:w="15" w:type="dxa"/>
            <w:right w:w="15" w:type="dxa"/>
          </w:tblCellMar>
        </w:tblPrEx>
        <w:trPr>
          <w:trHeight w:val="882"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本年新</w:t>
            </w:r>
            <w:r>
              <w:rPr>
                <w:rFonts w:hint="eastAsia" w:ascii="宋体" w:hAnsi="宋体" w:cs="宋体"/>
                <w:color w:val="000000"/>
                <w:kern w:val="0"/>
                <w:sz w:val="20"/>
                <w:szCs w:val="20"/>
                <w:lang w:bidi="ar"/>
              </w:rPr>
              <w:br w:type="textWrapping"/>
            </w:r>
            <w:r>
              <w:rPr>
                <w:color w:val="000000"/>
                <w:kern w:val="0"/>
                <w:sz w:val="20"/>
                <w:szCs w:val="20"/>
                <w:lang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本年新</w:t>
            </w:r>
            <w:r>
              <w:rPr>
                <w:rFonts w:hint="eastAsia" w:ascii="宋体" w:hAnsi="宋体" w:cs="宋体"/>
                <w:color w:val="000000"/>
                <w:kern w:val="0"/>
                <w:sz w:val="20"/>
                <w:szCs w:val="20"/>
                <w:lang w:bidi="ar"/>
              </w:rPr>
              <w:br w:type="textWrapping"/>
            </w:r>
            <w:r>
              <w:rPr>
                <w:color w:val="000000"/>
                <w:kern w:val="0"/>
                <w:sz w:val="20"/>
                <w:szCs w:val="20"/>
                <w:lang w:bidi="ar"/>
              </w:rPr>
              <w:t>公开数量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对外公开总数量</w:t>
            </w:r>
          </w:p>
        </w:tc>
      </w:tr>
      <w:tr>
        <w:tblPrEx>
          <w:tblLayout w:type="fixed"/>
          <w:tblCellMar>
            <w:top w:w="15" w:type="dxa"/>
            <w:left w:w="15" w:type="dxa"/>
            <w:bottom w:w="15" w:type="dxa"/>
            <w:right w:w="15" w:type="dxa"/>
          </w:tblCellMar>
        </w:tblPrEx>
        <w:trPr>
          <w:trHeight w:val="523"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0</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val="en-US" w:eastAsia="zh-CN"/>
              </w:rPr>
              <w:t>0</w:t>
            </w:r>
          </w:p>
        </w:tc>
      </w:tr>
      <w:tr>
        <w:tblPrEx>
          <w:tblLayout w:type="fixed"/>
          <w:tblCellMar>
            <w:top w:w="15" w:type="dxa"/>
            <w:left w:w="15" w:type="dxa"/>
            <w:bottom w:w="15" w:type="dxa"/>
            <w:right w:w="15" w:type="dxa"/>
          </w:tblCellMar>
        </w:tblPrEx>
        <w:trPr>
          <w:trHeight w:val="471"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1</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1</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val="en-US" w:eastAsia="zh-CN"/>
              </w:rPr>
              <w:t>1</w:t>
            </w:r>
          </w:p>
        </w:tc>
      </w:tr>
      <w:tr>
        <w:tblPrEx>
          <w:tblLayout w:type="fixed"/>
          <w:tblCellMar>
            <w:top w:w="15" w:type="dxa"/>
            <w:left w:w="15" w:type="dxa"/>
            <w:bottom w:w="15" w:type="dxa"/>
            <w:right w:w="15" w:type="dxa"/>
          </w:tblCellMar>
        </w:tblPrEx>
        <w:trPr>
          <w:trHeight w:val="480"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第二十条第（五）项</w:t>
            </w:r>
          </w:p>
        </w:tc>
      </w:tr>
      <w:tr>
        <w:tblPrEx>
          <w:tblLayout w:type="fixed"/>
          <w:tblCellMar>
            <w:top w:w="15" w:type="dxa"/>
            <w:left w:w="15" w:type="dxa"/>
            <w:bottom w:w="15" w:type="dxa"/>
            <w:right w:w="15" w:type="dxa"/>
          </w:tblCellMar>
        </w:tblPrEx>
        <w:trPr>
          <w:trHeight w:val="634"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本年增/减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处理决定数量</w:t>
            </w:r>
          </w:p>
        </w:tc>
      </w:tr>
      <w:tr>
        <w:tblPrEx>
          <w:tblLayout w:type="fixed"/>
          <w:tblCellMar>
            <w:top w:w="15" w:type="dxa"/>
            <w:left w:w="15" w:type="dxa"/>
            <w:bottom w:w="15" w:type="dxa"/>
            <w:right w:w="15" w:type="dxa"/>
          </w:tblCellMar>
        </w:tblPrEx>
        <w:trPr>
          <w:trHeight w:val="528"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行政许可</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r>
      <w:tr>
        <w:tblPrEx>
          <w:tblLayout w:type="fixed"/>
          <w:tblCellMar>
            <w:top w:w="15" w:type="dxa"/>
            <w:left w:w="15" w:type="dxa"/>
            <w:bottom w:w="15" w:type="dxa"/>
            <w:right w:w="15" w:type="dxa"/>
          </w:tblCellMar>
        </w:tblPrEx>
        <w:trPr>
          <w:trHeight w:val="528" w:hRule="atLeast"/>
          <w:jc w:val="center"/>
        </w:trPr>
        <w:tc>
          <w:tcPr>
            <w:tcW w:w="1556" w:type="dxa"/>
            <w:vMerge w:val="restart"/>
            <w:tcBorders>
              <w:top w:val="nil"/>
              <w:left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bidi="ar"/>
              </w:rPr>
            </w:pPr>
            <w:r>
              <w:rPr>
                <w:rFonts w:hint="eastAsia"/>
                <w:sz w:val="20"/>
                <w:szCs w:val="20"/>
              </w:rPr>
              <w:t>其他对外管理服务事项</w:t>
            </w:r>
          </w:p>
        </w:tc>
        <w:tc>
          <w:tcPr>
            <w:tcW w:w="1557" w:type="dxa"/>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jc w:val="left"/>
              <w:rPr>
                <w:rFonts w:hint="eastAsia" w:ascii="宋体" w:hAnsi="宋体" w:cs="宋体"/>
                <w:color w:val="000000"/>
                <w:kern w:val="0"/>
                <w:sz w:val="20"/>
                <w:szCs w:val="20"/>
                <w:lang w:bidi="ar"/>
              </w:rPr>
            </w:pPr>
            <w:r>
              <w:rPr>
                <w:rFonts w:hint="eastAsia"/>
                <w:sz w:val="20"/>
                <w:szCs w:val="20"/>
              </w:rPr>
              <w:t>行政</w:t>
            </w:r>
            <w:r>
              <w:rPr>
                <w:sz w:val="20"/>
                <w:szCs w:val="20"/>
              </w:rPr>
              <w:t>检查</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5</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312</w:t>
            </w:r>
          </w:p>
        </w:tc>
      </w:tr>
      <w:tr>
        <w:tblPrEx>
          <w:tblLayout w:type="fixed"/>
          <w:tblCellMar>
            <w:top w:w="15" w:type="dxa"/>
            <w:left w:w="15" w:type="dxa"/>
            <w:bottom w:w="15" w:type="dxa"/>
            <w:right w:w="15" w:type="dxa"/>
          </w:tblCellMar>
        </w:tblPrEx>
        <w:trPr>
          <w:trHeight w:val="528" w:hRule="atLeast"/>
          <w:jc w:val="center"/>
        </w:trPr>
        <w:tc>
          <w:tcPr>
            <w:tcW w:w="1556" w:type="dxa"/>
            <w:vMerge w:val="continue"/>
            <w:tcBorders>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pStyle w:val="2"/>
              <w:rPr>
                <w:rFonts w:hint="eastAsia"/>
              </w:rPr>
            </w:pPr>
          </w:p>
        </w:tc>
        <w:tc>
          <w:tcPr>
            <w:tcW w:w="1557" w:type="dxa"/>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jc w:val="left"/>
              <w:rPr>
                <w:rFonts w:hint="eastAsia"/>
                <w:sz w:val="20"/>
                <w:szCs w:val="20"/>
              </w:rPr>
            </w:pPr>
            <w:r>
              <w:rPr>
                <w:rFonts w:hint="eastAsia"/>
                <w:sz w:val="20"/>
                <w:szCs w:val="20"/>
              </w:rPr>
              <w:t>行政</w:t>
            </w:r>
            <w:r>
              <w:rPr>
                <w:sz w:val="20"/>
                <w:szCs w:val="20"/>
              </w:rPr>
              <w:t>确认</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tblPrEx>
          <w:tblLayout w:type="fixed"/>
          <w:tblCellMar>
            <w:top w:w="15" w:type="dxa"/>
            <w:left w:w="15" w:type="dxa"/>
            <w:bottom w:w="15" w:type="dxa"/>
            <w:right w:w="15" w:type="dxa"/>
          </w:tblCellMar>
        </w:tblPrEx>
        <w:trPr>
          <w:trHeight w:val="40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第二十条第（六）项</w:t>
            </w:r>
          </w:p>
        </w:tc>
      </w:tr>
      <w:tr>
        <w:tblPrEx>
          <w:tblLayout w:type="fixed"/>
          <w:tblCellMar>
            <w:top w:w="15" w:type="dxa"/>
            <w:left w:w="15" w:type="dxa"/>
            <w:bottom w:w="15" w:type="dxa"/>
            <w:right w:w="15" w:type="dxa"/>
          </w:tblCellMar>
        </w:tblPrEx>
        <w:trPr>
          <w:trHeight w:val="634"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信息内容</w:t>
            </w:r>
          </w:p>
        </w:tc>
        <w:tc>
          <w:tcPr>
            <w:tcW w:w="187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本年增/减</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处理决定数量</w:t>
            </w:r>
          </w:p>
        </w:tc>
      </w:tr>
      <w:tr>
        <w:tblPrEx>
          <w:tblLayout w:type="fixed"/>
          <w:tblCellMar>
            <w:top w:w="15" w:type="dxa"/>
            <w:left w:w="15" w:type="dxa"/>
            <w:bottom w:w="15" w:type="dxa"/>
            <w:right w:w="15" w:type="dxa"/>
          </w:tblCellMar>
        </w:tblPrEx>
        <w:trPr>
          <w:trHeight w:val="430"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bidi="ar"/>
              </w:rPr>
              <w:t>行政处罚</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val="en-US" w:eastAsia="zh-CN"/>
              </w:rPr>
            </w:pPr>
            <w:r>
              <w:rPr>
                <w:rFonts w:hint="eastAsia" w:ascii="宋体" w:hAnsi="宋体" w:cs="宋体"/>
                <w:color w:val="000000"/>
                <w:kern w:val="0"/>
                <w:sz w:val="20"/>
                <w:szCs w:val="20"/>
                <w:lang w:val="en-US" w:eastAsia="zh-CN"/>
              </w:rPr>
              <w:t>21</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rPr>
              <w:t>9</w:t>
            </w:r>
          </w:p>
        </w:tc>
      </w:tr>
      <w:tr>
        <w:tblPrEx>
          <w:tblLayout w:type="fixed"/>
          <w:tblCellMar>
            <w:top w:w="15" w:type="dxa"/>
            <w:left w:w="15" w:type="dxa"/>
            <w:bottom w:w="15" w:type="dxa"/>
            <w:right w:w="15" w:type="dxa"/>
          </w:tblCellMar>
        </w:tblPrEx>
        <w:trPr>
          <w:trHeight w:val="409"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行政强制</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r>
      <w:tr>
        <w:tblPrEx>
          <w:tblLayout w:type="fixed"/>
          <w:tblCellMar>
            <w:top w:w="15" w:type="dxa"/>
            <w:left w:w="15" w:type="dxa"/>
            <w:bottom w:w="15" w:type="dxa"/>
            <w:right w:w="15" w:type="dxa"/>
          </w:tblCellMar>
        </w:tblPrEx>
        <w:trPr>
          <w:trHeight w:val="474"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第二十条第（八）项</w:t>
            </w:r>
          </w:p>
        </w:tc>
      </w:tr>
      <w:tr>
        <w:tblPrEx>
          <w:tblLayout w:type="fixed"/>
          <w:tblCellMar>
            <w:top w:w="15" w:type="dxa"/>
            <w:left w:w="15" w:type="dxa"/>
            <w:bottom w:w="15" w:type="dxa"/>
            <w:right w:w="15" w:type="dxa"/>
          </w:tblCellMar>
        </w:tblPrEx>
        <w:trPr>
          <w:trHeight w:val="270"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信息内容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本年增/减</w:t>
            </w:r>
          </w:p>
        </w:tc>
      </w:tr>
      <w:tr>
        <w:tblPrEx>
          <w:tblLayout w:type="fixed"/>
          <w:tblCellMar>
            <w:top w:w="15" w:type="dxa"/>
            <w:left w:w="15" w:type="dxa"/>
            <w:bottom w:w="15" w:type="dxa"/>
            <w:right w:w="15" w:type="dxa"/>
          </w:tblCellMar>
        </w:tblPrEx>
        <w:trPr>
          <w:trHeight w:val="551"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bidi="ar"/>
              </w:rPr>
              <w:t>行政事业性收费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widowControl/>
              <w:jc w:val="center"/>
              <w:rPr>
                <w:rFonts w:hint="eastAsia" w:eastAsiaTheme="minorEastAsia"/>
                <w:color w:val="000000"/>
                <w:lang w:eastAsia="zh-CN"/>
              </w:rPr>
            </w:pPr>
            <w:r>
              <w:rPr>
                <w:rFonts w:hint="eastAsia" w:ascii="宋体" w:hAnsi="宋体" w:cs="宋体"/>
                <w:color w:val="000000"/>
                <w:kern w:val="0"/>
                <w:sz w:val="20"/>
                <w:szCs w:val="20"/>
                <w:lang w:val="en-US" w:eastAsia="zh-CN" w:bidi="ar"/>
              </w:rPr>
              <w:t>0</w:t>
            </w:r>
          </w:p>
        </w:tc>
      </w:tr>
      <w:tr>
        <w:tblPrEx>
          <w:tblLayout w:type="fixed"/>
          <w:tblCellMar>
            <w:top w:w="15" w:type="dxa"/>
            <w:left w:w="15" w:type="dxa"/>
            <w:bottom w:w="15" w:type="dxa"/>
            <w:right w:w="15" w:type="dxa"/>
          </w:tblCellMar>
        </w:tblPrEx>
        <w:trPr>
          <w:trHeight w:val="47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第二十条第（九）项</w:t>
            </w:r>
          </w:p>
        </w:tc>
      </w:tr>
      <w:tr>
        <w:tblPrEx>
          <w:tblLayout w:type="fixed"/>
          <w:tblCellMar>
            <w:top w:w="15" w:type="dxa"/>
            <w:left w:w="15" w:type="dxa"/>
            <w:bottom w:w="15" w:type="dxa"/>
            <w:right w:w="15" w:type="dxa"/>
          </w:tblCellMar>
        </w:tblPrEx>
        <w:trPr>
          <w:trHeight w:val="585"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信息内容</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采购总金额</w:t>
            </w:r>
          </w:p>
        </w:tc>
      </w:tr>
      <w:tr>
        <w:tblPrEx>
          <w:tblLayout w:type="fixed"/>
          <w:tblCellMar>
            <w:top w:w="15" w:type="dxa"/>
            <w:left w:w="15" w:type="dxa"/>
            <w:bottom w:w="15" w:type="dxa"/>
            <w:right w:w="15" w:type="dxa"/>
          </w:tblCellMar>
        </w:tblPrEx>
        <w:trPr>
          <w:trHeight w:val="539" w:hRule="atLeast"/>
          <w:jc w:val="center"/>
        </w:trPr>
        <w:tc>
          <w:tcPr>
            <w:tcW w:w="3113" w:type="dxa"/>
            <w:gridSpan w:val="2"/>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lang w:eastAsia="zh-CN"/>
              </w:rPr>
            </w:pPr>
            <w:r>
              <w:rPr>
                <w:rFonts w:hint="eastAsia" w:ascii="宋体" w:hAnsi="宋体" w:cs="宋体"/>
                <w:color w:val="000000"/>
                <w:kern w:val="0"/>
                <w:sz w:val="20"/>
                <w:szCs w:val="20"/>
                <w:lang w:bidi="ar"/>
              </w:rPr>
              <w:t>政府集中采购</w:t>
            </w:r>
          </w:p>
        </w:tc>
        <w:tc>
          <w:tcPr>
            <w:tcW w:w="188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rFonts w:hint="eastAsia" w:eastAsiaTheme="minorEastAsia"/>
                <w:color w:val="000000"/>
                <w:sz w:val="20"/>
                <w:szCs w:val="20"/>
                <w:lang w:val="en-US" w:eastAsia="zh-CN"/>
              </w:rPr>
            </w:pPr>
            <w:r>
              <w:rPr>
                <w:rFonts w:hint="eastAsia" w:ascii="宋体" w:hAnsi="宋体" w:cs="宋体"/>
                <w:color w:val="000000"/>
                <w:kern w:val="0"/>
                <w:sz w:val="20"/>
                <w:szCs w:val="20"/>
                <w:lang w:val="en-US" w:eastAsia="zh-CN" w:bidi="ar"/>
              </w:rPr>
              <w:t>48</w:t>
            </w:r>
          </w:p>
        </w:tc>
        <w:tc>
          <w:tcPr>
            <w:tcW w:w="3146" w:type="dxa"/>
            <w:gridSpan w:val="2"/>
            <w:tcBorders>
              <w:top w:val="nil"/>
              <w:left w:val="nil"/>
              <w:bottom w:val="single" w:color="auto" w:sz="8" w:space="0"/>
              <w:right w:val="single" w:color="000000" w:sz="8" w:space="0"/>
            </w:tcBorders>
            <w:shd w:val="clear" w:color="auto" w:fill="E6F4FF"/>
            <w:tcMar>
              <w:top w:w="0" w:type="dxa"/>
              <w:left w:w="108" w:type="dxa"/>
              <w:bottom w:w="0" w:type="dxa"/>
              <w:right w:w="108" w:type="dxa"/>
            </w:tcMar>
            <w:vAlign w:val="center"/>
          </w:tcPr>
          <w:p>
            <w:pPr>
              <w:rPr>
                <w:rFonts w:hint="eastAsia" w:ascii="宋体" w:eastAsiaTheme="minorEastAsia"/>
                <w:color w:val="000000"/>
                <w:sz w:val="20"/>
                <w:szCs w:val="20"/>
                <w:lang w:val="en-US" w:eastAsia="zh-CN"/>
              </w:rPr>
            </w:pPr>
            <w:r>
              <w:rPr>
                <w:rFonts w:hint="eastAsia" w:ascii="宋体"/>
                <w:color w:val="000000"/>
                <w:sz w:val="20"/>
                <w:szCs w:val="20"/>
                <w:lang w:val="en-US" w:eastAsia="zh-CN"/>
              </w:rPr>
              <w:t>70.7373</w:t>
            </w:r>
            <w:r>
              <w:rPr>
                <w:rFonts w:hint="eastAsia"/>
                <w:lang w:eastAsia="zh-CN"/>
              </w:rPr>
              <w:t>万元</w:t>
            </w:r>
          </w:p>
        </w:tc>
      </w:tr>
    </w:tbl>
    <w:p>
      <w:pPr>
        <w:spacing w:line="560" w:lineRule="exact"/>
        <w:ind w:firstLine="640" w:firstLineChars="200"/>
        <w:rPr>
          <w:rFonts w:hint="eastAsia" w:ascii="黑体" w:hAnsi="黑体" w:eastAsia="黑体" w:cs="黑体"/>
          <w:sz w:val="32"/>
          <w:szCs w:val="32"/>
          <w:highlight w:val="yellow"/>
          <w:lang w:eastAsia="zh-CN"/>
        </w:rPr>
      </w:pPr>
      <w:r>
        <w:rPr>
          <w:rFonts w:hint="eastAsia" w:ascii="黑体" w:hAnsi="黑体" w:eastAsia="黑体" w:cs="黑体"/>
          <w:sz w:val="32"/>
          <w:szCs w:val="32"/>
          <w:highlight w:val="none"/>
        </w:rPr>
        <w:t>三、收到和处理政府信息公开申请情况</w:t>
      </w:r>
    </w:p>
    <w:tbl>
      <w:tblPr>
        <w:tblStyle w:val="5"/>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18"/>
        <w:gridCol w:w="854"/>
        <w:gridCol w:w="2086"/>
        <w:gridCol w:w="814"/>
        <w:gridCol w:w="755"/>
        <w:gridCol w:w="755"/>
        <w:gridCol w:w="814"/>
        <w:gridCol w:w="974"/>
        <w:gridCol w:w="712"/>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1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自然人</w:t>
            </w:r>
          </w:p>
        </w:tc>
        <w:tc>
          <w:tcPr>
            <w:tcW w:w="4010"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法人或其他组织</w:t>
            </w:r>
          </w:p>
        </w:tc>
        <w:tc>
          <w:tcPr>
            <w:tcW w:w="689"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1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商业企业</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科研机构</w:t>
            </w:r>
          </w:p>
        </w:tc>
        <w:tc>
          <w:tcPr>
            <w:tcW w:w="814"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社会公益组织</w:t>
            </w:r>
          </w:p>
        </w:tc>
        <w:tc>
          <w:tcPr>
            <w:tcW w:w="974"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法律服务机构</w:t>
            </w:r>
          </w:p>
        </w:tc>
        <w:tc>
          <w:tcPr>
            <w:tcW w:w="712"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其他</w:t>
            </w:r>
          </w:p>
        </w:tc>
        <w:tc>
          <w:tcPr>
            <w:tcW w:w="689"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一、本年新收政府信息公开申请数量</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rFonts w:hint="eastAsia" w:eastAsiaTheme="minorEastAsia"/>
                <w:color w:val="000000"/>
                <w:lang w:eastAsia="zh-CN"/>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二、上年结转政府信息公开申请数量</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rFonts w:hint="eastAsia" w:eastAsiaTheme="minorEastAsia"/>
                <w:color w:val="000000"/>
                <w:lang w:eastAsia="zh-CN"/>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三、本年度办理结果</w:t>
            </w: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ascii="楷体" w:hAnsi="楷体" w:eastAsia="楷体" w:cs="楷体"/>
                <w:color w:val="000000"/>
                <w:kern w:val="0"/>
                <w:sz w:val="20"/>
                <w:szCs w:val="20"/>
                <w:lang w:bidi="ar"/>
              </w:rPr>
              <w:t>（一）予以公开</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（二）部分公开（区分处理的，只计这一情形，不计其他情形）</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（三）不予公开</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1.属于国家秘密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2.其他法律行政法规禁止公开</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3.危及“三安全一稳定”</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4.保护第三方合法权益</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5.属于三类内部事务信息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6.属于四类过程性信息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7.属于行政执法案卷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8.属于行政查询事项</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（四）无法提供</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1.本机关不掌握相关政府信息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2.没有现成信息需要另行制作</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3.补正后申请内容仍不明确</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（五）不予处理</w:t>
            </w: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1.信访举报投诉类申请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2.重复申请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3.要求提供公开出版物</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4.无正当理由大量反复申请</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85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08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5.要求行政机关确认或重新出具已获取信息</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（六）其他处理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2940"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楷体" w:hAnsi="楷体" w:eastAsia="楷体" w:cs="楷体"/>
                <w:color w:val="000000"/>
                <w:kern w:val="0"/>
                <w:sz w:val="20"/>
                <w:szCs w:val="20"/>
                <w:lang w:bidi="ar"/>
              </w:rPr>
              <w:t>（七）总计</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left"/>
              <w:rPr>
                <w:color w:val="000000"/>
              </w:rPr>
            </w:pPr>
            <w:r>
              <w:rPr>
                <w:rFonts w:hint="eastAsia" w:ascii="宋体" w:hAnsi="宋体" w:cs="宋体"/>
                <w:color w:val="000000"/>
                <w:kern w:val="0"/>
                <w:sz w:val="20"/>
                <w:szCs w:val="20"/>
                <w:lang w:bidi="ar"/>
              </w:rPr>
              <w:t>四、结转下年度继续办理</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81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97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71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rFonts w:hint="eastAsia" w:ascii="宋体"/>
                <w:color w:val="000000"/>
                <w:sz w:val="24"/>
              </w:rPr>
            </w:pPr>
            <w:r>
              <w:rPr>
                <w:rFonts w:hint="eastAsia" w:cs="Calibri"/>
                <w:color w:val="000000"/>
                <w:kern w:val="0"/>
                <w:sz w:val="20"/>
                <w:szCs w:val="20"/>
                <w:lang w:val="en-US" w:eastAsia="zh-CN" w:bidi="ar"/>
              </w:rPr>
              <w:t>0</w:t>
            </w:r>
          </w:p>
        </w:tc>
      </w:tr>
    </w:tbl>
    <w:p>
      <w:pPr>
        <w:numPr>
          <w:ilvl w:val="0"/>
          <w:numId w:val="1"/>
        </w:numPr>
        <w:spacing w:line="560" w:lineRule="exact"/>
        <w:ind w:firstLine="640" w:firstLineChars="200"/>
        <w:rPr>
          <w:rFonts w:hint="eastAsia" w:ascii="黑体" w:hAnsi="黑体" w:eastAsia="黑体" w:cs="黑体"/>
          <w:sz w:val="32"/>
          <w:szCs w:val="32"/>
          <w:highlight w:val="none"/>
        </w:rPr>
      </w:pPr>
      <w:r>
        <w:rPr>
          <w:rFonts w:hint="eastAsia" w:ascii="黑体" w:hAnsi="黑体" w:eastAsia="黑体" w:cs="黑体"/>
          <w:sz w:val="32"/>
          <w:szCs w:val="32"/>
          <w:highlight w:val="none"/>
        </w:rPr>
        <w:t>政府信息公开行政复议、行政诉讼情况</w:t>
      </w:r>
    </w:p>
    <w:tbl>
      <w:tblPr>
        <w:tblStyle w:val="5"/>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结果维持</w:t>
            </w:r>
          </w:p>
        </w:tc>
        <w:tc>
          <w:tcPr>
            <w:tcW w:w="60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总计</w:t>
            </w:r>
          </w:p>
        </w:tc>
        <w:tc>
          <w:tcPr>
            <w:tcW w:w="2970"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604" w:type="dxa"/>
            <w:vMerge w:val="continue"/>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604"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604"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658" w:type="dxa"/>
            <w:vMerge w:val="continue"/>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rPr>
                <w:rFonts w:hint="eastAsia" w:ascii="宋体"/>
                <w:color w:val="000000"/>
                <w:sz w:val="24"/>
              </w:rPr>
            </w:pP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结果维持</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其他结果</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尚未审结</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总计</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结果维持</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其他结果</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尚未审结</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color w:val="000000"/>
              </w:rPr>
            </w:pPr>
            <w:r>
              <w:rPr>
                <w:rFonts w:hint="eastAsia" w:cs="Calibri"/>
                <w:color w:val="000000"/>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widowControl/>
              <w:jc w:val="center"/>
              <w:rPr>
                <w:rFonts w:hint="eastAsia" w:ascii="宋体"/>
                <w:color w:val="000000"/>
                <w:sz w:val="24"/>
              </w:rPr>
            </w:pPr>
            <w:r>
              <w:rPr>
                <w:rFonts w:hint="eastAsia" w:cs="Calibri"/>
                <w:color w:val="000000"/>
                <w:kern w:val="0"/>
                <w:sz w:val="20"/>
                <w:szCs w:val="20"/>
                <w:lang w:val="en-US" w:eastAsia="zh-CN" w:bidi="ar"/>
              </w:rPr>
              <w:t>0</w:t>
            </w:r>
          </w:p>
        </w:tc>
      </w:tr>
    </w:tbl>
    <w:p>
      <w:pPr>
        <w:spacing w:line="560" w:lineRule="exact"/>
        <w:ind w:firstLine="640" w:firstLineChars="200"/>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五、政府信息公开工作存在的主要问题及改进情况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年存在主要问题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2020年，</w:t>
      </w:r>
      <w:r>
        <w:rPr>
          <w:rFonts w:hint="eastAsia" w:ascii="仿宋_GB2312" w:hAnsi="仿宋_GB2312" w:eastAsia="仿宋_GB2312" w:cs="仿宋_GB2312"/>
          <w:color w:val="auto"/>
          <w:sz w:val="32"/>
          <w:szCs w:val="32"/>
          <w:lang w:eastAsia="zh-CN"/>
        </w:rPr>
        <w:t>北京市门头沟区统计局、</w:t>
      </w:r>
      <w:r>
        <w:rPr>
          <w:rFonts w:hint="eastAsia" w:ascii="仿宋_GB2312" w:hAnsi="仿宋_GB2312" w:eastAsia="仿宋_GB2312" w:cs="仿宋_GB2312"/>
          <w:color w:val="auto"/>
          <w:sz w:val="32"/>
          <w:szCs w:val="32"/>
          <w:lang w:val="en-US" w:eastAsia="zh-CN"/>
        </w:rPr>
        <w:t>经济社会调查队创新公开手段，明确公开标准，</w:t>
      </w:r>
      <w:r>
        <w:rPr>
          <w:rFonts w:hint="eastAsia" w:ascii="仿宋_GB2312" w:hAnsi="仿宋_GB2312" w:eastAsia="仿宋_GB2312" w:cs="仿宋_GB2312"/>
          <w:sz w:val="32"/>
          <w:szCs w:val="32"/>
        </w:rPr>
        <w:t>较有成效地开展了</w:t>
      </w:r>
      <w:r>
        <w:rPr>
          <w:rFonts w:hint="eastAsia" w:ascii="仿宋_GB2312" w:hAnsi="仿宋_GB2312" w:eastAsia="仿宋_GB2312" w:cs="仿宋_GB2312"/>
          <w:sz w:val="32"/>
          <w:szCs w:val="32"/>
          <w:lang w:eastAsia="zh-CN"/>
        </w:rPr>
        <w:t>政府信息公开</w:t>
      </w:r>
      <w:r>
        <w:rPr>
          <w:rFonts w:hint="eastAsia" w:ascii="仿宋_GB2312" w:hAnsi="仿宋_GB2312" w:eastAsia="仿宋_GB2312" w:cs="仿宋_GB2312"/>
          <w:sz w:val="32"/>
          <w:szCs w:val="32"/>
        </w:rPr>
        <w:t>各项工作，但也存在着一些问题和不足，主要表现在：政府信息公开</w:t>
      </w:r>
      <w:r>
        <w:rPr>
          <w:rFonts w:hint="eastAsia" w:ascii="仿宋_GB2312" w:hAnsi="仿宋_GB2312" w:eastAsia="仿宋_GB2312" w:cs="仿宋_GB2312"/>
          <w:sz w:val="32"/>
          <w:szCs w:val="32"/>
          <w:lang w:eastAsia="zh-CN"/>
        </w:rPr>
        <w:t>工作组织</w:t>
      </w:r>
      <w:r>
        <w:rPr>
          <w:rFonts w:hint="eastAsia" w:ascii="仿宋_GB2312" w:hAnsi="仿宋_GB2312" w:eastAsia="仿宋_GB2312" w:cs="仿宋_GB2312"/>
          <w:sz w:val="32"/>
          <w:szCs w:val="32"/>
        </w:rPr>
        <w:t>不</w:t>
      </w:r>
      <w:r>
        <w:rPr>
          <w:rFonts w:hint="eastAsia" w:ascii="仿宋_GB2312" w:hAnsi="仿宋_GB2312" w:eastAsia="仿宋_GB2312" w:cs="仿宋_GB2312"/>
          <w:sz w:val="32"/>
          <w:szCs w:val="32"/>
          <w:lang w:eastAsia="zh-CN"/>
        </w:rPr>
        <w:t>够全面</w:t>
      </w:r>
      <w:r>
        <w:rPr>
          <w:rFonts w:hint="eastAsia" w:ascii="仿宋_GB2312" w:hAnsi="仿宋_GB2312" w:eastAsia="仿宋_GB2312" w:cs="仿宋_GB2312"/>
          <w:sz w:val="32"/>
          <w:szCs w:val="32"/>
        </w:rPr>
        <w:t>深入，</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信息</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主动性</w:t>
      </w:r>
      <w:r>
        <w:rPr>
          <w:rFonts w:hint="eastAsia" w:ascii="仿宋_GB2312" w:hAnsi="仿宋_GB2312" w:eastAsia="仿宋_GB2312" w:cs="仿宋_GB2312"/>
          <w:sz w:val="32"/>
          <w:szCs w:val="32"/>
          <w:lang w:eastAsia="zh-CN"/>
        </w:rPr>
        <w:t>和准确性有待提升</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年改进措施情况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w:t>
      </w:r>
      <w:r>
        <w:rPr>
          <w:rFonts w:hint="eastAsia" w:ascii="仿宋_GB2312" w:hAnsi="仿宋_GB2312" w:eastAsia="仿宋_GB2312" w:cs="仿宋_GB2312"/>
          <w:color w:val="auto"/>
          <w:sz w:val="32"/>
          <w:szCs w:val="32"/>
          <w:lang w:eastAsia="zh-CN"/>
        </w:rPr>
        <w:t>北京市门头沟区统计局、</w:t>
      </w:r>
      <w:r>
        <w:rPr>
          <w:rFonts w:hint="eastAsia" w:ascii="仿宋_GB2312" w:hAnsi="仿宋_GB2312" w:eastAsia="仿宋_GB2312" w:cs="仿宋_GB2312"/>
          <w:color w:val="auto"/>
          <w:sz w:val="32"/>
          <w:szCs w:val="32"/>
          <w:lang w:val="en-US" w:eastAsia="zh-CN"/>
        </w:rPr>
        <w:t>经济社会调查队结合实际提出了改进工作的务实举措，加强并</w:t>
      </w:r>
      <w:r>
        <w:rPr>
          <w:rFonts w:hint="eastAsia" w:ascii="仿宋_GB2312" w:hAnsi="仿宋_GB2312" w:eastAsia="仿宋_GB2312" w:cs="仿宋_GB2312"/>
          <w:sz w:val="32"/>
          <w:szCs w:val="32"/>
          <w:lang w:eastAsia="zh-CN"/>
        </w:rPr>
        <w:t>完善政府信息公开工作人员队伍建设，</w:t>
      </w:r>
      <w:r>
        <w:rPr>
          <w:rFonts w:hint="eastAsia" w:ascii="仿宋_GB2312" w:hAnsi="仿宋_GB2312" w:eastAsia="仿宋_GB2312" w:cs="仿宋_GB2312"/>
          <w:sz w:val="32"/>
          <w:szCs w:val="32"/>
          <w:lang w:val="en-US" w:eastAsia="zh-CN"/>
        </w:rPr>
        <w:t>一是配齐配强专职工作人员，结合</w:t>
      </w:r>
      <w:r>
        <w:rPr>
          <w:rFonts w:hint="eastAsia" w:ascii="仿宋_GB2312" w:hAnsi="仿宋_GB2312" w:eastAsia="仿宋_GB2312" w:cs="仿宋_GB2312"/>
          <w:sz w:val="32"/>
          <w:szCs w:val="32"/>
          <w:lang w:eastAsia="zh-CN"/>
        </w:rPr>
        <w:t>政府信息公开工作</w:t>
      </w:r>
      <w:r>
        <w:rPr>
          <w:rFonts w:hint="eastAsia" w:ascii="仿宋_GB2312" w:hAnsi="仿宋_GB2312" w:eastAsia="仿宋_GB2312" w:cs="仿宋_GB2312"/>
          <w:sz w:val="32"/>
          <w:szCs w:val="32"/>
          <w:lang w:val="en-US" w:eastAsia="zh-CN"/>
        </w:rPr>
        <w:t>培养专门人才，提升</w:t>
      </w:r>
      <w:r>
        <w:rPr>
          <w:rFonts w:hint="eastAsia" w:ascii="仿宋_GB2312" w:hAnsi="仿宋_GB2312" w:eastAsia="仿宋_GB2312" w:cs="仿宋_GB2312"/>
          <w:sz w:val="32"/>
          <w:szCs w:val="32"/>
          <w:lang w:eastAsia="zh-CN"/>
        </w:rPr>
        <w:t>政府信息公开工作的</w:t>
      </w:r>
      <w:r>
        <w:rPr>
          <w:rFonts w:hint="eastAsia" w:ascii="仿宋_GB2312" w:hAnsi="仿宋_GB2312" w:eastAsia="仿宋_GB2312" w:cs="仿宋_GB2312"/>
          <w:sz w:val="32"/>
          <w:szCs w:val="32"/>
          <w:lang w:val="en-US" w:eastAsia="zh-CN"/>
        </w:rPr>
        <w:t>专业化水平。二是抓好教育培训，将</w:t>
      </w:r>
      <w:r>
        <w:rPr>
          <w:rFonts w:hint="eastAsia" w:ascii="仿宋_GB2312" w:hAnsi="仿宋_GB2312" w:eastAsia="仿宋_GB2312" w:cs="仿宋_GB2312"/>
          <w:sz w:val="32"/>
          <w:szCs w:val="32"/>
          <w:lang w:eastAsia="zh-CN"/>
        </w:rPr>
        <w:t>政府信息公开</w:t>
      </w:r>
      <w:r>
        <w:rPr>
          <w:rFonts w:hint="eastAsia" w:ascii="仿宋_GB2312" w:hAnsi="仿宋_GB2312" w:eastAsia="仿宋_GB2312" w:cs="仿宋_GB2312"/>
          <w:sz w:val="32"/>
          <w:szCs w:val="32"/>
          <w:lang w:val="en-US" w:eastAsia="zh-CN"/>
        </w:rPr>
        <w:t>条例纳入全年教育培训计划，分级分层组织实施，加强对行政机关工作人员特别是领导干部的宣传教育，增强主动公开意识，提高发布信息、解读政策、回应关切的能力。</w:t>
      </w:r>
    </w:p>
    <w:p>
      <w:pPr>
        <w:widowControl/>
        <w:shd w:val="clear" w:color="auto"/>
        <w:spacing w:line="360" w:lineRule="auto"/>
        <w:ind w:firstLine="48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六、其他需要报告的事项</w:t>
      </w:r>
    </w:p>
    <w:p>
      <w:pPr>
        <w:widowControl/>
        <w:shd w:val="clear" w:color="auto"/>
        <w:spacing w:line="360" w:lineRule="auto"/>
        <w:ind w:firstLine="48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北京市政府信息公开专栏——北京市门头沟区统计局网址为：</w:t>
      </w:r>
    </w:p>
    <w:p>
      <w:pPr>
        <w:widowControl/>
        <w:shd w:val="clear" w:color="auto"/>
        <w:spacing w:line="360" w:lineRule="auto"/>
        <w:ind w:firstLine="48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http://www.bjmtg.gov.cn/zfxxgk/mtg11J032/ywdt/mtgqbm_yjlist.shtml，如需了解更多政府信息，请登录查询。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FF1E0B"/>
    <w:multiLevelType w:val="singleLevel"/>
    <w:tmpl w:val="EEFF1E0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DBE"/>
    <w:rsid w:val="01235E34"/>
    <w:rsid w:val="01893C95"/>
    <w:rsid w:val="019931BD"/>
    <w:rsid w:val="03532ADA"/>
    <w:rsid w:val="0360488C"/>
    <w:rsid w:val="03AB0041"/>
    <w:rsid w:val="0426743D"/>
    <w:rsid w:val="047D4194"/>
    <w:rsid w:val="056E0579"/>
    <w:rsid w:val="057D178D"/>
    <w:rsid w:val="073035A1"/>
    <w:rsid w:val="07FF671B"/>
    <w:rsid w:val="088579C5"/>
    <w:rsid w:val="095E3509"/>
    <w:rsid w:val="097F2A83"/>
    <w:rsid w:val="09BF6DE5"/>
    <w:rsid w:val="0BCE0256"/>
    <w:rsid w:val="0CDA121F"/>
    <w:rsid w:val="0CF171CA"/>
    <w:rsid w:val="0D4E588C"/>
    <w:rsid w:val="0D526E1A"/>
    <w:rsid w:val="102D0A04"/>
    <w:rsid w:val="109D3486"/>
    <w:rsid w:val="115137CD"/>
    <w:rsid w:val="11A34251"/>
    <w:rsid w:val="133B1C32"/>
    <w:rsid w:val="13457551"/>
    <w:rsid w:val="144F5AD8"/>
    <w:rsid w:val="149B0211"/>
    <w:rsid w:val="14B810A6"/>
    <w:rsid w:val="14CF5B85"/>
    <w:rsid w:val="1512125E"/>
    <w:rsid w:val="164B07B7"/>
    <w:rsid w:val="16D93DB9"/>
    <w:rsid w:val="16E144D5"/>
    <w:rsid w:val="17970B7D"/>
    <w:rsid w:val="17F352E6"/>
    <w:rsid w:val="19B97BF9"/>
    <w:rsid w:val="19F37EF8"/>
    <w:rsid w:val="1AAF3503"/>
    <w:rsid w:val="1B684DF1"/>
    <w:rsid w:val="1B6B44DE"/>
    <w:rsid w:val="1B9457CD"/>
    <w:rsid w:val="1C664589"/>
    <w:rsid w:val="1D2117C6"/>
    <w:rsid w:val="1D522E24"/>
    <w:rsid w:val="1DDA66F2"/>
    <w:rsid w:val="20037003"/>
    <w:rsid w:val="2012080C"/>
    <w:rsid w:val="20FA43C9"/>
    <w:rsid w:val="241431AE"/>
    <w:rsid w:val="24191BBC"/>
    <w:rsid w:val="24C87754"/>
    <w:rsid w:val="24CC392C"/>
    <w:rsid w:val="250A49B6"/>
    <w:rsid w:val="26823A49"/>
    <w:rsid w:val="27613F27"/>
    <w:rsid w:val="28A71222"/>
    <w:rsid w:val="28AB7D07"/>
    <w:rsid w:val="29614DB0"/>
    <w:rsid w:val="2968659C"/>
    <w:rsid w:val="29A50448"/>
    <w:rsid w:val="2A8762F9"/>
    <w:rsid w:val="2AC67A9A"/>
    <w:rsid w:val="2AD9710E"/>
    <w:rsid w:val="2AEF0E11"/>
    <w:rsid w:val="2BA5721E"/>
    <w:rsid w:val="2CF56BA9"/>
    <w:rsid w:val="2DF00C35"/>
    <w:rsid w:val="307B6F13"/>
    <w:rsid w:val="312A078E"/>
    <w:rsid w:val="332B4BBE"/>
    <w:rsid w:val="33442402"/>
    <w:rsid w:val="33710176"/>
    <w:rsid w:val="338D3D08"/>
    <w:rsid w:val="347F7346"/>
    <w:rsid w:val="35083B0D"/>
    <w:rsid w:val="386D7A9A"/>
    <w:rsid w:val="38EF2EAB"/>
    <w:rsid w:val="395303A0"/>
    <w:rsid w:val="39615966"/>
    <w:rsid w:val="39FE2E67"/>
    <w:rsid w:val="3E11748E"/>
    <w:rsid w:val="3E4A0029"/>
    <w:rsid w:val="3E7C588A"/>
    <w:rsid w:val="3F3B2BCF"/>
    <w:rsid w:val="3F611673"/>
    <w:rsid w:val="3FB055BB"/>
    <w:rsid w:val="3FC05A2E"/>
    <w:rsid w:val="429F64BC"/>
    <w:rsid w:val="43280716"/>
    <w:rsid w:val="43C700A7"/>
    <w:rsid w:val="43D356D2"/>
    <w:rsid w:val="445358C1"/>
    <w:rsid w:val="46B2652A"/>
    <w:rsid w:val="48057EBA"/>
    <w:rsid w:val="483A366A"/>
    <w:rsid w:val="49AA2AC2"/>
    <w:rsid w:val="49C60DA7"/>
    <w:rsid w:val="4A1B79E6"/>
    <w:rsid w:val="4A6B40FB"/>
    <w:rsid w:val="4E6A02FB"/>
    <w:rsid w:val="4E6A5064"/>
    <w:rsid w:val="4F0767AD"/>
    <w:rsid w:val="4FEE25DB"/>
    <w:rsid w:val="50460816"/>
    <w:rsid w:val="50AF42E5"/>
    <w:rsid w:val="50CA4A8F"/>
    <w:rsid w:val="50FE7840"/>
    <w:rsid w:val="51A04B70"/>
    <w:rsid w:val="51D92454"/>
    <w:rsid w:val="538B4DAC"/>
    <w:rsid w:val="55C96A40"/>
    <w:rsid w:val="56B60895"/>
    <w:rsid w:val="5720759C"/>
    <w:rsid w:val="57523EEE"/>
    <w:rsid w:val="57C22D3E"/>
    <w:rsid w:val="583301A6"/>
    <w:rsid w:val="59CB49DC"/>
    <w:rsid w:val="59E95510"/>
    <w:rsid w:val="5A1F4479"/>
    <w:rsid w:val="5A496D1A"/>
    <w:rsid w:val="5B541E3F"/>
    <w:rsid w:val="5BF703BF"/>
    <w:rsid w:val="5C942B1E"/>
    <w:rsid w:val="5CBD103B"/>
    <w:rsid w:val="5E2172F0"/>
    <w:rsid w:val="5F09295C"/>
    <w:rsid w:val="60A277AC"/>
    <w:rsid w:val="60E6746A"/>
    <w:rsid w:val="611D5D2D"/>
    <w:rsid w:val="614F64AF"/>
    <w:rsid w:val="61F66930"/>
    <w:rsid w:val="62263120"/>
    <w:rsid w:val="633B0850"/>
    <w:rsid w:val="634E021A"/>
    <w:rsid w:val="6377459F"/>
    <w:rsid w:val="655518AD"/>
    <w:rsid w:val="66133CA7"/>
    <w:rsid w:val="662139A7"/>
    <w:rsid w:val="67DE2314"/>
    <w:rsid w:val="6838289A"/>
    <w:rsid w:val="693D494D"/>
    <w:rsid w:val="697101F6"/>
    <w:rsid w:val="6A992446"/>
    <w:rsid w:val="6AC1128C"/>
    <w:rsid w:val="6BAD2895"/>
    <w:rsid w:val="6C711B8F"/>
    <w:rsid w:val="6CBA7D92"/>
    <w:rsid w:val="6D1B58AE"/>
    <w:rsid w:val="6D611F2F"/>
    <w:rsid w:val="6D8A113B"/>
    <w:rsid w:val="6DCA2BB6"/>
    <w:rsid w:val="6E043126"/>
    <w:rsid w:val="712D7F3B"/>
    <w:rsid w:val="71B3161B"/>
    <w:rsid w:val="71CE71F4"/>
    <w:rsid w:val="723F44AD"/>
    <w:rsid w:val="727E167A"/>
    <w:rsid w:val="72F94912"/>
    <w:rsid w:val="74FD42FF"/>
    <w:rsid w:val="7663333A"/>
    <w:rsid w:val="76E22264"/>
    <w:rsid w:val="78CF4FA6"/>
    <w:rsid w:val="78D669A0"/>
    <w:rsid w:val="79392965"/>
    <w:rsid w:val="79616F9E"/>
    <w:rsid w:val="79845A3F"/>
    <w:rsid w:val="79DA05EC"/>
    <w:rsid w:val="7C064310"/>
    <w:rsid w:val="7C210990"/>
    <w:rsid w:val="7C7D58D5"/>
    <w:rsid w:val="7DBA0CB6"/>
    <w:rsid w:val="7DCA7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annotation text"/>
    <w:basedOn w:val="1"/>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Ken Hua</dc:creator>
  <cp:lastModifiedBy>MRX</cp:lastModifiedBy>
  <dcterms:modified xsi:type="dcterms:W3CDTF">2021-01-19T03:52:04Z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