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1577A84">
      <w:pPr>
        <w:keepNext w:val="0"/>
        <w:keepLines w:val="0"/>
        <w:widowControl w:val="0"/>
        <w:suppressLineNumbers w:val="0"/>
        <w:spacing w:before="0" w:beforeAutospacing="0" w:after="0" w:afterAutospacing="0" w:line="560" w:lineRule="exact"/>
        <w:ind w:left="0" w:right="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/>
        </w:rPr>
      </w:pPr>
      <w:r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val="en-US" w:eastAsia="zh-CN" w:bidi="ar"/>
        </w:rPr>
        <w:t xml:space="preserve"> 北京市门头沟区体育局2024年政府信息公开工作年度报告</w:t>
      </w:r>
    </w:p>
    <w:p w14:paraId="1547E525">
      <w:pPr>
        <w:keepNext w:val="0"/>
        <w:keepLines w:val="0"/>
        <w:widowControl w:val="0"/>
        <w:suppressLineNumbers w:val="0"/>
        <w:spacing w:before="0" w:beforeAutospacing="0" w:after="0" w:afterAutospacing="0" w:line="560" w:lineRule="exact"/>
        <w:ind w:left="0" w:right="0"/>
        <w:jc w:val="center"/>
        <w:rPr>
          <w:sz w:val="44"/>
          <w:szCs w:val="44"/>
          <w:lang w:val="en-US"/>
        </w:rPr>
      </w:pPr>
      <w:r>
        <w:rPr>
          <w:rFonts w:hint="eastAsia" w:ascii="微软雅黑" w:hAnsi="微软雅黑" w:eastAsia="微软雅黑" w:cs="宋体"/>
          <w:color w:val="404040"/>
          <w:kern w:val="0"/>
          <w:sz w:val="24"/>
          <w:szCs w:val="24"/>
          <w:lang w:val="en-US" w:eastAsia="zh-CN" w:bidi="ar"/>
        </w:rPr>
        <w:t>　</w:t>
      </w:r>
      <w:r>
        <w:rPr>
          <w:rFonts w:hint="eastAsia" w:ascii="微软雅黑" w:hAnsi="微软雅黑" w:eastAsia="微软雅黑" w:cs="宋体"/>
          <w:color w:val="404040"/>
          <w:kern w:val="0"/>
          <w:sz w:val="32"/>
          <w:szCs w:val="32"/>
          <w:lang w:val="en-US" w:eastAsia="zh-CN" w:bidi="ar"/>
        </w:rPr>
        <w:t xml:space="preserve">  </w:t>
      </w:r>
    </w:p>
    <w:p w14:paraId="52D644FC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依据《中华人民共和国政府信息公开条例》(以下简称《政府信息公开条例》)第五十条规定，编制本报告。</w:t>
      </w:r>
    </w:p>
    <w:p w14:paraId="5C6CC02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</w:pPr>
      <w:r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  <w:t>一、总体情况</w:t>
      </w:r>
    </w:p>
    <w:p w14:paraId="4C8710F2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2024年，体育局认真贯彻落实《政府信息公开条例》、《门头沟区2024年政务公开工作要点》，以及区政府、区政务服务局关于政府信息公开工作的各项要求，扎实推进重点领域事项信息公开，做到信息发布及时、内容准确完整，努力满足公众的知情需要和利益关切，助力建设人</w:t>
      </w:r>
      <w:bookmarkStart w:id="0" w:name="_GoBack"/>
      <w:bookmarkEnd w:id="0"/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民满意的服务型政府</w:t>
      </w:r>
    </w:p>
    <w:p w14:paraId="4EB3C055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我局把政府信息公开工作列入重要议事日程，构建信息公开工作组织机构，明确分管领导和1位具体责任人，负责政府信息公开平台建设工作，定期进行政府信息公开内容维护，组织协调等日常工作。每个业务科室明确1位对接人，负责收集、整理、对接需要公开的业务信息，确保信息公开全面、及时、准确、无差错，打造公开、规范、高效的政民互动平台。</w:t>
      </w:r>
    </w:p>
    <w:p w14:paraId="1DBA9E61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 xml:space="preserve">2024年主动公开政府信息数76件。主动公开财政预算决算、“三公”经费和行政经费信息数2条。为进一步强化信息公开工作履职能力。区体育局将政务公开列入部门岗位培训的重要内容，组织工作人员参加政务培训班，进一步加强政务公开队伍建设，提高岗位工作能力，确保政府信息公开工作扎实、深入、有效。 2024年，共参加政务培训班1次。 </w:t>
      </w:r>
    </w:p>
    <w:p w14:paraId="6EC2D64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</w:pPr>
      <w:r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  <w:t>二、主动公开政府信息情况</w:t>
      </w:r>
    </w:p>
    <w:tbl>
      <w:tblPr>
        <w:tblStyle w:val="5"/>
        <w:tblW w:w="974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35"/>
        <w:gridCol w:w="2435"/>
        <w:gridCol w:w="2435"/>
        <w:gridCol w:w="2435"/>
      </w:tblGrid>
      <w:tr w14:paraId="276C3794"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1856B70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第二十条第（一）项</w:t>
            </w:r>
          </w:p>
        </w:tc>
      </w:tr>
      <w:tr w14:paraId="16B1112C"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3FCCEB9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5A48528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本年制发件数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7D021F0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本年废止件数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4809616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现行有效件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数</w:t>
            </w:r>
          </w:p>
        </w:tc>
      </w:tr>
      <w:tr w14:paraId="2311962E"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2F1C470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规章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FE07D0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64AC65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F09EEA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</w:tr>
      <w:tr w14:paraId="4652D720"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643CE05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行政规范性文件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E0F65A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758F9B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DD6CA4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</w:tr>
      <w:tr w14:paraId="31029AE1"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751A40B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第二十条第（五）项</w:t>
            </w:r>
          </w:p>
        </w:tc>
      </w:tr>
      <w:tr w14:paraId="2D836E88"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678A030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039411D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本年处理决定数量</w:t>
            </w:r>
          </w:p>
        </w:tc>
      </w:tr>
      <w:tr w14:paraId="01CAAE07"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3A764B6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行政许可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7FE633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1"/>
                <w:szCs w:val="21"/>
                <w:lang w:val="en-US" w:eastAsia="zh-CN" w:bidi="ar"/>
              </w:rPr>
              <w:t>4</w:t>
            </w:r>
          </w:p>
        </w:tc>
      </w:tr>
      <w:tr w14:paraId="34153317"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2974958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第二十条第（六）项</w:t>
            </w:r>
          </w:p>
        </w:tc>
      </w:tr>
      <w:tr w14:paraId="26256039"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40B3EFB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4D10C2F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本年处理决定数量</w:t>
            </w:r>
          </w:p>
        </w:tc>
      </w:tr>
      <w:tr w14:paraId="0B38991D"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54026B4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行政处罚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D60642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 w14:paraId="6E64DAA5"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7703326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行政强制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71F1D0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 w14:paraId="6FA92EFC"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4530348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第二十条第（八）项</w:t>
            </w:r>
          </w:p>
        </w:tc>
      </w:tr>
      <w:tr w14:paraId="48A7106B"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478E464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475A5EE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本年收费金额（单位：万元）</w:t>
            </w:r>
          </w:p>
        </w:tc>
      </w:tr>
      <w:tr w14:paraId="567DFA66"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3989166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行政事业性收费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F581C05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Times New Roman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sz w:val="24"/>
                <w:szCs w:val="24"/>
                <w:lang w:val="en-US" w:eastAsia="zh-CN"/>
              </w:rPr>
              <w:t>0</w:t>
            </w:r>
          </w:p>
        </w:tc>
      </w:tr>
    </w:tbl>
    <w:p w14:paraId="5449107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</w:pPr>
      <w:r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  <w:t>三、收到和处理政府信息公开申请情况</w:t>
      </w:r>
    </w:p>
    <w:tbl>
      <w:tblPr>
        <w:tblStyle w:val="5"/>
        <w:tblW w:w="974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68"/>
        <w:gridCol w:w="943"/>
        <w:gridCol w:w="3220"/>
        <w:gridCol w:w="688"/>
        <w:gridCol w:w="688"/>
        <w:gridCol w:w="688"/>
        <w:gridCol w:w="688"/>
        <w:gridCol w:w="688"/>
        <w:gridCol w:w="688"/>
        <w:gridCol w:w="689"/>
      </w:tblGrid>
      <w:tr w14:paraId="7E1B0453">
        <w:trPr>
          <w:jc w:val="center"/>
        </w:trPr>
        <w:tc>
          <w:tcPr>
            <w:tcW w:w="4931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 w14:paraId="0B333F6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val="en-US" w:eastAsia="zh-CN" w:bidi="ar"/>
              </w:rPr>
              <w:t>（本列数据的勾稽关系为：第一项加第二项之和，等于第三项加第四项之和）</w:t>
            </w:r>
          </w:p>
        </w:tc>
        <w:tc>
          <w:tcPr>
            <w:tcW w:w="4817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5E9CD22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申请人情况</w:t>
            </w:r>
          </w:p>
        </w:tc>
      </w:tr>
      <w:tr w14:paraId="407C9865">
        <w:trPr>
          <w:jc w:val="center"/>
        </w:trPr>
        <w:tc>
          <w:tcPr>
            <w:tcW w:w="493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 w14:paraId="574F1DA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33C1905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自然人</w:t>
            </w:r>
          </w:p>
        </w:tc>
        <w:tc>
          <w:tcPr>
            <w:tcW w:w="344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6509C3E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法人或其他组织</w:t>
            </w:r>
          </w:p>
        </w:tc>
        <w:tc>
          <w:tcPr>
            <w:tcW w:w="689" w:type="dxa"/>
            <w:vMerge w:val="restart"/>
            <w:tcBorders>
              <w:top w:val="single" w:color="auto" w:sz="8" w:space="0"/>
              <w:left w:val="nil"/>
              <w:bottom w:val="inset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1E96ECE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</w:tr>
      <w:tr w14:paraId="7C2E3AA4">
        <w:trPr>
          <w:jc w:val="center"/>
        </w:trPr>
        <w:tc>
          <w:tcPr>
            <w:tcW w:w="493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 w14:paraId="46D8F06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49EA985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0344B00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商业</w:t>
            </w:r>
          </w:p>
          <w:p w14:paraId="580ABEA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企业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0875A8D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科研</w:t>
            </w:r>
          </w:p>
          <w:p w14:paraId="41A8CDB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机构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7DC1762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社会公益组织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7A394B2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法律服务机构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1AEEC13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其他</w:t>
            </w:r>
          </w:p>
        </w:tc>
        <w:tc>
          <w:tcPr>
            <w:tcW w:w="689" w:type="dxa"/>
            <w:vMerge w:val="continue"/>
            <w:tcBorders>
              <w:top w:val="single" w:color="auto" w:sz="8" w:space="0"/>
              <w:left w:val="nil"/>
              <w:bottom w:val="inset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290EC88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 w14:paraId="09B2929C"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2B264EB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一、本年新收政府信息公开申请数量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55C5C8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C6F133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EBDB6C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1FAF78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7C5E18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1CFD79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2EFBAAA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 w14:paraId="43C960F9"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66C4D15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二、上年结转政府信息公开申请数量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4C698E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F722C0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446F6B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E083E0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A205DC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0888D9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2692BDB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3DCC1A4E">
        <w:trPr>
          <w:jc w:val="center"/>
        </w:trPr>
        <w:tc>
          <w:tcPr>
            <w:tcW w:w="768" w:type="dxa"/>
            <w:vMerge w:val="restart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158371B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三、本年度办理结果</w:t>
            </w: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0E84CAB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（一）予以公开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36E9D8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C03B29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5FA2BA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91FB53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278312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CBB514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3D058EA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31943052"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6851831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0A10FA2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（二）部分公开</w:t>
            </w: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val="en-US" w:eastAsia="zh-CN" w:bidi="ar"/>
              </w:rPr>
              <w:t>（区分处理的，只计这一情形，不计其他情形）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D74332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C97790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0FDD7D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EA4C47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016A6E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21D2D0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17E9CD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69AE0DD0"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5FD6014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2A07D3D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（三）不予公开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114F790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1.属于国家秘密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220A0D8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49F3E35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20825FA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368E844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07FACBA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64654A7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19EF80B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01BD948B"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05B43F1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7489B7A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1B37174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2.其他法律行政法规禁止公开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38F903B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4BF1272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7340D20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39961F7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41150FB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4D60DEE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4193BDB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2839216D"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7DF65A7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5926A64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170E7D8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3.危及“三安全一稳定”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68B655F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797D9FA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125BBD8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35027B5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4C1BDCB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10DB617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052E3FD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7B59840B"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66B4413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235F4A5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4BC9629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4.保护第三方合法权益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52F2271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57DE2E8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0262756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68F83A9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075C5BC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3833372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197F8A9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62E58395"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1CD23A6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48E964E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057959A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5.属于三类内部事务信息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7714B54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1E823BD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0274CF7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2E3CD3C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3B1ABBD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09A26EC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3493849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3EEF6DD9"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723E29D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7229E97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7B0D7D1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6.属于四类过程性信息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3371886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3EF62E6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356DCEE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0E94FB8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051A03D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52DB753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448DE5A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33F2B5E8"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7C8E1C5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7EB7F2D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1E316E5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7.属于行政执法案卷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336618D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685F37F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27FC073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49DB238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24BCC65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4AB24B0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5B40130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322E9537"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7DFFBD3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1A6C2EC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738B311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8.属于行政查询事项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2CC5A5E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18F1FA4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5DC09BC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544B50D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6E5FB4F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32DB182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5CBBA72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61C2EF19"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4EA2BB0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2213679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（四）无法提供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2C8EBC3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1.本机关不掌握相关政府信息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05C211C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303812E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232B000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14E9664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0FF892C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3A61C8B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4D75A52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0042BA9C"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29484FC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20D6ADF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1AABEB3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2.没有现成信息需要另行制作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03C5775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1DF1FBB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145FAEE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4058970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7903E74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10E0716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7994BAC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40A0FFDB"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791FC7B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400FE11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09A8E5F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3.补正后申请内容仍不明确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680962C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0F691D8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3EA0F91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1273180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05D7553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59020BB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343295F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10F55759"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27EFDC4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232781E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（五）不予处理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2C992B4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1.信访举报投诉类申请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2BD5094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25F7932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5A8D3AA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5AB0028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1A5F96A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073AFE0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2EDB0B7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10F642D6"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582CFCB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2B4F76D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1683992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2.重复申请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3AF3B4C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55AA89E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7CB59E7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345DD67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40BF931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4550008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67F341E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09A11D0A"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71368D5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4851FE5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58B578C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3.要求提供公开出版物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46B4B2C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414FE8B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6FFB7D5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76E2022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170A35A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31F6294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4DF1556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2CE4D5E8"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6F3D5C9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6F5D512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0A16C0E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4.无正当理由大量反复申请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01F5F05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41C7331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01B5B50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02E1AD9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1D3D19E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53DC0B6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05031A9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0DBD7038">
        <w:trPr>
          <w:trHeight w:val="779" w:hRule="atLeast"/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2C21785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011EE1F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4C22CA5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5.要求行政机关确认或重新出具已获取信息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508AB1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2E55D7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17BAB5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C3814F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0A1E8B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DF3A28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E5113E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7BDD504C"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64EBFC4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restart"/>
            <w:tcBorders>
              <w:top w:val="inset" w:color="auto" w:sz="8" w:space="0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4FF1243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（六）其他处理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69501D3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1.申请人无正当理由逾期不补正、行政机关不再处理其政府信息公开申请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3389BE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5568CA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C284AE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E4ECA1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2B6E1A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584486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937966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044CA4BD"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4CCD2F6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inset" w:color="auto" w:sz="8" w:space="0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1554383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1E9BC81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2.申请人逾期未按收费通知要求缴纳费用、行政机关不再处理其政府信息公开申请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50F0F5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3AE568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DFD7FF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053AEB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7FB1BE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9D772D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8DFDA6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70D99785"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1FEA3FD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inset" w:color="auto" w:sz="8" w:space="0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50FF5E0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4610E34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3.其他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38C58C2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1471837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3398D7C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5496AED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3DE911C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14B1E34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1E17E1A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305B27B4"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095E316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6234484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（七）总计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0E5DD60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235C891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34CF806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529C331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6E8805C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73F867F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47951EE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31F1D2CF"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14B4183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四、结转下年度继续办理</w:t>
            </w:r>
          </w:p>
        </w:tc>
        <w:tc>
          <w:tcPr>
            <w:tcW w:w="688" w:type="dxa"/>
            <w:tcBorders>
              <w:top w:val="inset" w:color="auto" w:sz="6" w:space="0"/>
              <w:left w:val="nil"/>
              <w:bottom w:val="inset" w:color="auto" w:sz="6" w:space="0"/>
              <w:right w:val="inset" w:color="auto" w:sz="6" w:space="0"/>
            </w:tcBorders>
            <w:shd w:val="clear" w:color="auto" w:fill="auto"/>
            <w:vAlign w:val="top"/>
          </w:tcPr>
          <w:p w14:paraId="22F92B8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Times New Roman" w:eastAsia="宋体" w:cs="宋体"/>
                <w:sz w:val="24"/>
                <w:szCs w:val="24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inset" w:color="auto" w:sz="6" w:space="0"/>
              <w:left w:val="nil"/>
              <w:bottom w:val="inset" w:color="auto" w:sz="6" w:space="0"/>
              <w:right w:val="inset" w:color="auto" w:sz="6" w:space="0"/>
            </w:tcBorders>
            <w:shd w:val="clear" w:color="auto" w:fill="auto"/>
            <w:vAlign w:val="top"/>
          </w:tcPr>
          <w:p w14:paraId="794000A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Times New Roman" w:eastAsia="宋体" w:cs="宋体"/>
                <w:sz w:val="24"/>
                <w:szCs w:val="24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inset" w:color="auto" w:sz="6" w:space="0"/>
              <w:left w:val="nil"/>
              <w:bottom w:val="inset" w:color="auto" w:sz="6" w:space="0"/>
              <w:right w:val="inset" w:color="auto" w:sz="6" w:space="0"/>
            </w:tcBorders>
            <w:shd w:val="clear" w:color="auto" w:fill="auto"/>
            <w:vAlign w:val="top"/>
          </w:tcPr>
          <w:p w14:paraId="1FC0E10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Times New Roman" w:eastAsia="宋体" w:cs="宋体"/>
                <w:sz w:val="24"/>
                <w:szCs w:val="24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inset" w:color="auto" w:sz="6" w:space="0"/>
              <w:left w:val="nil"/>
              <w:bottom w:val="inset" w:color="auto" w:sz="6" w:space="0"/>
              <w:right w:val="inset" w:color="auto" w:sz="6" w:space="0"/>
            </w:tcBorders>
            <w:shd w:val="clear" w:color="auto" w:fill="auto"/>
            <w:vAlign w:val="top"/>
          </w:tcPr>
          <w:p w14:paraId="4F24BEA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Times New Roman" w:eastAsia="宋体" w:cs="宋体"/>
                <w:sz w:val="24"/>
                <w:szCs w:val="24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inset" w:color="auto" w:sz="6" w:space="0"/>
              <w:left w:val="nil"/>
              <w:bottom w:val="inset" w:color="auto" w:sz="6" w:space="0"/>
              <w:right w:val="inset" w:color="auto" w:sz="6" w:space="0"/>
            </w:tcBorders>
            <w:shd w:val="clear" w:color="auto" w:fill="auto"/>
            <w:vAlign w:val="top"/>
          </w:tcPr>
          <w:p w14:paraId="00DA3EA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Times New Roman" w:eastAsia="宋体" w:cs="宋体"/>
                <w:sz w:val="24"/>
                <w:szCs w:val="24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inset" w:color="auto" w:sz="6" w:space="0"/>
              <w:left w:val="nil"/>
              <w:bottom w:val="inset" w:color="auto" w:sz="6" w:space="0"/>
              <w:right w:val="inset" w:color="auto" w:sz="6" w:space="0"/>
            </w:tcBorders>
            <w:shd w:val="clear" w:color="auto" w:fill="auto"/>
            <w:vAlign w:val="top"/>
          </w:tcPr>
          <w:p w14:paraId="5D2414F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Times New Roman" w:eastAsia="宋体" w:cs="宋体"/>
                <w:sz w:val="24"/>
                <w:szCs w:val="24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inset" w:color="auto" w:sz="6" w:space="0"/>
              <w:left w:val="nil"/>
              <w:bottom w:val="inset" w:color="auto" w:sz="6" w:space="0"/>
              <w:right w:val="inset" w:color="auto" w:sz="6" w:space="0"/>
            </w:tcBorders>
            <w:shd w:val="clear" w:color="auto" w:fill="auto"/>
            <w:vAlign w:val="top"/>
          </w:tcPr>
          <w:p w14:paraId="4B35CD9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Times New Roman" w:eastAsia="宋体" w:cs="宋体"/>
                <w:sz w:val="24"/>
                <w:szCs w:val="24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</w:tbl>
    <w:p w14:paraId="20713C2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</w:pPr>
      <w:r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  <w:t>四、政府信息公开行政复议、行政诉讼情况</w:t>
      </w:r>
    </w:p>
    <w:tbl>
      <w:tblPr>
        <w:tblStyle w:val="5"/>
        <w:tblW w:w="974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9"/>
        <w:gridCol w:w="649"/>
        <w:gridCol w:w="649"/>
        <w:gridCol w:w="649"/>
        <w:gridCol w:w="649"/>
        <w:gridCol w:w="649"/>
        <w:gridCol w:w="649"/>
        <w:gridCol w:w="650"/>
        <w:gridCol w:w="650"/>
        <w:gridCol w:w="650"/>
        <w:gridCol w:w="651"/>
        <w:gridCol w:w="651"/>
        <w:gridCol w:w="651"/>
        <w:gridCol w:w="651"/>
        <w:gridCol w:w="651"/>
      </w:tblGrid>
      <w:tr w14:paraId="6C0278C4">
        <w:trPr>
          <w:trHeight w:val="547" w:hRule="atLeast"/>
          <w:jc w:val="center"/>
        </w:trPr>
        <w:tc>
          <w:tcPr>
            <w:tcW w:w="324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108" w:type="dxa"/>
              <w:right w:w="108" w:type="dxa"/>
            </w:tcMar>
            <w:vAlign w:val="center"/>
          </w:tcPr>
          <w:p w14:paraId="4CE2DE3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行政复议</w:t>
            </w:r>
          </w:p>
        </w:tc>
        <w:tc>
          <w:tcPr>
            <w:tcW w:w="6503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108" w:type="dxa"/>
              <w:right w:w="108" w:type="dxa"/>
            </w:tcMar>
            <w:vAlign w:val="center"/>
          </w:tcPr>
          <w:p w14:paraId="0133212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行政诉讼</w:t>
            </w:r>
          </w:p>
        </w:tc>
      </w:tr>
      <w:tr w14:paraId="3291A275">
        <w:trPr>
          <w:trHeight w:val="582" w:hRule="atLeast"/>
          <w:jc w:val="center"/>
        </w:trPr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1B469D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结果维持</w:t>
            </w:r>
          </w:p>
        </w:tc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525F79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纠正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7BCEA2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其他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6424C5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尚未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审结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A2D039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  <w:tc>
          <w:tcPr>
            <w:tcW w:w="324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108" w:type="dxa"/>
              <w:right w:w="108" w:type="dxa"/>
            </w:tcMar>
            <w:vAlign w:val="center"/>
          </w:tcPr>
          <w:p w14:paraId="3294DDD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未经复议直接起诉</w:t>
            </w:r>
          </w:p>
        </w:tc>
        <w:tc>
          <w:tcPr>
            <w:tcW w:w="325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108" w:type="dxa"/>
              <w:right w:w="108" w:type="dxa"/>
            </w:tcMar>
            <w:vAlign w:val="center"/>
          </w:tcPr>
          <w:p w14:paraId="54FB6C7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复议后起诉</w:t>
            </w:r>
          </w:p>
        </w:tc>
      </w:tr>
      <w:tr w14:paraId="3C330FF9">
        <w:trPr>
          <w:trHeight w:val="714" w:hRule="atLeast"/>
          <w:jc w:val="center"/>
        </w:trPr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D26516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A6392E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AC8C61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5D23F5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53B3CE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76835F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维持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BF250A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纠正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15B5FC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其他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D182FB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尚未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审结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4D552D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A2FC57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维持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8D2EAE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纠正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B0A893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其他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A7D575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尚未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审结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D1F33B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</w:tr>
      <w:tr w14:paraId="4729E34D">
        <w:trPr>
          <w:trHeight w:val="672" w:hRule="atLeast"/>
          <w:jc w:val="center"/>
        </w:trPr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B803A3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BF31AC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9A8A4A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1F5D5D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F3BC32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BC2CAF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F93646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E9D85E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7606D5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B2E6A3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9B8C8E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8E0AD4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4D6FC7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648230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57C432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</w:tbl>
    <w:p w14:paraId="12F3858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</w:pPr>
      <w:r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  <w:t>五、存在的主要问题及改进情况</w:t>
      </w:r>
    </w:p>
    <w:p w14:paraId="06799157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672" w:firstLineChars="200"/>
        <w:jc w:val="both"/>
        <w:textAlignment w:val="auto"/>
        <w:outlineLvl w:val="9"/>
        <w:rPr>
          <w:rFonts w:hint="eastAsia" w:ascii="楷体" w:hAnsi="楷体" w:eastAsia="楷体" w:cs="楷体"/>
          <w:b w:val="0"/>
          <w:bCs w:val="0"/>
          <w:spacing w:val="8"/>
          <w:kern w:val="0"/>
          <w:sz w:val="32"/>
          <w:szCs w:val="32"/>
          <w:lang w:val="en-US" w:eastAsia="zh-CN" w:bidi="ar"/>
        </w:rPr>
      </w:pPr>
      <w:r>
        <w:rPr>
          <w:rFonts w:hint="eastAsia" w:ascii="楷体" w:hAnsi="楷体" w:eastAsia="楷体" w:cs="楷体"/>
          <w:b w:val="0"/>
          <w:bCs w:val="0"/>
          <w:spacing w:val="8"/>
          <w:kern w:val="0"/>
          <w:sz w:val="32"/>
          <w:szCs w:val="32"/>
          <w:lang w:val="en-US" w:eastAsia="zh-CN" w:bidi="ar"/>
        </w:rPr>
        <w:t>（一）存在的主要问题</w:t>
      </w:r>
    </w:p>
    <w:p w14:paraId="73558EA7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一是在政策掌握和宣传上力度不够大。</w:t>
      </w:r>
    </w:p>
    <w:p w14:paraId="6F04785C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二是主动公开、依申请公开政府信息的意识有待进一步加强;政府信息资源的规范化、电子化管理水平有待进一步提升。</w:t>
      </w:r>
    </w:p>
    <w:p w14:paraId="27B73AC3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672" w:firstLineChars="200"/>
        <w:jc w:val="both"/>
        <w:textAlignment w:val="auto"/>
        <w:outlineLvl w:val="9"/>
        <w:rPr>
          <w:rFonts w:hint="eastAsia" w:ascii="楷体" w:hAnsi="楷体" w:eastAsia="楷体" w:cs="楷体"/>
          <w:b w:val="0"/>
          <w:bCs w:val="0"/>
          <w:spacing w:val="8"/>
          <w:kern w:val="0"/>
          <w:sz w:val="32"/>
          <w:szCs w:val="32"/>
          <w:lang w:val="en-US" w:eastAsia="zh-CN" w:bidi="ar"/>
        </w:rPr>
      </w:pPr>
      <w:r>
        <w:rPr>
          <w:rFonts w:hint="eastAsia" w:ascii="楷体" w:hAnsi="楷体" w:eastAsia="楷体" w:cs="楷体"/>
          <w:b w:val="0"/>
          <w:bCs w:val="0"/>
          <w:spacing w:val="8"/>
          <w:kern w:val="0"/>
          <w:sz w:val="32"/>
          <w:szCs w:val="32"/>
          <w:lang w:val="en-US" w:eastAsia="zh-CN" w:bidi="ar"/>
        </w:rPr>
        <w:t>（二）改进措施</w:t>
      </w:r>
    </w:p>
    <w:p w14:paraId="6CF7AA3E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一是协助基层乡镇村加大新政策的宣传报道，增加宣传渠道和宣传途径，不断提升群众的知情权；</w:t>
      </w:r>
    </w:p>
    <w:p w14:paraId="11061C74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二是完善信息公开制度。组织相关人员认真学习依申请公开法律法规，进一步细化和完善登记、传阅、办理、答复、寄送、归档的工作流程，按照“一申请建一档”的要求，所有材料全部归档，以备核查。</w:t>
      </w:r>
    </w:p>
    <w:p w14:paraId="36A9A5A5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三是拓宽深度广度。进一步增强政府信息公开工作的透明度，拓宽政府信息公开的广度和深度。</w:t>
      </w:r>
    </w:p>
    <w:p w14:paraId="3614F4B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</w:pPr>
      <w:r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  <w:t>六、其他需要报告的事项</w:t>
      </w:r>
    </w:p>
    <w:p w14:paraId="14B8C092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根据《政府信息公开信息处理费管理办法》(国办函〔2020〕109号)，2024年度门头沟区体育局收取信息处理费情况为：2024年发出收费通知的件数0件，总金额0元。实际收取的总金额0元。</w:t>
      </w:r>
    </w:p>
    <w:p w14:paraId="34CE44AD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 xml:space="preserve"> 北京市门头沟区人民政府网站网址为https://www.bjmtg.gov.cn/，如需了解更多政府信息，请登录查询。</w:t>
      </w:r>
    </w:p>
    <w:p w14:paraId="0A6B2104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503050405090304"/>
    <w:charset w:val="86"/>
    <w:family w:val="auto"/>
    <w:pitch w:val="default"/>
    <w:sig w:usb0="E0000AFF" w:usb1="00007843" w:usb2="00000001" w:usb3="00000000" w:csb0="400001BF" w:csb1="DFF7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微软雅黑">
    <w:altName w:val="汉仪旗黑"/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altName w:val="汉仪楷体KW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旗黑">
    <w:panose1 w:val="00020600040101010101"/>
    <w:charset w:val="86"/>
    <w:family w:val="auto"/>
    <w:pitch w:val="default"/>
    <w:sig w:usb0="A00002BF" w:usb1="1ACF7CFA" w:usb2="00000016" w:usb3="00000000" w:csb0="0004009F" w:csb1="DFD7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楷体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A4A3317"/>
    <w:rsid w:val="0A314DF2"/>
    <w:rsid w:val="10260786"/>
    <w:rsid w:val="1A4A3317"/>
    <w:rsid w:val="280C7196"/>
    <w:rsid w:val="32F42783"/>
    <w:rsid w:val="3575267B"/>
    <w:rsid w:val="3F41749F"/>
    <w:rsid w:val="3F77747E"/>
    <w:rsid w:val="419F32C6"/>
    <w:rsid w:val="42557401"/>
    <w:rsid w:val="458C7688"/>
    <w:rsid w:val="505718C6"/>
    <w:rsid w:val="5F72366E"/>
    <w:rsid w:val="6A881905"/>
    <w:rsid w:val="6EC41485"/>
    <w:rsid w:val="76A07385"/>
    <w:rsid w:val="77583F90"/>
    <w:rsid w:val="79232871"/>
    <w:rsid w:val="7F2F58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/>
      <w:jc w:val="both"/>
    </w:pPr>
    <w:rPr>
      <w:rFonts w:hint="eastAsia" w:ascii="等线" w:hAnsi="Courier New" w:eastAsia="等线" w:cs="Courier New"/>
      <w:kern w:val="2"/>
      <w:sz w:val="21"/>
      <w:szCs w:val="24"/>
      <w:lang w:val="en-US" w:eastAsia="zh-CN" w:bidi="ar"/>
    </w:rPr>
  </w:style>
  <w:style w:type="paragraph" w:styleId="3">
    <w:name w:val="annotation text"/>
    <w:basedOn w:val="1"/>
    <w:qFormat/>
    <w:uiPriority w:val="0"/>
    <w:pPr>
      <w:jc w:val="left"/>
    </w:p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1800</Words>
  <Characters>1870</Characters>
  <Lines>0</Lines>
  <Paragraphs>0</Paragraphs>
  <TotalTime>0</TotalTime>
  <ScaleCrop>false</ScaleCrop>
  <LinksUpToDate>false</LinksUpToDate>
  <CharactersWithSpaces>1877</CharactersWithSpaces>
  <Application>WPS Office_6.15.1.8935_F1E327BC-269C-435d-A152-05C5408002CA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2025-01-07T11:04:00Z</dcterms:created>
  <dc:creator>连昊</dc:creator>
  <cp:lastModifiedBy>WPS_1642748625</cp:lastModifiedBy>
  <dcterms:modified xsi:type="dcterms:W3CDTF">2025-01-23T16:40:18Z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2052-6.15.1.8935</vt:lpwstr>
  </property>
  <property fmtid="{D5CDD505-2E9C-101B-9397-08002B2CF9AE}" pid="3" name="ICV">
    <vt:lpwstr>C0FD0486E5B9497CB29E6A6EE37A41BF_13</vt:lpwstr>
  </property>
  <property fmtid="{D5CDD505-2E9C-101B-9397-08002B2CF9AE}" pid="4" name="KSOTemplateDocerSaveRecord">
    <vt:lpwstr>eyJoZGlkIjoiMDdmNjUwM2Y1NDNmOWE2YzU2MTgyNGU5OGRlNTRlMDciLCJ1c2VySWQiOiIxNDYxNjAxNCJ9</vt:lpwstr>
  </property>
</Properties>
</file>