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方正小标宋简体" w:eastAsia="方正小标宋简体" w:cs="方正小标宋简体"/>
          <w:sz w:val="44"/>
          <w:szCs w:val="44"/>
          <w:highlight w:val="none"/>
        </w:rPr>
      </w:pPr>
    </w:p>
    <w:p>
      <w:pPr>
        <w:spacing w:line="560" w:lineRule="exact"/>
        <w:jc w:val="center"/>
        <w:rPr>
          <w:rFonts w:hint="eastAsia" w:ascii="方正小标宋简体" w:hAnsi="方正小标宋简体" w:eastAsia="方正小标宋简体" w:cs="方正小标宋简体"/>
          <w:sz w:val="44"/>
          <w:szCs w:val="44"/>
          <w:highlight w:val="none"/>
          <w:lang w:eastAsia="zh-CN"/>
        </w:rPr>
      </w:pPr>
      <w:r>
        <w:rPr>
          <w:rFonts w:hint="eastAsia" w:ascii="方正小标宋简体" w:hAnsi="方正小标宋简体" w:eastAsia="方正小标宋简体" w:cs="方正小标宋简体"/>
          <w:sz w:val="44"/>
          <w:szCs w:val="44"/>
          <w:highlight w:val="none"/>
          <w:lang w:eastAsia="zh-CN"/>
        </w:rPr>
        <w:t>北京市门头沟区水务局</w:t>
      </w:r>
    </w:p>
    <w:p>
      <w:pPr>
        <w:spacing w:line="560" w:lineRule="exact"/>
        <w:jc w:val="center"/>
        <w:rPr>
          <w:rFonts w:hint="eastAsia" w:ascii="方正小标宋简体" w:hAnsi="方正小标宋简体" w:eastAsia="方正小标宋简体" w:cs="方正小标宋简体"/>
          <w:sz w:val="44"/>
          <w:szCs w:val="44"/>
          <w:highlight w:val="none"/>
          <w:lang w:eastAsia="zh-CN"/>
        </w:rPr>
      </w:pPr>
      <w:r>
        <w:rPr>
          <w:rFonts w:hint="eastAsia" w:ascii="方正小标宋简体" w:hAnsi="方正小标宋简体" w:eastAsia="方正小标宋简体" w:cs="方正小标宋简体"/>
          <w:sz w:val="44"/>
          <w:szCs w:val="44"/>
          <w:highlight w:val="none"/>
        </w:rPr>
        <w:t>202</w:t>
      </w:r>
      <w:r>
        <w:rPr>
          <w:rFonts w:hint="eastAsia" w:ascii="方正小标宋简体" w:hAnsi="方正小标宋简体" w:eastAsia="方正小标宋简体" w:cs="方正小标宋简体"/>
          <w:sz w:val="44"/>
          <w:szCs w:val="44"/>
          <w:highlight w:val="none"/>
          <w:lang w:val="en-US" w:eastAsia="zh-CN"/>
        </w:rPr>
        <w:t>3</w:t>
      </w:r>
      <w:r>
        <w:rPr>
          <w:rFonts w:hint="eastAsia" w:ascii="方正小标宋简体" w:hAnsi="方正小标宋简体" w:eastAsia="方正小标宋简体" w:cs="方正小标宋简体"/>
          <w:sz w:val="44"/>
          <w:szCs w:val="44"/>
          <w:highlight w:val="none"/>
        </w:rPr>
        <w:t>年政府信息公开工作年度报告</w:t>
      </w:r>
    </w:p>
    <w:p>
      <w:pPr>
        <w:spacing w:line="560" w:lineRule="exact"/>
        <w:jc w:val="center"/>
        <w:rPr>
          <w:sz w:val="44"/>
          <w:szCs w:val="44"/>
        </w:rPr>
      </w:pPr>
      <w:r>
        <w:rPr>
          <w:rFonts w:hint="eastAsia" w:ascii="微软雅黑" w:hAnsi="微软雅黑" w:eastAsia="微软雅黑" w:cs="宋体"/>
          <w:color w:val="404040"/>
          <w:kern w:val="0"/>
          <w:sz w:val="24"/>
          <w:highlight w:val="none"/>
        </w:rPr>
        <w:t>　</w:t>
      </w:r>
      <w:r>
        <w:rPr>
          <w:rFonts w:hint="eastAsia" w:ascii="微软雅黑" w:hAnsi="微软雅黑" w:eastAsia="微软雅黑" w:cs="宋体"/>
          <w:color w:val="404040"/>
          <w:kern w:val="0"/>
          <w:sz w:val="32"/>
          <w:szCs w:val="32"/>
          <w:highlight w:val="none"/>
        </w:rPr>
        <w:t xml:space="preserve"> </w:t>
      </w:r>
      <w:r>
        <w:rPr>
          <w:rFonts w:ascii="微软雅黑" w:hAnsi="微软雅黑" w:eastAsia="微软雅黑" w:cs="宋体"/>
          <w:color w:val="404040"/>
          <w:kern w:val="0"/>
          <w:sz w:val="32"/>
          <w:szCs w:val="32"/>
          <w:highlight w:val="none"/>
        </w:rPr>
        <w:t xml:space="preserve"> </w:t>
      </w:r>
    </w:p>
    <w:p>
      <w:pPr>
        <w:widowControl/>
        <w:spacing w:line="560" w:lineRule="exact"/>
        <w:jc w:val="left"/>
        <w:rPr>
          <w:rFonts w:hint="eastAsia" w:ascii="仿宋_GB2312" w:hAnsi="宋体" w:eastAsia="仿宋_GB2312" w:cs="宋体"/>
          <w:spacing w:val="8"/>
          <w:kern w:val="0"/>
          <w:sz w:val="32"/>
          <w:szCs w:val="32"/>
        </w:rPr>
      </w:pPr>
      <w:r>
        <w:rPr>
          <w:rFonts w:hint="eastAsia" w:ascii="微软雅黑" w:hAnsi="微软雅黑" w:eastAsia="微软雅黑" w:cs="宋体"/>
          <w:color w:val="404040"/>
          <w:kern w:val="0"/>
          <w:sz w:val="24"/>
        </w:rPr>
        <w:t>　　</w:t>
      </w:r>
      <w:r>
        <w:rPr>
          <w:rFonts w:hint="eastAsia" w:ascii="微软雅黑" w:hAnsi="微软雅黑" w:eastAsia="微软雅黑" w:cs="宋体"/>
          <w:color w:val="404040"/>
          <w:kern w:val="0"/>
          <w:sz w:val="32"/>
          <w:szCs w:val="32"/>
        </w:rPr>
        <w:t xml:space="preserve"> </w:t>
      </w:r>
      <w:r>
        <w:rPr>
          <w:rFonts w:ascii="微软雅黑" w:hAnsi="微软雅黑" w:eastAsia="微软雅黑" w:cs="宋体"/>
          <w:color w:val="404040"/>
          <w:kern w:val="0"/>
          <w:sz w:val="32"/>
          <w:szCs w:val="32"/>
        </w:rPr>
        <w:t xml:space="preserve">  </w:t>
      </w:r>
      <w:r>
        <w:rPr>
          <w:rFonts w:hint="eastAsia" w:ascii="仿宋_GB2312" w:hAnsi="宋体" w:eastAsia="仿宋_GB2312" w:cs="宋体"/>
          <w:spacing w:val="8"/>
          <w:kern w:val="0"/>
          <w:sz w:val="32"/>
          <w:szCs w:val="32"/>
        </w:rPr>
        <w:t>依据《中华人民共和国政府信息公开条例》(以下简称《政府信息公开条例》)第五十条规定，编制本报告。</w:t>
      </w:r>
    </w:p>
    <w:p>
      <w:pPr>
        <w:widowControl/>
        <w:spacing w:line="560" w:lineRule="exact"/>
        <w:ind w:firstLine="672" w:firstLineChars="200"/>
        <w:jc w:val="left"/>
        <w:rPr>
          <w:rFonts w:ascii="黑体" w:hAnsi="黑体" w:eastAsia="黑体" w:cs="宋体"/>
          <w:spacing w:val="8"/>
          <w:kern w:val="0"/>
          <w:sz w:val="32"/>
          <w:szCs w:val="32"/>
        </w:rPr>
      </w:pPr>
      <w:r>
        <w:rPr>
          <w:rFonts w:ascii="黑体" w:hAnsi="黑体" w:eastAsia="黑体" w:cs="宋体"/>
          <w:spacing w:val="8"/>
          <w:kern w:val="0"/>
          <w:sz w:val="32"/>
          <w:szCs w:val="32"/>
        </w:rPr>
        <w:t>一、总体情况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leftChars="0" w:right="0" w:rightChars="0" w:firstLine="640" w:firstLineChars="0"/>
        <w:jc w:val="both"/>
        <w:textAlignment w:val="auto"/>
        <w:outlineLvl w:val="9"/>
        <w:rPr>
          <w:rFonts w:hint="eastAsia" w:ascii="楷体_GB2312" w:hAnsi="楷体_GB2312" w:eastAsia="楷体_GB2312" w:cs="楷体_GB2312"/>
          <w:spacing w:val="8"/>
          <w:kern w:val="0"/>
          <w:sz w:val="32"/>
          <w:szCs w:val="32"/>
        </w:rPr>
      </w:pPr>
      <w:r>
        <w:rPr>
          <w:rFonts w:hint="eastAsia" w:ascii="楷体_GB2312" w:hAnsi="楷体_GB2312" w:eastAsia="楷体_GB2312" w:cs="楷体_GB2312"/>
          <w:spacing w:val="8"/>
          <w:kern w:val="0"/>
          <w:sz w:val="32"/>
          <w:szCs w:val="32"/>
          <w:lang w:val="en-US" w:eastAsia="zh-CN"/>
        </w:rPr>
        <w:t>1.主动公开情况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right="0" w:rightChars="0" w:firstLine="672" w:firstLineChars="200"/>
        <w:jc w:val="both"/>
        <w:textAlignment w:val="auto"/>
        <w:outlineLvl w:val="9"/>
        <w:rPr>
          <w:rFonts w:hint="eastAsia" w:ascii="仿宋_GB2312" w:hAnsi="宋体" w:eastAsia="仿宋_GB2312" w:cs="宋体"/>
          <w:spacing w:val="8"/>
          <w:kern w:val="0"/>
          <w:sz w:val="32"/>
          <w:szCs w:val="32"/>
        </w:rPr>
      </w:pPr>
      <w:r>
        <w:rPr>
          <w:rFonts w:hint="eastAsia" w:ascii="仿宋_GB2312" w:hAnsi="宋体" w:eastAsia="仿宋_GB2312" w:cs="宋体"/>
          <w:spacing w:val="8"/>
          <w:kern w:val="0"/>
          <w:sz w:val="32"/>
          <w:szCs w:val="32"/>
          <w:lang w:val="en-US" w:eastAsia="zh-CN"/>
        </w:rPr>
        <w:t>我局严格对照本单位编制发布的政府信息主动公开全清单，大力推进水务领域政府信息公开工作，确保及时准确公开相关信息，切实保障人民群众的知情权、参与权、监督权和表达权。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leftChars="0" w:right="0" w:rightChars="0" w:firstLine="640" w:firstLineChars="0"/>
        <w:jc w:val="both"/>
        <w:textAlignment w:val="auto"/>
        <w:outlineLvl w:val="9"/>
        <w:rPr>
          <w:rFonts w:hint="eastAsia" w:ascii="仿宋_GB2312" w:hAnsi="宋体" w:eastAsia="仿宋_GB2312" w:cs="宋体"/>
          <w:spacing w:val="8"/>
          <w:kern w:val="0"/>
          <w:sz w:val="32"/>
          <w:szCs w:val="32"/>
        </w:rPr>
      </w:pPr>
      <w:r>
        <w:rPr>
          <w:rFonts w:hint="eastAsia" w:ascii="仿宋_GB2312" w:hAnsi="宋体" w:eastAsia="仿宋_GB2312" w:cs="宋体"/>
          <w:spacing w:val="8"/>
          <w:kern w:val="0"/>
          <w:sz w:val="32"/>
          <w:szCs w:val="32"/>
          <w:lang w:val="en-US" w:eastAsia="zh-CN"/>
        </w:rPr>
        <w:t>本单位政府信息公开指南已及时公开，指南中主动公开和依申请公开方式、救济渠道均正确；本单位机构设置、领导介绍等信息均已及时更新；针对我局承担的重点领域信息公开任务，已梳理</w:t>
      </w:r>
      <w:r>
        <w:rPr>
          <w:rFonts w:hint="eastAsia" w:ascii="仿宋_GB2312" w:hAnsi="宋体" w:eastAsia="仿宋_GB2312" w:cs="宋体"/>
          <w:color w:val="auto"/>
          <w:spacing w:val="8"/>
          <w:kern w:val="0"/>
          <w:sz w:val="32"/>
          <w:szCs w:val="32"/>
          <w:lang w:val="en-US" w:eastAsia="zh-CN"/>
        </w:rPr>
        <w:t>2023年行政职权事项清单，</w:t>
      </w:r>
      <w:r>
        <w:rPr>
          <w:rFonts w:hint="eastAsia" w:ascii="仿宋_GB2312" w:hAnsi="宋体" w:eastAsia="仿宋_GB2312" w:cs="宋体"/>
          <w:spacing w:val="8"/>
          <w:kern w:val="0"/>
          <w:sz w:val="32"/>
          <w:szCs w:val="32"/>
          <w:lang w:val="en-US" w:eastAsia="zh-CN"/>
        </w:rPr>
        <w:t>及时更新2022年预决算和2023年预算信息、各类价格收费政策文件、涉及行政审批中介服务项目等内容，按季度及时公示更新行政检查结果、双随机抽查结果。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leftChars="0" w:right="0" w:rightChars="0" w:firstLine="640" w:firstLineChars="0"/>
        <w:jc w:val="both"/>
        <w:textAlignment w:val="auto"/>
        <w:outlineLvl w:val="9"/>
        <w:rPr>
          <w:rFonts w:hint="eastAsia" w:ascii="仿宋_GB2312" w:hAnsi="宋体" w:eastAsia="仿宋_GB2312" w:cs="宋体"/>
          <w:spacing w:val="8"/>
          <w:kern w:val="0"/>
          <w:sz w:val="32"/>
          <w:szCs w:val="32"/>
        </w:rPr>
      </w:pPr>
      <w:r>
        <w:rPr>
          <w:rFonts w:hint="eastAsia" w:ascii="仿宋_GB2312" w:hAnsi="宋体" w:eastAsia="仿宋_GB2312" w:cs="宋体"/>
          <w:spacing w:val="8"/>
          <w:kern w:val="0"/>
          <w:sz w:val="32"/>
          <w:szCs w:val="32"/>
          <w:lang w:val="en-US" w:eastAsia="zh-CN"/>
        </w:rPr>
        <w:t>2023年我局主动公开各类水务信息。其中，主动公开政府信息数1368条。包括微信公众号公开政府信息数1272条，门户网站公开部门动态40条，</w:t>
      </w:r>
      <w:r>
        <w:rPr>
          <w:rFonts w:hint="eastAsia" w:ascii="仿宋_GB2312" w:hAnsi="宋体" w:eastAsia="仿宋_GB2312" w:cs="宋体"/>
          <w:color w:val="auto"/>
          <w:spacing w:val="8"/>
          <w:kern w:val="0"/>
          <w:sz w:val="32"/>
          <w:szCs w:val="32"/>
          <w:lang w:val="en-US" w:eastAsia="zh-CN"/>
        </w:rPr>
        <w:t>重点领域公开政府信息数6条，</w:t>
      </w:r>
      <w:r>
        <w:rPr>
          <w:rFonts w:hint="eastAsia" w:ascii="仿宋_GB2312" w:hAnsi="宋体" w:eastAsia="仿宋_GB2312" w:cs="宋体"/>
          <w:spacing w:val="8"/>
          <w:kern w:val="0"/>
          <w:sz w:val="32"/>
          <w:szCs w:val="32"/>
          <w:lang w:val="en-US" w:eastAsia="zh-CN"/>
        </w:rPr>
        <w:t>主动公开财政预算决算、“三公经费”和行政经费信息数4</w:t>
      </w:r>
      <w:r>
        <w:rPr>
          <w:rFonts w:hint="eastAsia" w:ascii="仿宋_GB2312" w:hAnsi="宋体" w:eastAsia="仿宋_GB2312" w:cs="宋体"/>
          <w:color w:val="auto"/>
          <w:spacing w:val="8"/>
          <w:kern w:val="0"/>
          <w:sz w:val="32"/>
          <w:szCs w:val="32"/>
          <w:lang w:val="en-US" w:eastAsia="zh-CN"/>
        </w:rPr>
        <w:t>条，工程招标信息公开46条，其他（更正、终止）信息0条。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leftChars="0" w:right="0" w:rightChars="0" w:firstLine="640" w:firstLineChars="0"/>
        <w:jc w:val="both"/>
        <w:textAlignment w:val="auto"/>
        <w:outlineLvl w:val="9"/>
        <w:rPr>
          <w:rFonts w:hint="eastAsia" w:ascii="楷体_GB2312" w:hAnsi="楷体_GB2312" w:eastAsia="楷体_GB2312" w:cs="楷体_GB2312"/>
          <w:spacing w:val="8"/>
          <w:kern w:val="0"/>
          <w:sz w:val="32"/>
          <w:szCs w:val="32"/>
          <w:lang w:val="en-US" w:eastAsia="zh-CN"/>
        </w:rPr>
      </w:pPr>
      <w:r>
        <w:rPr>
          <w:rFonts w:hint="eastAsia" w:ascii="楷体_GB2312" w:hAnsi="楷体_GB2312" w:eastAsia="楷体_GB2312" w:cs="楷体_GB2312"/>
          <w:spacing w:val="8"/>
          <w:kern w:val="0"/>
          <w:sz w:val="32"/>
          <w:szCs w:val="32"/>
          <w:lang w:val="en-US" w:eastAsia="zh-CN"/>
        </w:rPr>
        <w:t>2.依申请公开办理情况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right="0" w:rightChars="0" w:firstLine="480"/>
        <w:jc w:val="both"/>
        <w:textAlignment w:val="auto"/>
        <w:outlineLvl w:val="9"/>
        <w:rPr>
          <w:rFonts w:hint="eastAsia" w:ascii="仿宋_GB2312" w:hAnsi="宋体" w:eastAsia="仿宋_GB2312" w:cs="宋体"/>
          <w:spacing w:val="8"/>
          <w:kern w:val="0"/>
          <w:sz w:val="32"/>
          <w:szCs w:val="32"/>
        </w:rPr>
      </w:pPr>
      <w:r>
        <w:rPr>
          <w:rFonts w:hint="eastAsia" w:ascii="仿宋_GB2312" w:hAnsi="宋体" w:eastAsia="仿宋_GB2312" w:cs="宋体"/>
          <w:spacing w:val="8"/>
          <w:kern w:val="0"/>
          <w:sz w:val="32"/>
          <w:szCs w:val="32"/>
          <w:lang w:val="en-US" w:eastAsia="zh-CN"/>
        </w:rPr>
        <w:t>（1）申请情况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leftChars="0" w:right="0" w:rightChars="0" w:firstLine="640" w:firstLineChars="0"/>
        <w:jc w:val="both"/>
        <w:textAlignment w:val="auto"/>
        <w:outlineLvl w:val="9"/>
        <w:rPr>
          <w:rFonts w:hint="eastAsia" w:ascii="仿宋_GB2312" w:hAnsi="宋体" w:eastAsia="仿宋_GB2312" w:cs="宋体"/>
          <w:spacing w:val="8"/>
          <w:kern w:val="0"/>
          <w:sz w:val="32"/>
          <w:szCs w:val="32"/>
        </w:rPr>
      </w:pPr>
      <w:r>
        <w:rPr>
          <w:rFonts w:hint="eastAsia" w:ascii="仿宋_GB2312" w:hAnsi="宋体" w:eastAsia="仿宋_GB2312" w:cs="宋体"/>
          <w:spacing w:val="8"/>
          <w:kern w:val="0"/>
          <w:sz w:val="32"/>
          <w:szCs w:val="32"/>
          <w:lang w:val="en-US" w:eastAsia="zh-CN"/>
        </w:rPr>
        <w:t>本单位2023年度受理政府信息</w:t>
      </w:r>
      <w:r>
        <w:rPr>
          <w:rFonts w:hint="eastAsia" w:ascii="仿宋_GB2312" w:hAnsi="宋体" w:eastAsia="仿宋_GB2312" w:cs="宋体"/>
          <w:color w:val="auto"/>
          <w:spacing w:val="8"/>
          <w:kern w:val="0"/>
          <w:sz w:val="32"/>
          <w:szCs w:val="32"/>
          <w:lang w:val="en-US" w:eastAsia="zh-CN"/>
        </w:rPr>
        <w:t>公开申请9件。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right="0" w:rightChars="0" w:firstLine="480"/>
        <w:jc w:val="both"/>
        <w:textAlignment w:val="auto"/>
        <w:outlineLvl w:val="9"/>
        <w:rPr>
          <w:rFonts w:hint="eastAsia" w:ascii="仿宋_GB2312" w:hAnsi="宋体" w:eastAsia="仿宋_GB2312" w:cs="宋体"/>
          <w:spacing w:val="8"/>
          <w:kern w:val="0"/>
          <w:sz w:val="32"/>
          <w:szCs w:val="32"/>
        </w:rPr>
      </w:pPr>
      <w:r>
        <w:rPr>
          <w:rFonts w:hint="eastAsia" w:ascii="仿宋_GB2312" w:hAnsi="宋体" w:eastAsia="仿宋_GB2312" w:cs="宋体"/>
          <w:spacing w:val="8"/>
          <w:kern w:val="0"/>
          <w:sz w:val="32"/>
          <w:szCs w:val="32"/>
          <w:lang w:val="en-US" w:eastAsia="zh-CN"/>
        </w:rPr>
        <w:t>（2）答复情况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leftChars="0" w:right="0" w:rightChars="0" w:firstLine="640" w:firstLineChars="0"/>
        <w:jc w:val="both"/>
        <w:textAlignment w:val="auto"/>
        <w:outlineLvl w:val="9"/>
        <w:rPr>
          <w:rFonts w:hint="eastAsia" w:ascii="仿宋_GB2312" w:hAnsi="宋体" w:eastAsia="仿宋_GB2312" w:cs="宋体"/>
          <w:color w:val="auto"/>
          <w:spacing w:val="8"/>
          <w:kern w:val="0"/>
          <w:sz w:val="32"/>
          <w:szCs w:val="32"/>
        </w:rPr>
      </w:pPr>
      <w:r>
        <w:rPr>
          <w:rFonts w:hint="eastAsia" w:ascii="仿宋_GB2312" w:hAnsi="宋体" w:eastAsia="仿宋_GB2312" w:cs="宋体"/>
          <w:color w:val="auto"/>
          <w:spacing w:val="8"/>
          <w:kern w:val="0"/>
          <w:sz w:val="32"/>
          <w:szCs w:val="32"/>
          <w:lang w:val="en-US" w:eastAsia="zh-CN"/>
        </w:rPr>
        <w:t>本单位2023年度未答复数为2件（结转下年度继续办理）。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right="0" w:rightChars="0" w:firstLine="480"/>
        <w:jc w:val="both"/>
        <w:textAlignment w:val="auto"/>
        <w:outlineLvl w:val="9"/>
        <w:rPr>
          <w:rFonts w:hint="eastAsia" w:ascii="仿宋_GB2312" w:hAnsi="宋体" w:eastAsia="仿宋_GB2312" w:cs="宋体"/>
          <w:spacing w:val="8"/>
          <w:kern w:val="0"/>
          <w:sz w:val="32"/>
          <w:szCs w:val="32"/>
        </w:rPr>
      </w:pPr>
      <w:r>
        <w:rPr>
          <w:rFonts w:hint="eastAsia" w:ascii="仿宋_GB2312" w:hAnsi="宋体" w:eastAsia="仿宋_GB2312" w:cs="宋体"/>
          <w:spacing w:val="8"/>
          <w:kern w:val="0"/>
          <w:sz w:val="32"/>
          <w:szCs w:val="32"/>
          <w:lang w:val="en-US" w:eastAsia="zh-CN"/>
        </w:rPr>
        <w:t>（3）复议、诉讼及举报情况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leftChars="0" w:right="0" w:rightChars="0" w:firstLine="640" w:firstLineChars="0"/>
        <w:jc w:val="both"/>
        <w:textAlignment w:val="auto"/>
        <w:outlineLvl w:val="9"/>
        <w:rPr>
          <w:rFonts w:hint="eastAsia" w:ascii="仿宋_GB2312" w:hAnsi="宋体" w:eastAsia="仿宋_GB2312" w:cs="宋体"/>
          <w:spacing w:val="8"/>
          <w:kern w:val="0"/>
          <w:sz w:val="32"/>
          <w:szCs w:val="32"/>
        </w:rPr>
      </w:pPr>
      <w:r>
        <w:rPr>
          <w:rFonts w:hint="eastAsia" w:ascii="仿宋_GB2312" w:hAnsi="宋体" w:eastAsia="仿宋_GB2312" w:cs="宋体"/>
          <w:spacing w:val="8"/>
          <w:kern w:val="0"/>
          <w:sz w:val="32"/>
          <w:szCs w:val="32"/>
          <w:lang w:val="en-US" w:eastAsia="zh-CN"/>
        </w:rPr>
        <w:t>本单位没有发生与政府信息公开有关的行政复议、行政诉讼及与政府信息公开有关的举报。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leftChars="0" w:right="0" w:rightChars="0" w:firstLine="640" w:firstLineChars="0"/>
        <w:jc w:val="both"/>
        <w:textAlignment w:val="auto"/>
        <w:outlineLvl w:val="9"/>
        <w:rPr>
          <w:rFonts w:hint="eastAsia" w:ascii="楷体_GB2312" w:hAnsi="楷体_GB2312" w:eastAsia="楷体_GB2312" w:cs="楷体_GB2312"/>
          <w:spacing w:val="8"/>
          <w:kern w:val="0"/>
          <w:sz w:val="32"/>
          <w:szCs w:val="32"/>
          <w:lang w:val="en-US" w:eastAsia="zh-CN"/>
        </w:rPr>
      </w:pPr>
      <w:r>
        <w:rPr>
          <w:rFonts w:hint="eastAsia" w:ascii="楷体_GB2312" w:hAnsi="楷体_GB2312" w:eastAsia="楷体_GB2312" w:cs="楷体_GB2312"/>
          <w:spacing w:val="8"/>
          <w:kern w:val="0"/>
          <w:sz w:val="32"/>
          <w:szCs w:val="32"/>
          <w:lang w:val="en-US" w:eastAsia="zh-CN"/>
        </w:rPr>
        <w:t>3.组织领导</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leftChars="0" w:right="0" w:rightChars="0" w:firstLine="640" w:firstLineChars="0"/>
        <w:jc w:val="both"/>
        <w:textAlignment w:val="auto"/>
        <w:outlineLvl w:val="9"/>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我局不断加强组织领导，积极推行政务、政府信息公开工作，明确政务公开的内容、形式。局领导多次研究部署信息公开工作，明确专人负责，各部门协调配合，确保工作落实规范、有序、有效。对拟公开的信息先审后发，确保信息发布的权威性、安全性和公信力，坚决杜绝信息更新不及时、存在严重表述错误等问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leftChars="0" w:right="0" w:rightChars="0" w:firstLine="640" w:firstLineChars="0"/>
        <w:jc w:val="both"/>
        <w:textAlignment w:val="auto"/>
        <w:outlineLvl w:val="9"/>
        <w:rPr>
          <w:rFonts w:hint="eastAsia" w:ascii="楷体_GB2312" w:hAnsi="楷体_GB2312" w:eastAsia="楷体_GB2312" w:cs="楷体_GB2312"/>
          <w:spacing w:val="8"/>
          <w:kern w:val="0"/>
          <w:sz w:val="32"/>
          <w:szCs w:val="32"/>
          <w:lang w:val="en-US" w:eastAsia="zh-CN"/>
        </w:rPr>
      </w:pPr>
      <w:r>
        <w:rPr>
          <w:rFonts w:hint="eastAsia" w:ascii="楷体_GB2312" w:hAnsi="楷体_GB2312" w:eastAsia="楷体_GB2312" w:cs="楷体_GB2312"/>
          <w:spacing w:val="8"/>
          <w:kern w:val="0"/>
          <w:sz w:val="32"/>
          <w:szCs w:val="32"/>
          <w:lang w:val="en-US" w:eastAsia="zh-CN"/>
        </w:rPr>
        <w:t>4.平台建设</w:t>
      </w:r>
    </w:p>
    <w:p>
      <w:pPr>
        <w:pStyle w:val="2"/>
        <w:keepNext w:val="0"/>
        <w:keepLines w:val="0"/>
        <w:pageBreakBefore w:val="0"/>
        <w:kinsoku/>
        <w:wordWrap/>
        <w:overflowPunct/>
        <w:topLinePunct w:val="0"/>
        <w:autoSpaceDE/>
        <w:autoSpaceDN/>
        <w:bidi w:val="0"/>
        <w:adjustRightInd/>
        <w:snapToGrid/>
        <w:spacing w:line="560" w:lineRule="exact"/>
        <w:ind w:right="0" w:rightChars="0" w:firstLine="704"/>
        <w:textAlignment w:val="auto"/>
        <w:outlineLvl w:val="9"/>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我局积极借助首都之窗网站和门头沟区网站专栏等平台载体公开本单位信息，及时更新门户网站信息内容，提高网站服务水平，保障群众通过网络平台获取信息的权利。持续推进门头沟水务微信公众号的完善与运用，积极推送政府信息，确保信息公开工作能够有序开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leftChars="0" w:right="0" w:rightChars="0" w:firstLine="640" w:firstLineChars="0"/>
        <w:jc w:val="both"/>
        <w:textAlignment w:val="auto"/>
        <w:outlineLvl w:val="9"/>
        <w:rPr>
          <w:rFonts w:hint="eastAsia" w:ascii="楷体_GB2312" w:hAnsi="楷体_GB2312" w:eastAsia="楷体_GB2312" w:cs="楷体_GB2312"/>
          <w:spacing w:val="8"/>
          <w:kern w:val="0"/>
          <w:sz w:val="32"/>
          <w:szCs w:val="32"/>
          <w:lang w:val="en-US" w:eastAsia="zh-CN"/>
        </w:rPr>
      </w:pPr>
      <w:r>
        <w:rPr>
          <w:rFonts w:hint="eastAsia" w:ascii="楷体_GB2312" w:hAnsi="楷体_GB2312" w:eastAsia="楷体_GB2312" w:cs="楷体_GB2312"/>
          <w:spacing w:val="8"/>
          <w:kern w:val="0"/>
          <w:sz w:val="32"/>
          <w:szCs w:val="32"/>
          <w:lang w:val="en-US" w:eastAsia="zh-CN"/>
        </w:rPr>
        <w:t>5.</w:t>
      </w:r>
      <w:r>
        <w:rPr>
          <w:rFonts w:hint="eastAsia" w:ascii="楷体" w:hAnsi="楷体" w:eastAsia="楷体" w:cs="楷体"/>
          <w:spacing w:val="8"/>
          <w:kern w:val="0"/>
          <w:sz w:val="32"/>
          <w:szCs w:val="32"/>
          <w:lang w:val="en-US" w:eastAsia="zh-CN"/>
        </w:rPr>
        <w:t>信息管理及教育培训、监督保障情况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leftChars="0" w:right="0" w:rightChars="0" w:firstLine="640" w:firstLineChars="0"/>
        <w:jc w:val="both"/>
        <w:textAlignment w:val="auto"/>
        <w:outlineLvl w:val="9"/>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为进一步强化信息公开工作履职能力，我局遵循“谁审查，谁负责、谁发布，谁负责、先审查，后发布”和“涉密信息不上网、上网信息不涉密”的原则，确保政务公开内容不涉及国家秘密和内部敏感事项。同时，我局将政务公开列入部门岗位培训的重要内容，进一步加强政务公开队伍建设，提高岗位工作能力，确保政府信息公开工作扎实、深入、有效。</w:t>
      </w:r>
    </w:p>
    <w:p>
      <w:pPr>
        <w:numPr>
          <w:ilvl w:val="0"/>
          <w:numId w:val="1"/>
        </w:num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主动公开政府信息情况</w:t>
      </w:r>
    </w:p>
    <w:p>
      <w:pPr>
        <w:pStyle w:val="2"/>
        <w:rPr>
          <w:rFonts w:hint="eastAsia"/>
        </w:rPr>
      </w:pPr>
    </w:p>
    <w:p>
      <w:pPr>
        <w:pStyle w:val="2"/>
        <w:numPr>
          <w:ilvl w:val="0"/>
          <w:numId w:val="0"/>
        </w:numPr>
        <w:rPr>
          <w:rFonts w:hint="eastAsia"/>
        </w:rPr>
      </w:pPr>
    </w:p>
    <w:tbl>
      <w:tblPr>
        <w:tblStyle w:val="7"/>
        <w:tblW w:w="9740" w:type="dxa"/>
        <w:jc w:val="center"/>
        <w:tblLayout w:type="fixed"/>
        <w:tblCellMar>
          <w:top w:w="0" w:type="dxa"/>
          <w:left w:w="0" w:type="dxa"/>
          <w:bottom w:w="0" w:type="dxa"/>
          <w:right w:w="0" w:type="dxa"/>
        </w:tblCellMar>
      </w:tblPr>
      <w:tblGrid>
        <w:gridCol w:w="2435"/>
        <w:gridCol w:w="2435"/>
        <w:gridCol w:w="2435"/>
        <w:gridCol w:w="2435"/>
      </w:tblGrid>
      <w:tr>
        <w:tblPrEx>
          <w:tblCellMar>
            <w:top w:w="0" w:type="dxa"/>
            <w:left w:w="0" w:type="dxa"/>
            <w:bottom w:w="0" w:type="dxa"/>
            <w:right w:w="0" w:type="dxa"/>
          </w:tblCellMar>
        </w:tblPrEx>
        <w:trPr>
          <w:trHeight w:val="340" w:hRule="atLeast"/>
          <w:jc w:val="center"/>
        </w:trPr>
        <w:tc>
          <w:tcPr>
            <w:tcW w:w="9740" w:type="dxa"/>
            <w:gridSpan w:val="4"/>
            <w:tcBorders>
              <w:top w:val="single" w:color="auto" w:sz="8" w:space="0"/>
              <w:left w:val="single" w:color="auto" w:sz="8" w:space="0"/>
              <w:bottom w:val="single" w:color="auto" w:sz="8" w:space="0"/>
              <w:right w:val="single" w:color="auto" w:sz="8" w:space="0"/>
            </w:tcBorders>
            <w:shd w:val="clear" w:color="auto" w:fill="9BC2E6"/>
            <w:tcMar>
              <w:left w:w="57" w:type="dxa"/>
              <w:right w:w="57" w:type="dxa"/>
            </w:tcMar>
            <w:vAlign w:val="center"/>
          </w:tcPr>
          <w:p>
            <w:pPr>
              <w:widowControl/>
              <w:jc w:val="center"/>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第二十条第（一）项</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center"/>
            </w:pPr>
            <w:r>
              <w:rPr>
                <w:rFonts w:hint="eastAsia" w:ascii="宋体" w:hAnsi="宋体" w:cs="宋体"/>
                <w:color w:val="000000"/>
                <w:kern w:val="0"/>
                <w:sz w:val="20"/>
                <w:szCs w:val="20"/>
                <w:lang w:bidi="ar"/>
              </w:rPr>
              <w:t>信息内容</w:t>
            </w:r>
          </w:p>
        </w:tc>
        <w:tc>
          <w:tcPr>
            <w:tcW w:w="2435" w:type="dxa"/>
            <w:tcBorders>
              <w:top w:val="single" w:color="auto" w:sz="8" w:space="0"/>
              <w:left w:val="nil"/>
              <w:bottom w:val="single" w:color="auto" w:sz="8" w:space="0"/>
              <w:right w:val="single" w:color="auto" w:sz="8" w:space="0"/>
            </w:tcBorders>
            <w:shd w:val="clear" w:color="auto" w:fill="DDEBF7"/>
            <w:tcMar>
              <w:left w:w="57" w:type="dxa"/>
              <w:right w:w="57" w:type="dxa"/>
            </w:tcMar>
            <w:vAlign w:val="center"/>
          </w:tcPr>
          <w:p>
            <w:pPr>
              <w:widowControl/>
              <w:jc w:val="center"/>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本年制发件数</w:t>
            </w:r>
          </w:p>
        </w:tc>
        <w:tc>
          <w:tcPr>
            <w:tcW w:w="2435" w:type="dxa"/>
            <w:tcBorders>
              <w:top w:val="single" w:color="auto" w:sz="8" w:space="0"/>
              <w:left w:val="nil"/>
              <w:bottom w:val="single" w:color="auto" w:sz="8" w:space="0"/>
              <w:right w:val="single" w:color="auto" w:sz="8" w:space="0"/>
            </w:tcBorders>
            <w:shd w:val="clear" w:color="auto" w:fill="DDEBF7"/>
            <w:tcMar>
              <w:left w:w="57" w:type="dxa"/>
              <w:right w:w="57" w:type="dxa"/>
            </w:tcMar>
            <w:vAlign w:val="center"/>
          </w:tcPr>
          <w:p>
            <w:pPr>
              <w:widowControl/>
              <w:jc w:val="center"/>
            </w:pPr>
            <w:r>
              <w:rPr>
                <w:rFonts w:hint="eastAsia" w:ascii="宋体" w:hAnsi="宋体" w:cs="宋体"/>
                <w:color w:val="000000"/>
                <w:kern w:val="0"/>
                <w:sz w:val="20"/>
                <w:szCs w:val="20"/>
                <w:lang w:bidi="ar"/>
              </w:rPr>
              <w:t>本年废止件数</w:t>
            </w:r>
          </w:p>
        </w:tc>
        <w:tc>
          <w:tcPr>
            <w:tcW w:w="2435" w:type="dxa"/>
            <w:tcBorders>
              <w:top w:val="single" w:color="auto" w:sz="8" w:space="0"/>
              <w:left w:val="nil"/>
              <w:bottom w:val="single" w:color="auto" w:sz="8" w:space="0"/>
              <w:right w:val="single" w:color="auto" w:sz="8" w:space="0"/>
            </w:tcBorders>
            <w:shd w:val="clear" w:color="auto" w:fill="DDEBF7"/>
            <w:tcMar>
              <w:left w:w="57" w:type="dxa"/>
              <w:right w:w="57" w:type="dxa"/>
            </w:tcMar>
            <w:vAlign w:val="center"/>
          </w:tcPr>
          <w:p>
            <w:pPr>
              <w:widowControl/>
              <w:jc w:val="center"/>
            </w:pPr>
            <w:r>
              <w:rPr>
                <w:rFonts w:hint="eastAsia" w:ascii="宋体" w:hAnsi="宋体" w:cs="宋体"/>
                <w:color w:val="000000"/>
                <w:kern w:val="0"/>
                <w:sz w:val="20"/>
                <w:szCs w:val="20"/>
                <w:lang w:bidi="ar"/>
              </w:rPr>
              <w:t>现行有效件数</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left"/>
            </w:pPr>
            <w:r>
              <w:rPr>
                <w:rFonts w:hint="eastAsia" w:ascii="宋体" w:hAnsi="宋体" w:cs="宋体"/>
                <w:color w:val="000000"/>
                <w:kern w:val="0"/>
                <w:sz w:val="20"/>
                <w:szCs w:val="20"/>
                <w:lang w:bidi="ar"/>
              </w:rPr>
              <w:t>规章</w:t>
            </w:r>
          </w:p>
        </w:tc>
        <w:tc>
          <w:tcPr>
            <w:tcW w:w="2435"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lang w:val="en-US" w:eastAsia="zh-CN"/>
              </w:rPr>
            </w:pPr>
            <w:r>
              <w:rPr>
                <w:rFonts w:hint="eastAsia"/>
                <w:lang w:val="en-US" w:eastAsia="zh-CN"/>
              </w:rPr>
              <w:t>0</w:t>
            </w:r>
          </w:p>
        </w:tc>
        <w:tc>
          <w:tcPr>
            <w:tcW w:w="2435"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lang w:val="en-US" w:eastAsia="zh-CN"/>
              </w:rPr>
            </w:pPr>
            <w:r>
              <w:rPr>
                <w:rFonts w:hint="eastAsia"/>
                <w:lang w:val="en-US" w:eastAsia="zh-CN"/>
              </w:rPr>
              <w:t>0</w:t>
            </w:r>
          </w:p>
        </w:tc>
        <w:tc>
          <w:tcPr>
            <w:tcW w:w="2435"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lang w:val="en-US" w:eastAsia="zh-CN"/>
              </w:rPr>
            </w:pPr>
            <w:r>
              <w:rPr>
                <w:rFonts w:hint="eastAsia"/>
                <w:lang w:val="en-US" w:eastAsia="zh-CN"/>
              </w:rPr>
              <w:t>0</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left"/>
            </w:pPr>
            <w:r>
              <w:rPr>
                <w:rFonts w:hint="eastAsia" w:ascii="宋体" w:hAnsi="宋体" w:cs="宋体"/>
                <w:color w:val="000000"/>
                <w:kern w:val="0"/>
                <w:sz w:val="20"/>
                <w:szCs w:val="20"/>
                <w:lang w:bidi="ar"/>
              </w:rPr>
              <w:t>行政规范性文件</w:t>
            </w:r>
          </w:p>
        </w:tc>
        <w:tc>
          <w:tcPr>
            <w:tcW w:w="2435"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lang w:val="en-US" w:eastAsia="zh-CN"/>
              </w:rPr>
            </w:pPr>
            <w:r>
              <w:rPr>
                <w:rFonts w:hint="eastAsia"/>
                <w:lang w:val="en-US" w:eastAsia="zh-CN"/>
              </w:rPr>
              <w:t>0</w:t>
            </w:r>
          </w:p>
        </w:tc>
        <w:tc>
          <w:tcPr>
            <w:tcW w:w="2435"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lang w:val="en-US" w:eastAsia="zh-CN"/>
              </w:rPr>
            </w:pPr>
            <w:r>
              <w:rPr>
                <w:rFonts w:hint="eastAsia"/>
                <w:lang w:val="en-US" w:eastAsia="zh-CN"/>
              </w:rPr>
              <w:t>2</w:t>
            </w:r>
          </w:p>
        </w:tc>
        <w:tc>
          <w:tcPr>
            <w:tcW w:w="2435"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lang w:val="en-US" w:eastAsia="zh-CN"/>
              </w:rPr>
            </w:pPr>
            <w:r>
              <w:rPr>
                <w:rFonts w:hint="eastAsia"/>
                <w:lang w:val="en-US" w:eastAsia="zh-CN"/>
              </w:rPr>
              <w:t>1</w:t>
            </w:r>
          </w:p>
        </w:tc>
      </w:tr>
      <w:tr>
        <w:tblPrEx>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9BC2E6"/>
            <w:tcMar>
              <w:left w:w="57" w:type="dxa"/>
              <w:right w:w="57" w:type="dxa"/>
            </w:tcMar>
            <w:vAlign w:val="center"/>
          </w:tcPr>
          <w:p>
            <w:pPr>
              <w:widowControl/>
              <w:jc w:val="center"/>
            </w:pPr>
            <w:r>
              <w:rPr>
                <w:rFonts w:hint="eastAsia" w:ascii="宋体" w:hAnsi="宋体" w:cs="宋体"/>
                <w:color w:val="000000"/>
                <w:kern w:val="0"/>
                <w:sz w:val="20"/>
                <w:szCs w:val="20"/>
                <w:lang w:bidi="ar"/>
              </w:rPr>
              <w:t>第二十条第（五）项</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center"/>
            </w:pPr>
            <w:r>
              <w:rPr>
                <w:rFonts w:hint="eastAsia" w:ascii="宋体" w:hAnsi="宋体" w:cs="宋体"/>
                <w:color w:val="000000"/>
                <w:kern w:val="0"/>
                <w:sz w:val="20"/>
                <w:szCs w:val="20"/>
                <w:lang w:bidi="ar"/>
              </w:rPr>
              <w:t>信息内容</w:t>
            </w:r>
          </w:p>
        </w:tc>
        <w:tc>
          <w:tcPr>
            <w:tcW w:w="7305" w:type="dxa"/>
            <w:gridSpan w:val="3"/>
            <w:tcBorders>
              <w:top w:val="nil"/>
              <w:left w:val="nil"/>
              <w:bottom w:val="single" w:color="auto" w:sz="8" w:space="0"/>
              <w:right w:val="single" w:color="auto" w:sz="8" w:space="0"/>
            </w:tcBorders>
            <w:shd w:val="clear" w:color="auto" w:fill="DDEBF7"/>
            <w:tcMar>
              <w:left w:w="57" w:type="dxa"/>
              <w:right w:w="57" w:type="dxa"/>
            </w:tcMar>
            <w:vAlign w:val="center"/>
          </w:tcPr>
          <w:p>
            <w:pPr>
              <w:widowControl/>
              <w:jc w:val="center"/>
            </w:pPr>
            <w:r>
              <w:rPr>
                <w:rFonts w:hint="eastAsia" w:ascii="宋体" w:hAnsi="宋体" w:cs="宋体"/>
                <w:color w:val="000000"/>
                <w:kern w:val="0"/>
                <w:sz w:val="20"/>
                <w:szCs w:val="20"/>
                <w:lang w:bidi="ar"/>
              </w:rPr>
              <w:t>本年处理决定数量</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left"/>
            </w:pPr>
            <w:r>
              <w:rPr>
                <w:rFonts w:hint="eastAsia" w:ascii="宋体" w:hAnsi="宋体" w:cs="宋体"/>
                <w:color w:val="000000"/>
                <w:kern w:val="0"/>
                <w:sz w:val="20"/>
                <w:szCs w:val="20"/>
                <w:lang w:bidi="ar"/>
              </w:rPr>
              <w:t>行政许可</w:t>
            </w:r>
          </w:p>
        </w:tc>
        <w:tc>
          <w:tcPr>
            <w:tcW w:w="7305" w:type="dxa"/>
            <w:gridSpan w:val="3"/>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cs="Calibri"/>
                <w:kern w:val="0"/>
                <w:szCs w:val="21"/>
                <w:lang w:val="en-US" w:eastAsia="zh-CN" w:bidi="ar"/>
              </w:rPr>
              <w:t>126</w:t>
            </w:r>
          </w:p>
        </w:tc>
      </w:tr>
      <w:tr>
        <w:tblPrEx>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9BC2E6"/>
            <w:tcMar>
              <w:left w:w="57" w:type="dxa"/>
              <w:right w:w="57" w:type="dxa"/>
            </w:tcMar>
            <w:vAlign w:val="center"/>
          </w:tcPr>
          <w:p>
            <w:pPr>
              <w:widowControl/>
              <w:jc w:val="center"/>
            </w:pPr>
            <w:r>
              <w:rPr>
                <w:rFonts w:hint="eastAsia" w:ascii="宋体" w:hAnsi="宋体" w:cs="宋体"/>
                <w:color w:val="000000"/>
                <w:kern w:val="0"/>
                <w:sz w:val="20"/>
                <w:szCs w:val="20"/>
                <w:lang w:bidi="ar"/>
              </w:rPr>
              <w:t>第二十条第（六）项</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center"/>
            </w:pPr>
            <w:r>
              <w:rPr>
                <w:rFonts w:hint="eastAsia" w:ascii="宋体" w:hAnsi="宋体" w:cs="宋体"/>
                <w:color w:val="000000"/>
                <w:kern w:val="0"/>
                <w:sz w:val="20"/>
                <w:szCs w:val="20"/>
                <w:lang w:bidi="ar"/>
              </w:rPr>
              <w:t>信息内容</w:t>
            </w:r>
          </w:p>
        </w:tc>
        <w:tc>
          <w:tcPr>
            <w:tcW w:w="7305" w:type="dxa"/>
            <w:gridSpan w:val="3"/>
            <w:tcBorders>
              <w:top w:val="single" w:color="auto" w:sz="8" w:space="0"/>
              <w:left w:val="nil"/>
              <w:bottom w:val="single" w:color="auto" w:sz="8" w:space="0"/>
              <w:right w:val="single" w:color="auto" w:sz="8" w:space="0"/>
            </w:tcBorders>
            <w:shd w:val="clear" w:color="auto" w:fill="DDEBF7"/>
            <w:tcMar>
              <w:left w:w="57" w:type="dxa"/>
              <w:right w:w="57" w:type="dxa"/>
            </w:tcMar>
            <w:vAlign w:val="center"/>
          </w:tcPr>
          <w:p>
            <w:pPr>
              <w:widowControl/>
              <w:jc w:val="center"/>
            </w:pPr>
            <w:r>
              <w:rPr>
                <w:rFonts w:hint="eastAsia" w:ascii="宋体" w:hAnsi="宋体" w:cs="宋体"/>
                <w:color w:val="000000"/>
                <w:kern w:val="0"/>
                <w:sz w:val="20"/>
                <w:szCs w:val="20"/>
                <w:lang w:bidi="ar"/>
              </w:rPr>
              <w:t>本年处理决定数量</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left"/>
            </w:pPr>
            <w:r>
              <w:rPr>
                <w:rFonts w:hint="eastAsia" w:ascii="宋体" w:hAnsi="宋体" w:cs="宋体"/>
                <w:color w:val="000000"/>
                <w:kern w:val="0"/>
                <w:sz w:val="20"/>
                <w:szCs w:val="20"/>
                <w:lang w:bidi="ar"/>
              </w:rPr>
              <w:t>行政处罚</w:t>
            </w:r>
          </w:p>
        </w:tc>
        <w:tc>
          <w:tcPr>
            <w:tcW w:w="7305" w:type="dxa"/>
            <w:gridSpan w:val="3"/>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lang w:val="en-US" w:eastAsia="zh-CN"/>
              </w:rPr>
              <w:t>12</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left"/>
            </w:pPr>
            <w:r>
              <w:rPr>
                <w:rFonts w:hint="eastAsia" w:ascii="宋体" w:hAnsi="宋体" w:cs="宋体"/>
                <w:color w:val="000000"/>
                <w:kern w:val="0"/>
                <w:sz w:val="20"/>
                <w:szCs w:val="20"/>
                <w:lang w:bidi="ar"/>
              </w:rPr>
              <w:t>行政强制</w:t>
            </w:r>
          </w:p>
        </w:tc>
        <w:tc>
          <w:tcPr>
            <w:tcW w:w="7305" w:type="dxa"/>
            <w:gridSpan w:val="3"/>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lang w:val="en-US" w:eastAsia="zh-CN"/>
              </w:rPr>
              <w:t>0</w:t>
            </w:r>
          </w:p>
        </w:tc>
      </w:tr>
      <w:tr>
        <w:tblPrEx>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9BC2E6"/>
            <w:tcMar>
              <w:left w:w="57" w:type="dxa"/>
              <w:right w:w="57" w:type="dxa"/>
            </w:tcMar>
            <w:vAlign w:val="center"/>
          </w:tcPr>
          <w:p>
            <w:pPr>
              <w:widowControl/>
              <w:jc w:val="center"/>
            </w:pPr>
            <w:r>
              <w:rPr>
                <w:rFonts w:hint="eastAsia" w:ascii="宋体" w:hAnsi="宋体" w:cs="宋体"/>
                <w:color w:val="000000"/>
                <w:kern w:val="0"/>
                <w:sz w:val="20"/>
                <w:szCs w:val="20"/>
                <w:lang w:bidi="ar"/>
              </w:rPr>
              <w:t>第二十条第（八）项</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center"/>
            </w:pPr>
            <w:r>
              <w:rPr>
                <w:rFonts w:hint="eastAsia" w:ascii="宋体" w:hAnsi="宋体" w:cs="宋体"/>
                <w:color w:val="000000"/>
                <w:kern w:val="0"/>
                <w:sz w:val="20"/>
                <w:szCs w:val="20"/>
                <w:lang w:bidi="ar"/>
              </w:rPr>
              <w:t>信息内容</w:t>
            </w:r>
          </w:p>
        </w:tc>
        <w:tc>
          <w:tcPr>
            <w:tcW w:w="7305" w:type="dxa"/>
            <w:gridSpan w:val="3"/>
            <w:tcBorders>
              <w:top w:val="nil"/>
              <w:left w:val="nil"/>
              <w:bottom w:val="single" w:color="auto" w:sz="8" w:space="0"/>
              <w:right w:val="single" w:color="000000" w:sz="8" w:space="0"/>
            </w:tcBorders>
            <w:shd w:val="clear" w:color="auto" w:fill="DDEBF7"/>
            <w:tcMar>
              <w:left w:w="57" w:type="dxa"/>
              <w:right w:w="57" w:type="dxa"/>
            </w:tcMar>
            <w:vAlign w:val="center"/>
          </w:tcPr>
          <w:p>
            <w:pPr>
              <w:widowControl/>
              <w:jc w:val="center"/>
            </w:pPr>
            <w:r>
              <w:rPr>
                <w:rFonts w:hint="eastAsia" w:ascii="宋体" w:hAnsi="宋体" w:cs="宋体"/>
                <w:color w:val="000000"/>
                <w:kern w:val="0"/>
                <w:sz w:val="20"/>
                <w:szCs w:val="20"/>
                <w:lang w:bidi="ar"/>
              </w:rPr>
              <w:t>本年收费金额（单位：万元）</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left"/>
            </w:pPr>
            <w:r>
              <w:rPr>
                <w:rFonts w:hint="eastAsia" w:ascii="宋体" w:hAnsi="宋体" w:cs="宋体"/>
                <w:color w:val="000000"/>
                <w:kern w:val="0"/>
                <w:sz w:val="20"/>
                <w:szCs w:val="20"/>
                <w:lang w:bidi="ar"/>
              </w:rPr>
              <w:t>行政事业性收费</w:t>
            </w:r>
          </w:p>
        </w:tc>
        <w:tc>
          <w:tcPr>
            <w:tcW w:w="7305" w:type="dxa"/>
            <w:gridSpan w:val="3"/>
            <w:tcBorders>
              <w:top w:val="nil"/>
              <w:left w:val="nil"/>
              <w:bottom w:val="single" w:color="auto" w:sz="8" w:space="0"/>
              <w:right w:val="single" w:color="000000" w:sz="8" w:space="0"/>
            </w:tcBorders>
            <w:tcMar>
              <w:left w:w="57" w:type="dxa"/>
              <w:right w:w="57" w:type="dxa"/>
            </w:tcMar>
            <w:vAlign w:val="center"/>
          </w:tcPr>
          <w:p>
            <w:pPr>
              <w:jc w:val="center"/>
              <w:rPr>
                <w:rFonts w:hint="eastAsia" w:ascii="宋体" w:hAnsi="Times New Roman" w:cs="宋体"/>
                <w:sz w:val="24"/>
              </w:rPr>
            </w:pPr>
            <w:r>
              <w:rPr>
                <w:rFonts w:hint="eastAsia"/>
                <w:lang w:val="en-US" w:eastAsia="zh-CN"/>
              </w:rPr>
              <w:t>3874.08551</w:t>
            </w:r>
          </w:p>
        </w:tc>
      </w:tr>
    </w:tbl>
    <w:p>
      <w:pPr>
        <w:pStyle w:val="2"/>
        <w:numPr>
          <w:ilvl w:val="0"/>
          <w:numId w:val="0"/>
        </w:numPr>
        <w:rPr>
          <w:rFonts w:hint="eastAsia"/>
        </w:rPr>
      </w:pPr>
    </w:p>
    <w:p>
      <w:pPr>
        <w:numPr>
          <w:ilvl w:val="0"/>
          <w:numId w:val="0"/>
        </w:numPr>
        <w:spacing w:line="560" w:lineRule="exact"/>
        <w:rPr>
          <w:rFonts w:hint="eastAsia" w:ascii="黑体" w:hAnsi="宋体" w:eastAsia="黑体" w:cs="黑体"/>
          <w:sz w:val="32"/>
          <w:szCs w:val="32"/>
        </w:rPr>
      </w:pPr>
      <w:r>
        <w:rPr>
          <w:rFonts w:hint="eastAsia" w:ascii="黑体" w:hAnsi="宋体" w:eastAsia="黑体" w:cs="黑体"/>
          <w:sz w:val="32"/>
          <w:szCs w:val="32"/>
          <w:lang w:val="en-US" w:eastAsia="zh-CN" w:bidi="ar"/>
        </w:rPr>
        <w:t>三、</w:t>
      </w:r>
      <w:r>
        <w:rPr>
          <w:rFonts w:hint="eastAsia" w:ascii="黑体" w:hAnsi="宋体" w:eastAsia="黑体" w:cs="黑体"/>
          <w:sz w:val="32"/>
          <w:szCs w:val="32"/>
          <w:lang w:bidi="ar"/>
        </w:rPr>
        <w:t>收到和处理政府信息公开申请情况</w:t>
      </w:r>
    </w:p>
    <w:p>
      <w:pPr>
        <w:ind w:left="629"/>
        <w:rPr>
          <w:rFonts w:hint="eastAsia" w:ascii="黑体" w:hAnsi="宋体" w:eastAsia="黑体" w:cs="黑体"/>
          <w:sz w:val="24"/>
        </w:rPr>
      </w:pPr>
    </w:p>
    <w:tbl>
      <w:tblPr>
        <w:tblStyle w:val="7"/>
        <w:tblW w:w="9748"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768"/>
        <w:gridCol w:w="943"/>
        <w:gridCol w:w="3220"/>
        <w:gridCol w:w="688"/>
        <w:gridCol w:w="688"/>
        <w:gridCol w:w="688"/>
        <w:gridCol w:w="688"/>
        <w:gridCol w:w="688"/>
        <w:gridCol w:w="688"/>
        <w:gridCol w:w="689"/>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vMerge w:val="restart"/>
            <w:tcBorders>
              <w:top w:val="single" w:color="auto" w:sz="8" w:space="0"/>
              <w:left w:val="single" w:color="auto" w:sz="8" w:space="0"/>
              <w:bottom w:val="inset" w:color="auto" w:sz="8" w:space="0"/>
              <w:right w:val="single" w:color="auto" w:sz="8" w:space="0"/>
            </w:tcBorders>
            <w:shd w:val="clear" w:color="auto" w:fill="9BC2E6"/>
            <w:tcMar>
              <w:left w:w="108" w:type="dxa"/>
              <w:right w:w="108" w:type="dxa"/>
            </w:tcMar>
            <w:vAlign w:val="center"/>
          </w:tcPr>
          <w:p>
            <w:pPr>
              <w:widowControl/>
              <w:jc w:val="left"/>
            </w:pPr>
            <w:r>
              <w:rPr>
                <w:rFonts w:hint="eastAsia" w:ascii="楷体" w:hAnsi="楷体" w:eastAsia="楷体" w:cs="楷体"/>
                <w:kern w:val="0"/>
                <w:sz w:val="20"/>
                <w:szCs w:val="20"/>
                <w:lang w:bidi="ar"/>
              </w:rPr>
              <w:t>（本列数据的勾稽关系为：第一项加第二项之和，等于第三项加第四项之和）</w:t>
            </w:r>
          </w:p>
        </w:tc>
        <w:tc>
          <w:tcPr>
            <w:tcW w:w="4817" w:type="dxa"/>
            <w:gridSpan w:val="7"/>
            <w:tcBorders>
              <w:top w:val="single" w:color="auto" w:sz="8" w:space="0"/>
              <w:left w:val="nil"/>
              <w:bottom w:val="single" w:color="auto" w:sz="8" w:space="0"/>
              <w:right w:val="single" w:color="auto" w:sz="8" w:space="0"/>
            </w:tcBorders>
            <w:shd w:val="clear" w:color="auto" w:fill="9BC2E6"/>
            <w:tcMar>
              <w:left w:w="57" w:type="dxa"/>
              <w:right w:w="57" w:type="dxa"/>
            </w:tcMar>
            <w:vAlign w:val="center"/>
          </w:tcPr>
          <w:p>
            <w:pPr>
              <w:widowControl/>
              <w:jc w:val="center"/>
            </w:pPr>
            <w:r>
              <w:rPr>
                <w:rFonts w:hint="eastAsia" w:ascii="宋体" w:hAnsi="宋体" w:cs="宋体"/>
                <w:kern w:val="0"/>
                <w:sz w:val="20"/>
                <w:szCs w:val="20"/>
                <w:lang w:bidi="ar"/>
              </w:rPr>
              <w:t>申请人情况</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vMerge w:val="continue"/>
            <w:tcBorders>
              <w:top w:val="single" w:color="auto" w:sz="8" w:space="0"/>
              <w:left w:val="single" w:color="auto" w:sz="8" w:space="0"/>
              <w:bottom w:val="inset" w:color="auto" w:sz="8" w:space="0"/>
              <w:right w:val="single" w:color="auto" w:sz="8" w:space="0"/>
            </w:tcBorders>
            <w:shd w:val="clear" w:color="auto" w:fill="9BC2E6"/>
            <w:tcMar>
              <w:left w:w="108" w:type="dxa"/>
              <w:right w:w="108" w:type="dxa"/>
            </w:tcMar>
            <w:vAlign w:val="center"/>
          </w:tcPr>
          <w:p>
            <w:pPr>
              <w:rPr>
                <w:rFonts w:ascii="Times New Roman" w:hAnsi="Times New Roman"/>
                <w:sz w:val="20"/>
                <w:szCs w:val="20"/>
              </w:rPr>
            </w:pPr>
          </w:p>
        </w:tc>
        <w:tc>
          <w:tcPr>
            <w:tcW w:w="688" w:type="dxa"/>
            <w:vMerge w:val="restart"/>
            <w:tcBorders>
              <w:top w:val="single" w:color="auto" w:sz="0" w:space="0"/>
              <w:left w:val="single" w:color="auto" w:sz="0" w:space="0"/>
              <w:bottom w:val="single" w:color="auto" w:sz="8" w:space="0"/>
              <w:right w:val="single" w:color="auto" w:sz="8" w:space="0"/>
            </w:tcBorders>
            <w:shd w:val="clear" w:color="auto" w:fill="9BC2E6"/>
            <w:tcMar>
              <w:left w:w="57" w:type="dxa"/>
              <w:right w:w="57" w:type="dxa"/>
            </w:tcMar>
            <w:vAlign w:val="center"/>
          </w:tcPr>
          <w:p>
            <w:pPr>
              <w:widowControl/>
              <w:jc w:val="center"/>
            </w:pPr>
            <w:r>
              <w:rPr>
                <w:rFonts w:hint="eastAsia" w:ascii="宋体" w:hAnsi="宋体" w:cs="宋体"/>
                <w:kern w:val="0"/>
                <w:sz w:val="20"/>
                <w:szCs w:val="20"/>
                <w:lang w:bidi="ar"/>
              </w:rPr>
              <w:t>自然人</w:t>
            </w:r>
          </w:p>
        </w:tc>
        <w:tc>
          <w:tcPr>
            <w:tcW w:w="3440" w:type="dxa"/>
            <w:gridSpan w:val="5"/>
            <w:tcBorders>
              <w:top w:val="single" w:color="auto" w:sz="8" w:space="0"/>
              <w:left w:val="single" w:color="auto" w:sz="0" w:space="0"/>
              <w:bottom w:val="single" w:color="auto" w:sz="8" w:space="0"/>
              <w:right w:val="single" w:color="auto" w:sz="8" w:space="0"/>
            </w:tcBorders>
            <w:shd w:val="clear" w:color="auto" w:fill="9BC2E6"/>
            <w:tcMar>
              <w:left w:w="57" w:type="dxa"/>
              <w:right w:w="57" w:type="dxa"/>
            </w:tcMar>
            <w:vAlign w:val="center"/>
          </w:tcPr>
          <w:p>
            <w:pPr>
              <w:widowControl/>
              <w:jc w:val="center"/>
            </w:pPr>
            <w:r>
              <w:rPr>
                <w:rFonts w:hint="eastAsia" w:ascii="宋体" w:hAnsi="宋体" w:cs="宋体"/>
                <w:kern w:val="0"/>
                <w:sz w:val="20"/>
                <w:szCs w:val="20"/>
                <w:lang w:bidi="ar"/>
              </w:rPr>
              <w:t>法人或其他组织</w:t>
            </w:r>
          </w:p>
        </w:tc>
        <w:tc>
          <w:tcPr>
            <w:tcW w:w="689" w:type="dxa"/>
            <w:vMerge w:val="restart"/>
            <w:tcBorders>
              <w:top w:val="single" w:color="auto" w:sz="8" w:space="0"/>
              <w:left w:val="single" w:color="auto" w:sz="0" w:space="0"/>
              <w:bottom w:val="inset" w:color="auto" w:sz="8" w:space="0"/>
              <w:right w:val="single" w:color="auto" w:sz="8" w:space="0"/>
            </w:tcBorders>
            <w:shd w:val="clear" w:color="auto" w:fill="9BC2E6"/>
            <w:tcMar>
              <w:left w:w="57" w:type="dxa"/>
              <w:right w:w="57" w:type="dxa"/>
            </w:tcMar>
            <w:vAlign w:val="center"/>
          </w:tcPr>
          <w:p>
            <w:pPr>
              <w:widowControl/>
              <w:jc w:val="center"/>
            </w:pPr>
            <w:r>
              <w:rPr>
                <w:rFonts w:hint="eastAsia" w:ascii="宋体" w:hAnsi="宋体" w:cs="宋体"/>
                <w:kern w:val="0"/>
                <w:sz w:val="20"/>
                <w:szCs w:val="20"/>
                <w:lang w:bidi="ar"/>
              </w:rPr>
              <w:t>总计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48" w:hRule="atLeast"/>
          <w:jc w:val="center"/>
        </w:trPr>
        <w:tc>
          <w:tcPr>
            <w:tcW w:w="4931" w:type="dxa"/>
            <w:gridSpan w:val="3"/>
            <w:vMerge w:val="continue"/>
            <w:tcBorders>
              <w:top w:val="single" w:color="auto" w:sz="8" w:space="0"/>
              <w:left w:val="single" w:color="auto" w:sz="8" w:space="0"/>
              <w:bottom w:val="inset" w:color="auto" w:sz="8" w:space="0"/>
              <w:right w:val="single" w:color="auto" w:sz="8" w:space="0"/>
            </w:tcBorders>
            <w:shd w:val="clear" w:color="auto" w:fill="9BC2E6"/>
            <w:tcMar>
              <w:left w:w="108" w:type="dxa"/>
              <w:right w:w="108" w:type="dxa"/>
            </w:tcMar>
            <w:vAlign w:val="center"/>
          </w:tcPr>
          <w:p>
            <w:pPr>
              <w:rPr>
                <w:rFonts w:ascii="Times New Roman" w:hAnsi="Times New Roman"/>
                <w:sz w:val="20"/>
                <w:szCs w:val="20"/>
              </w:rPr>
            </w:pPr>
          </w:p>
        </w:tc>
        <w:tc>
          <w:tcPr>
            <w:tcW w:w="688" w:type="dxa"/>
            <w:vMerge w:val="continue"/>
            <w:tcBorders>
              <w:top w:val="single" w:color="auto" w:sz="0" w:space="0"/>
              <w:left w:val="single" w:color="auto" w:sz="0" w:space="0"/>
              <w:bottom w:val="single" w:color="auto" w:sz="8" w:space="0"/>
              <w:right w:val="single" w:color="auto" w:sz="8" w:space="0"/>
            </w:tcBorders>
            <w:shd w:val="clear" w:color="auto" w:fill="9BC2E6"/>
            <w:tcMar>
              <w:left w:w="57" w:type="dxa"/>
              <w:right w:w="57" w:type="dxa"/>
            </w:tcMar>
            <w:vAlign w:val="center"/>
          </w:tcPr>
          <w:p>
            <w:pPr>
              <w:rPr>
                <w:rFonts w:ascii="Times New Roman" w:hAnsi="Times New Roman"/>
                <w:sz w:val="20"/>
                <w:szCs w:val="20"/>
              </w:rPr>
            </w:pPr>
          </w:p>
        </w:tc>
        <w:tc>
          <w:tcPr>
            <w:tcW w:w="688" w:type="dxa"/>
            <w:tcBorders>
              <w:top w:val="single" w:color="auto" w:sz="0" w:space="0"/>
              <w:left w:val="single" w:color="auto" w:sz="0" w:space="0"/>
              <w:bottom w:val="single" w:color="auto" w:sz="8" w:space="0"/>
              <w:right w:val="single" w:color="auto" w:sz="8" w:space="0"/>
            </w:tcBorders>
            <w:shd w:val="clear" w:color="auto" w:fill="9BC2E6"/>
            <w:tcMar>
              <w:left w:w="57" w:type="dxa"/>
              <w:right w:w="57" w:type="dxa"/>
            </w:tcMar>
            <w:vAlign w:val="center"/>
          </w:tcPr>
          <w:p>
            <w:pPr>
              <w:widowControl/>
              <w:jc w:val="center"/>
            </w:pPr>
            <w:r>
              <w:rPr>
                <w:rFonts w:hint="eastAsia" w:ascii="宋体" w:hAnsi="宋体" w:cs="宋体"/>
                <w:kern w:val="0"/>
                <w:sz w:val="20"/>
                <w:szCs w:val="20"/>
                <w:lang w:bidi="ar"/>
              </w:rPr>
              <w:t>商业</w:t>
            </w:r>
          </w:p>
          <w:p>
            <w:pPr>
              <w:widowControl/>
              <w:jc w:val="center"/>
            </w:pPr>
            <w:r>
              <w:rPr>
                <w:rFonts w:hint="eastAsia" w:ascii="宋体" w:hAnsi="宋体" w:cs="宋体"/>
                <w:kern w:val="0"/>
                <w:sz w:val="20"/>
                <w:szCs w:val="20"/>
                <w:lang w:bidi="ar"/>
              </w:rPr>
              <w:t>企业</w:t>
            </w:r>
          </w:p>
        </w:tc>
        <w:tc>
          <w:tcPr>
            <w:tcW w:w="688" w:type="dxa"/>
            <w:tcBorders>
              <w:top w:val="single" w:color="auto" w:sz="0" w:space="0"/>
              <w:left w:val="single" w:color="auto" w:sz="0" w:space="0"/>
              <w:bottom w:val="single" w:color="auto" w:sz="8" w:space="0"/>
              <w:right w:val="single" w:color="auto" w:sz="8" w:space="0"/>
            </w:tcBorders>
            <w:shd w:val="clear" w:color="auto" w:fill="9BC2E6"/>
            <w:tcMar>
              <w:left w:w="57" w:type="dxa"/>
              <w:right w:w="57" w:type="dxa"/>
            </w:tcMar>
            <w:vAlign w:val="center"/>
          </w:tcPr>
          <w:p>
            <w:pPr>
              <w:widowControl/>
              <w:jc w:val="center"/>
            </w:pPr>
            <w:r>
              <w:rPr>
                <w:rFonts w:hint="eastAsia" w:ascii="宋体" w:hAnsi="宋体" w:cs="宋体"/>
                <w:kern w:val="0"/>
                <w:sz w:val="20"/>
                <w:szCs w:val="20"/>
                <w:lang w:bidi="ar"/>
              </w:rPr>
              <w:t>科研</w:t>
            </w:r>
          </w:p>
          <w:p>
            <w:pPr>
              <w:widowControl/>
              <w:jc w:val="center"/>
            </w:pPr>
            <w:r>
              <w:rPr>
                <w:rFonts w:hint="eastAsia" w:ascii="宋体" w:hAnsi="宋体" w:cs="宋体"/>
                <w:kern w:val="0"/>
                <w:sz w:val="20"/>
                <w:szCs w:val="20"/>
                <w:lang w:bidi="ar"/>
              </w:rPr>
              <w:t>机构</w:t>
            </w:r>
          </w:p>
        </w:tc>
        <w:tc>
          <w:tcPr>
            <w:tcW w:w="688" w:type="dxa"/>
            <w:tcBorders>
              <w:top w:val="single" w:color="auto" w:sz="8" w:space="0"/>
              <w:left w:val="single" w:color="auto" w:sz="0" w:space="0"/>
              <w:bottom w:val="single" w:color="auto" w:sz="8" w:space="0"/>
              <w:right w:val="single" w:color="auto" w:sz="8" w:space="0"/>
            </w:tcBorders>
            <w:shd w:val="clear" w:color="auto" w:fill="9BC2E6"/>
            <w:tcMar>
              <w:left w:w="57" w:type="dxa"/>
              <w:right w:w="57" w:type="dxa"/>
            </w:tcMar>
            <w:vAlign w:val="center"/>
          </w:tcPr>
          <w:p>
            <w:pPr>
              <w:widowControl/>
              <w:jc w:val="center"/>
            </w:pPr>
            <w:r>
              <w:rPr>
                <w:rFonts w:hint="eastAsia" w:ascii="宋体" w:hAnsi="宋体" w:cs="宋体"/>
                <w:kern w:val="0"/>
                <w:sz w:val="20"/>
                <w:szCs w:val="20"/>
                <w:lang w:bidi="ar"/>
              </w:rPr>
              <w:t>社会公益组织</w:t>
            </w:r>
          </w:p>
        </w:tc>
        <w:tc>
          <w:tcPr>
            <w:tcW w:w="688" w:type="dxa"/>
            <w:tcBorders>
              <w:top w:val="single" w:color="auto" w:sz="8" w:space="0"/>
              <w:left w:val="single" w:color="auto" w:sz="0" w:space="0"/>
              <w:bottom w:val="single" w:color="auto" w:sz="8" w:space="0"/>
              <w:right w:val="single" w:color="auto" w:sz="8" w:space="0"/>
            </w:tcBorders>
            <w:shd w:val="clear" w:color="auto" w:fill="9BC2E6"/>
            <w:tcMar>
              <w:left w:w="57" w:type="dxa"/>
              <w:right w:w="57" w:type="dxa"/>
            </w:tcMar>
            <w:vAlign w:val="center"/>
          </w:tcPr>
          <w:p>
            <w:pPr>
              <w:widowControl/>
              <w:jc w:val="center"/>
            </w:pPr>
            <w:r>
              <w:rPr>
                <w:rFonts w:hint="eastAsia" w:ascii="宋体" w:hAnsi="宋体" w:cs="宋体"/>
                <w:kern w:val="0"/>
                <w:sz w:val="20"/>
                <w:szCs w:val="20"/>
                <w:lang w:bidi="ar"/>
              </w:rPr>
              <w:t>法律服务机构</w:t>
            </w:r>
          </w:p>
        </w:tc>
        <w:tc>
          <w:tcPr>
            <w:tcW w:w="688" w:type="dxa"/>
            <w:tcBorders>
              <w:top w:val="single" w:color="auto" w:sz="8" w:space="0"/>
              <w:left w:val="single" w:color="auto" w:sz="0" w:space="0"/>
              <w:bottom w:val="single" w:color="auto" w:sz="8" w:space="0"/>
              <w:right w:val="single" w:color="auto" w:sz="8" w:space="0"/>
            </w:tcBorders>
            <w:shd w:val="clear" w:color="auto" w:fill="9BC2E6"/>
            <w:tcMar>
              <w:left w:w="57" w:type="dxa"/>
              <w:right w:w="57" w:type="dxa"/>
            </w:tcMar>
            <w:vAlign w:val="center"/>
          </w:tcPr>
          <w:p>
            <w:pPr>
              <w:widowControl/>
              <w:jc w:val="center"/>
            </w:pPr>
            <w:r>
              <w:rPr>
                <w:rFonts w:hint="eastAsia" w:ascii="宋体" w:hAnsi="宋体" w:cs="宋体"/>
                <w:kern w:val="0"/>
                <w:sz w:val="20"/>
                <w:szCs w:val="20"/>
                <w:lang w:bidi="ar"/>
              </w:rPr>
              <w:t>其他</w:t>
            </w:r>
          </w:p>
        </w:tc>
        <w:tc>
          <w:tcPr>
            <w:tcW w:w="689" w:type="dxa"/>
            <w:vMerge w:val="continue"/>
            <w:tcBorders>
              <w:top w:val="single" w:color="auto" w:sz="8" w:space="0"/>
              <w:left w:val="single" w:color="auto" w:sz="0" w:space="0"/>
              <w:bottom w:val="inset" w:color="auto" w:sz="8" w:space="0"/>
              <w:right w:val="single" w:color="auto" w:sz="8" w:space="0"/>
            </w:tcBorders>
            <w:shd w:val="clear" w:color="auto" w:fill="9BC2E6"/>
            <w:tcMar>
              <w:left w:w="57" w:type="dxa"/>
              <w:right w:w="57" w:type="dxa"/>
            </w:tcMar>
            <w:vAlign w:val="center"/>
          </w:tcPr>
          <w:p>
            <w:pPr>
              <w:rPr>
                <w:rFonts w:ascii="Times New Roman" w:hAnsi="Times New Roman"/>
                <w:sz w:val="20"/>
                <w:szCs w:val="20"/>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left"/>
            </w:pPr>
            <w:r>
              <w:rPr>
                <w:rFonts w:hint="eastAsia" w:ascii="宋体" w:hAnsi="宋体" w:cs="宋体"/>
                <w:kern w:val="0"/>
                <w:sz w:val="20"/>
                <w:szCs w:val="20"/>
                <w:lang w:bidi="ar"/>
              </w:rPr>
              <w:t>一、本年新收政府信息公开申请数量</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9</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28" w:hRule="atLeast"/>
          <w:jc w:val="center"/>
        </w:trPr>
        <w:tc>
          <w:tcPr>
            <w:tcW w:w="4931" w:type="dxa"/>
            <w:gridSpan w:val="3"/>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left"/>
            </w:pPr>
            <w:r>
              <w:rPr>
                <w:rFonts w:hint="eastAsia" w:ascii="宋体" w:hAnsi="宋体" w:cs="宋体"/>
                <w:kern w:val="0"/>
                <w:sz w:val="20"/>
                <w:szCs w:val="20"/>
                <w:lang w:bidi="ar"/>
              </w:rPr>
              <w:t>二、上年结转政府信息公开申请数量</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restart"/>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widowControl/>
              <w:jc w:val="left"/>
            </w:pPr>
            <w:r>
              <w:rPr>
                <w:rFonts w:hint="eastAsia" w:ascii="宋体" w:hAnsi="宋体" w:cs="宋体"/>
                <w:kern w:val="0"/>
                <w:sz w:val="20"/>
                <w:szCs w:val="20"/>
                <w:lang w:bidi="ar"/>
              </w:rPr>
              <w:t>三、本年度办理结果</w:t>
            </w:r>
          </w:p>
        </w:tc>
        <w:tc>
          <w:tcPr>
            <w:tcW w:w="4163" w:type="dxa"/>
            <w:gridSpan w:val="2"/>
            <w:tcBorders>
              <w:top w:val="nil"/>
              <w:left w:val="nil"/>
              <w:bottom w:val="single" w:color="auto" w:sz="8" w:space="0"/>
              <w:right w:val="single" w:color="auto" w:sz="8" w:space="0"/>
            </w:tcBorders>
            <w:shd w:val="clear" w:color="auto" w:fill="DDEBF7"/>
            <w:tcMar>
              <w:left w:w="57" w:type="dxa"/>
              <w:right w:w="57" w:type="dxa"/>
            </w:tcMar>
            <w:vAlign w:val="center"/>
          </w:tcPr>
          <w:p>
            <w:pPr>
              <w:widowControl/>
              <w:jc w:val="left"/>
            </w:pPr>
            <w:r>
              <w:rPr>
                <w:rFonts w:hint="eastAsia" w:ascii="宋体" w:hAnsi="宋体" w:cs="宋体"/>
                <w:kern w:val="0"/>
                <w:sz w:val="20"/>
                <w:szCs w:val="20"/>
                <w:lang w:bidi="ar"/>
              </w:rPr>
              <w:t>（一）予以公开</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2</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9" w:type="dxa"/>
            <w:tcBorders>
              <w:top w:val="single" w:color="auto" w:sz="8" w:space="0"/>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0" w:hRule="atLeast"/>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4163" w:type="dxa"/>
            <w:gridSpan w:val="2"/>
            <w:tcBorders>
              <w:top w:val="nil"/>
              <w:left w:val="nil"/>
              <w:bottom w:val="single" w:color="auto" w:sz="8" w:space="0"/>
              <w:right w:val="single" w:color="auto" w:sz="8" w:space="0"/>
            </w:tcBorders>
            <w:shd w:val="clear" w:color="auto" w:fill="DDEBF7"/>
            <w:tcMar>
              <w:left w:w="57" w:type="dxa"/>
              <w:right w:w="57" w:type="dxa"/>
            </w:tcMar>
            <w:vAlign w:val="center"/>
          </w:tcPr>
          <w:p>
            <w:pPr>
              <w:widowControl/>
              <w:jc w:val="left"/>
            </w:pPr>
            <w:r>
              <w:rPr>
                <w:rFonts w:hint="eastAsia" w:ascii="宋体" w:hAnsi="宋体" w:cs="宋体"/>
                <w:kern w:val="0"/>
                <w:sz w:val="20"/>
                <w:szCs w:val="20"/>
                <w:lang w:bidi="ar"/>
              </w:rPr>
              <w:t>（二）部分公开</w:t>
            </w:r>
            <w:r>
              <w:rPr>
                <w:rFonts w:hint="eastAsia" w:ascii="楷体" w:hAnsi="楷体" w:eastAsia="楷体" w:cs="楷体"/>
                <w:kern w:val="0"/>
                <w:sz w:val="20"/>
                <w:szCs w:val="20"/>
                <w:lang w:bidi="ar"/>
              </w:rPr>
              <w:t>（区分处理的，只计这一情形，不计其他情形）</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39" w:hRule="atLeast"/>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943" w:type="dxa"/>
            <w:vMerge w:val="restart"/>
            <w:tcBorders>
              <w:top w:val="single" w:color="auto" w:sz="0" w:space="0"/>
              <w:left w:val="single" w:color="auto" w:sz="0" w:space="0"/>
              <w:bottom w:val="inset" w:color="auto" w:sz="8" w:space="0"/>
              <w:right w:val="single" w:color="auto" w:sz="8" w:space="0"/>
            </w:tcBorders>
            <w:shd w:val="clear" w:color="auto" w:fill="DDEBF7"/>
            <w:tcMar>
              <w:left w:w="57" w:type="dxa"/>
              <w:right w:w="57" w:type="dxa"/>
            </w:tcMar>
            <w:vAlign w:val="center"/>
          </w:tcPr>
          <w:p>
            <w:pPr>
              <w:widowControl/>
              <w:jc w:val="left"/>
            </w:pPr>
            <w:r>
              <w:rPr>
                <w:rFonts w:hint="eastAsia" w:ascii="宋体" w:hAnsi="宋体" w:cs="宋体"/>
                <w:kern w:val="0"/>
                <w:sz w:val="20"/>
                <w:szCs w:val="20"/>
                <w:lang w:bidi="ar"/>
              </w:rPr>
              <w:t>（三）不予公开</w:t>
            </w: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widowControl/>
              <w:jc w:val="left"/>
            </w:pPr>
            <w:r>
              <w:rPr>
                <w:rFonts w:hint="eastAsia" w:ascii="宋体" w:hAnsi="宋体" w:cs="宋体"/>
                <w:kern w:val="0"/>
                <w:sz w:val="20"/>
                <w:szCs w:val="20"/>
                <w:lang w:bidi="ar"/>
              </w:rPr>
              <w:t>1.属于国家秘密</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9" w:type="dxa"/>
            <w:tcBorders>
              <w:top w:val="single" w:color="auto" w:sz="8" w:space="0"/>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943" w:type="dxa"/>
            <w:vMerge w:val="continue"/>
            <w:tcBorders>
              <w:top w:val="single" w:color="auto" w:sz="0" w:space="0"/>
              <w:left w:val="single" w:color="auto" w:sz="0" w:space="0"/>
              <w:bottom w:val="inset" w:color="auto" w:sz="8" w:space="0"/>
              <w:right w:val="single" w:color="auto" w:sz="8" w:space="0"/>
            </w:tcBorders>
            <w:shd w:val="clear" w:color="auto" w:fill="DDEBF7"/>
            <w:tcMar>
              <w:left w:w="57" w:type="dxa"/>
              <w:right w:w="57" w:type="dxa"/>
            </w:tcMar>
            <w:vAlign w:val="center"/>
          </w:tcPr>
          <w:p>
            <w:pPr>
              <w:rPr>
                <w:rFonts w:ascii="Times New Roman" w:hAnsi="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widowControl/>
              <w:jc w:val="left"/>
            </w:pPr>
            <w:r>
              <w:rPr>
                <w:rFonts w:hint="eastAsia" w:ascii="宋体" w:hAnsi="宋体" w:cs="宋体"/>
                <w:kern w:val="0"/>
                <w:sz w:val="20"/>
                <w:szCs w:val="20"/>
                <w:lang w:bidi="ar"/>
              </w:rPr>
              <w:t>2.其他法律行政法规禁止公开</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943" w:type="dxa"/>
            <w:vMerge w:val="continue"/>
            <w:tcBorders>
              <w:top w:val="single" w:color="auto" w:sz="0" w:space="0"/>
              <w:left w:val="single" w:color="auto" w:sz="0" w:space="0"/>
              <w:bottom w:val="inset" w:color="auto" w:sz="8" w:space="0"/>
              <w:right w:val="single" w:color="auto" w:sz="8" w:space="0"/>
            </w:tcBorders>
            <w:shd w:val="clear" w:color="auto" w:fill="DDEBF7"/>
            <w:tcMar>
              <w:left w:w="57" w:type="dxa"/>
              <w:right w:w="57" w:type="dxa"/>
            </w:tcMar>
            <w:vAlign w:val="center"/>
          </w:tcPr>
          <w:p>
            <w:pPr>
              <w:rPr>
                <w:rFonts w:ascii="Times New Roman" w:hAnsi="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widowControl/>
              <w:jc w:val="left"/>
            </w:pPr>
            <w:r>
              <w:rPr>
                <w:rFonts w:hint="eastAsia" w:ascii="宋体" w:hAnsi="宋体" w:cs="宋体"/>
                <w:kern w:val="0"/>
                <w:sz w:val="20"/>
                <w:szCs w:val="20"/>
                <w:lang w:bidi="ar"/>
              </w:rPr>
              <w:t>3.危及“三安全一稳定”</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943" w:type="dxa"/>
            <w:vMerge w:val="continue"/>
            <w:tcBorders>
              <w:top w:val="single" w:color="auto" w:sz="0" w:space="0"/>
              <w:left w:val="single" w:color="auto" w:sz="0" w:space="0"/>
              <w:bottom w:val="inset" w:color="auto" w:sz="8" w:space="0"/>
              <w:right w:val="single" w:color="auto" w:sz="8" w:space="0"/>
            </w:tcBorders>
            <w:shd w:val="clear" w:color="auto" w:fill="DDEBF7"/>
            <w:tcMar>
              <w:left w:w="57" w:type="dxa"/>
              <w:right w:w="57" w:type="dxa"/>
            </w:tcMar>
            <w:vAlign w:val="center"/>
          </w:tcPr>
          <w:p>
            <w:pPr>
              <w:rPr>
                <w:rFonts w:ascii="Times New Roman" w:hAnsi="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widowControl/>
              <w:jc w:val="left"/>
            </w:pPr>
            <w:r>
              <w:rPr>
                <w:rFonts w:hint="eastAsia" w:ascii="宋体" w:hAnsi="宋体" w:cs="宋体"/>
                <w:kern w:val="0"/>
                <w:sz w:val="20"/>
                <w:szCs w:val="20"/>
                <w:lang w:bidi="ar"/>
              </w:rPr>
              <w:t>4.保护第三方合法权益</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26" w:hRule="atLeast"/>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943" w:type="dxa"/>
            <w:vMerge w:val="continue"/>
            <w:tcBorders>
              <w:top w:val="single" w:color="auto" w:sz="0" w:space="0"/>
              <w:left w:val="single" w:color="auto" w:sz="0" w:space="0"/>
              <w:bottom w:val="inset" w:color="auto" w:sz="8" w:space="0"/>
              <w:right w:val="single" w:color="auto" w:sz="8" w:space="0"/>
            </w:tcBorders>
            <w:shd w:val="clear" w:color="auto" w:fill="DDEBF7"/>
            <w:tcMar>
              <w:left w:w="57" w:type="dxa"/>
              <w:right w:w="57" w:type="dxa"/>
            </w:tcMar>
            <w:vAlign w:val="center"/>
          </w:tcPr>
          <w:p>
            <w:pPr>
              <w:rPr>
                <w:rFonts w:ascii="Times New Roman" w:hAnsi="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widowControl/>
              <w:jc w:val="left"/>
            </w:pPr>
            <w:r>
              <w:rPr>
                <w:rFonts w:hint="eastAsia" w:ascii="宋体" w:hAnsi="宋体" w:cs="宋体"/>
                <w:kern w:val="0"/>
                <w:sz w:val="20"/>
                <w:szCs w:val="20"/>
                <w:lang w:bidi="ar"/>
              </w:rPr>
              <w:t>5.属于三类内部事务信息</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943" w:type="dxa"/>
            <w:vMerge w:val="continue"/>
            <w:tcBorders>
              <w:top w:val="single" w:color="auto" w:sz="0" w:space="0"/>
              <w:left w:val="single" w:color="auto" w:sz="0" w:space="0"/>
              <w:bottom w:val="inset" w:color="auto" w:sz="8" w:space="0"/>
              <w:right w:val="single" w:color="auto" w:sz="8" w:space="0"/>
            </w:tcBorders>
            <w:shd w:val="clear" w:color="auto" w:fill="DDEBF7"/>
            <w:tcMar>
              <w:left w:w="57" w:type="dxa"/>
              <w:right w:w="57" w:type="dxa"/>
            </w:tcMar>
            <w:vAlign w:val="center"/>
          </w:tcPr>
          <w:p>
            <w:pPr>
              <w:rPr>
                <w:rFonts w:ascii="Times New Roman" w:hAnsi="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widowControl/>
              <w:jc w:val="left"/>
            </w:pPr>
            <w:r>
              <w:rPr>
                <w:rFonts w:hint="eastAsia" w:ascii="宋体" w:hAnsi="宋体" w:cs="宋体"/>
                <w:kern w:val="0"/>
                <w:sz w:val="20"/>
                <w:szCs w:val="20"/>
                <w:lang w:bidi="ar"/>
              </w:rPr>
              <w:t>6.属于四类过程性信息</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943" w:type="dxa"/>
            <w:vMerge w:val="continue"/>
            <w:tcBorders>
              <w:top w:val="single" w:color="auto" w:sz="0" w:space="0"/>
              <w:left w:val="single" w:color="auto" w:sz="0" w:space="0"/>
              <w:bottom w:val="inset" w:color="auto" w:sz="8" w:space="0"/>
              <w:right w:val="single" w:color="auto" w:sz="8" w:space="0"/>
            </w:tcBorders>
            <w:shd w:val="clear" w:color="auto" w:fill="DDEBF7"/>
            <w:tcMar>
              <w:left w:w="57" w:type="dxa"/>
              <w:right w:w="57" w:type="dxa"/>
            </w:tcMar>
            <w:vAlign w:val="center"/>
          </w:tcPr>
          <w:p>
            <w:pPr>
              <w:rPr>
                <w:rFonts w:ascii="Times New Roman" w:hAnsi="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widowControl/>
              <w:jc w:val="left"/>
            </w:pPr>
            <w:r>
              <w:rPr>
                <w:rFonts w:hint="eastAsia" w:ascii="宋体" w:hAnsi="宋体" w:cs="宋体"/>
                <w:kern w:val="0"/>
                <w:sz w:val="20"/>
                <w:szCs w:val="20"/>
                <w:lang w:bidi="ar"/>
              </w:rPr>
              <w:t>7.属于行政执法案卷</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943" w:type="dxa"/>
            <w:vMerge w:val="continue"/>
            <w:tcBorders>
              <w:top w:val="single" w:color="auto" w:sz="0" w:space="0"/>
              <w:left w:val="single" w:color="auto" w:sz="0" w:space="0"/>
              <w:bottom w:val="inset" w:color="auto" w:sz="8" w:space="0"/>
              <w:right w:val="single" w:color="auto" w:sz="8" w:space="0"/>
            </w:tcBorders>
            <w:shd w:val="clear" w:color="auto" w:fill="DDEBF7"/>
            <w:tcMar>
              <w:left w:w="57" w:type="dxa"/>
              <w:right w:w="57" w:type="dxa"/>
            </w:tcMar>
            <w:vAlign w:val="center"/>
          </w:tcPr>
          <w:p>
            <w:pPr>
              <w:rPr>
                <w:rFonts w:ascii="Times New Roman" w:hAnsi="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widowControl/>
              <w:jc w:val="left"/>
            </w:pPr>
            <w:r>
              <w:rPr>
                <w:rFonts w:hint="eastAsia" w:ascii="宋体" w:hAnsi="宋体" w:cs="宋体"/>
                <w:kern w:val="0"/>
                <w:sz w:val="20"/>
                <w:szCs w:val="20"/>
                <w:lang w:bidi="ar"/>
              </w:rPr>
              <w:t>8.属于行政查询事项</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943" w:type="dxa"/>
            <w:vMerge w:val="restart"/>
            <w:tcBorders>
              <w:top w:val="single" w:color="auto" w:sz="0" w:space="0"/>
              <w:left w:val="single" w:color="auto" w:sz="0" w:space="0"/>
              <w:bottom w:val="inset" w:color="auto" w:sz="8" w:space="0"/>
              <w:right w:val="single" w:color="auto" w:sz="8" w:space="0"/>
            </w:tcBorders>
            <w:shd w:val="clear" w:color="auto" w:fill="DDEBF7"/>
            <w:tcMar>
              <w:left w:w="57" w:type="dxa"/>
              <w:right w:w="57" w:type="dxa"/>
            </w:tcMar>
            <w:vAlign w:val="center"/>
          </w:tcPr>
          <w:p>
            <w:pPr>
              <w:widowControl/>
              <w:jc w:val="left"/>
            </w:pPr>
            <w:r>
              <w:rPr>
                <w:rFonts w:hint="eastAsia" w:ascii="宋体" w:hAnsi="宋体" w:cs="宋体"/>
                <w:kern w:val="0"/>
                <w:sz w:val="20"/>
                <w:szCs w:val="20"/>
                <w:lang w:bidi="ar"/>
              </w:rPr>
              <w:t>（四）无法提供</w:t>
            </w: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widowControl/>
              <w:jc w:val="left"/>
            </w:pPr>
            <w:r>
              <w:rPr>
                <w:rFonts w:hint="eastAsia" w:ascii="宋体" w:hAnsi="宋体" w:cs="宋体"/>
                <w:kern w:val="0"/>
                <w:sz w:val="20"/>
                <w:szCs w:val="20"/>
                <w:lang w:bidi="ar"/>
              </w:rPr>
              <w:t>1.本机关不掌握相关政府信息</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4</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943" w:type="dxa"/>
            <w:vMerge w:val="continue"/>
            <w:tcBorders>
              <w:top w:val="single" w:color="auto" w:sz="0" w:space="0"/>
              <w:left w:val="single" w:color="auto" w:sz="0" w:space="0"/>
              <w:bottom w:val="inset" w:color="auto" w:sz="8" w:space="0"/>
              <w:right w:val="single" w:color="auto" w:sz="8" w:space="0"/>
            </w:tcBorders>
            <w:shd w:val="clear" w:color="auto" w:fill="DDEBF7"/>
            <w:tcMar>
              <w:left w:w="57" w:type="dxa"/>
              <w:right w:w="57" w:type="dxa"/>
            </w:tcMar>
            <w:vAlign w:val="center"/>
          </w:tcPr>
          <w:p>
            <w:pPr>
              <w:rPr>
                <w:rFonts w:ascii="Times New Roman" w:hAnsi="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widowControl/>
              <w:jc w:val="left"/>
            </w:pPr>
            <w:r>
              <w:rPr>
                <w:rFonts w:hint="eastAsia" w:ascii="宋体" w:hAnsi="宋体" w:cs="宋体"/>
                <w:kern w:val="0"/>
                <w:sz w:val="20"/>
                <w:szCs w:val="20"/>
                <w:lang w:bidi="ar"/>
              </w:rPr>
              <w:t>2.没有现成信息需要另行制作</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943" w:type="dxa"/>
            <w:vMerge w:val="continue"/>
            <w:tcBorders>
              <w:top w:val="single" w:color="auto" w:sz="0" w:space="0"/>
              <w:left w:val="single" w:color="auto" w:sz="0" w:space="0"/>
              <w:bottom w:val="inset" w:color="auto" w:sz="8" w:space="0"/>
              <w:right w:val="single" w:color="auto" w:sz="8" w:space="0"/>
            </w:tcBorders>
            <w:shd w:val="clear" w:color="auto" w:fill="DDEBF7"/>
            <w:tcMar>
              <w:left w:w="57" w:type="dxa"/>
              <w:right w:w="57" w:type="dxa"/>
            </w:tcMar>
            <w:vAlign w:val="center"/>
          </w:tcPr>
          <w:p>
            <w:pPr>
              <w:rPr>
                <w:rFonts w:ascii="Times New Roman" w:hAnsi="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widowControl/>
              <w:jc w:val="left"/>
            </w:pPr>
            <w:r>
              <w:rPr>
                <w:rFonts w:hint="eastAsia" w:ascii="宋体" w:hAnsi="宋体" w:cs="宋体"/>
                <w:kern w:val="0"/>
                <w:sz w:val="20"/>
                <w:szCs w:val="20"/>
                <w:lang w:bidi="ar"/>
              </w:rPr>
              <w:t>3.补正后申请内容仍不明确</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80" w:hRule="atLeast"/>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943" w:type="dxa"/>
            <w:vMerge w:val="restart"/>
            <w:tcBorders>
              <w:top w:val="single" w:color="auto" w:sz="0" w:space="0"/>
              <w:left w:val="single" w:color="auto" w:sz="0" w:space="0"/>
              <w:bottom w:val="inset" w:color="auto" w:sz="8" w:space="0"/>
              <w:right w:val="single" w:color="auto" w:sz="8" w:space="0"/>
            </w:tcBorders>
            <w:shd w:val="clear" w:color="auto" w:fill="DDEBF7"/>
            <w:tcMar>
              <w:left w:w="57" w:type="dxa"/>
              <w:right w:w="57" w:type="dxa"/>
            </w:tcMar>
            <w:vAlign w:val="center"/>
          </w:tcPr>
          <w:p>
            <w:pPr>
              <w:widowControl/>
              <w:jc w:val="left"/>
            </w:pPr>
            <w:r>
              <w:rPr>
                <w:rFonts w:hint="eastAsia" w:ascii="宋体" w:hAnsi="宋体" w:cs="宋体"/>
                <w:kern w:val="0"/>
                <w:sz w:val="20"/>
                <w:szCs w:val="20"/>
                <w:lang w:bidi="ar"/>
              </w:rPr>
              <w:t>（五）不予处理</w:t>
            </w: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widowControl/>
              <w:jc w:val="left"/>
            </w:pPr>
            <w:r>
              <w:rPr>
                <w:rFonts w:hint="eastAsia" w:ascii="宋体" w:hAnsi="宋体" w:cs="宋体"/>
                <w:kern w:val="0"/>
                <w:sz w:val="20"/>
                <w:szCs w:val="20"/>
                <w:lang w:bidi="ar"/>
              </w:rPr>
              <w:t>1.信访举报投诉类申请</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943" w:type="dxa"/>
            <w:vMerge w:val="continue"/>
            <w:tcBorders>
              <w:top w:val="single" w:color="auto" w:sz="0" w:space="0"/>
              <w:left w:val="single" w:color="auto" w:sz="0" w:space="0"/>
              <w:bottom w:val="inset" w:color="auto" w:sz="8" w:space="0"/>
              <w:right w:val="single" w:color="auto" w:sz="8" w:space="0"/>
            </w:tcBorders>
            <w:shd w:val="clear" w:color="auto" w:fill="DDEBF7"/>
            <w:tcMar>
              <w:left w:w="57" w:type="dxa"/>
              <w:right w:w="57" w:type="dxa"/>
            </w:tcMar>
            <w:vAlign w:val="center"/>
          </w:tcPr>
          <w:p>
            <w:pPr>
              <w:rPr>
                <w:rFonts w:ascii="Times New Roman" w:hAnsi="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widowControl/>
              <w:jc w:val="left"/>
            </w:pPr>
            <w:r>
              <w:rPr>
                <w:rFonts w:hint="eastAsia" w:ascii="宋体" w:hAnsi="宋体" w:cs="宋体"/>
                <w:kern w:val="0"/>
                <w:sz w:val="20"/>
                <w:szCs w:val="20"/>
                <w:lang w:bidi="ar"/>
              </w:rPr>
              <w:t>2.重复申请</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1</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top"/>
          </w:tcPr>
          <w:p>
            <w:pPr>
              <w:widowControl/>
              <w:jc w:val="center"/>
              <w:rPr>
                <w:rFonts w:hint="default" w:cs="Calibri"/>
                <w:kern w:val="0"/>
                <w:sz w:val="20"/>
                <w:szCs w:val="20"/>
                <w:lang w:val="en-US" w:eastAsia="zh-CN" w:bidi="ar"/>
              </w:rPr>
            </w:pPr>
            <w:r>
              <w:rPr>
                <w:rFonts w:hint="eastAsia" w:cs="Calibri"/>
                <w:kern w:val="0"/>
                <w:sz w:val="20"/>
                <w:szCs w:val="20"/>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943" w:type="dxa"/>
            <w:vMerge w:val="continue"/>
            <w:tcBorders>
              <w:top w:val="single" w:color="auto" w:sz="0" w:space="0"/>
              <w:left w:val="single" w:color="auto" w:sz="0" w:space="0"/>
              <w:bottom w:val="inset" w:color="auto" w:sz="8" w:space="0"/>
              <w:right w:val="single" w:color="auto" w:sz="8" w:space="0"/>
            </w:tcBorders>
            <w:shd w:val="clear" w:color="auto" w:fill="DDEBF7"/>
            <w:tcMar>
              <w:left w:w="57" w:type="dxa"/>
              <w:right w:w="57" w:type="dxa"/>
            </w:tcMar>
            <w:vAlign w:val="center"/>
          </w:tcPr>
          <w:p>
            <w:pPr>
              <w:rPr>
                <w:rFonts w:ascii="Times New Roman" w:hAnsi="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widowControl/>
              <w:jc w:val="left"/>
            </w:pPr>
            <w:r>
              <w:rPr>
                <w:rFonts w:hint="eastAsia" w:ascii="宋体" w:hAnsi="宋体" w:cs="宋体"/>
                <w:kern w:val="0"/>
                <w:sz w:val="20"/>
                <w:szCs w:val="20"/>
                <w:lang w:bidi="ar"/>
              </w:rPr>
              <w:t>3.要求提供公开出版物</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943" w:type="dxa"/>
            <w:vMerge w:val="continue"/>
            <w:tcBorders>
              <w:top w:val="single" w:color="auto" w:sz="0" w:space="0"/>
              <w:left w:val="single" w:color="auto" w:sz="0" w:space="0"/>
              <w:bottom w:val="inset" w:color="auto" w:sz="8" w:space="0"/>
              <w:right w:val="single" w:color="auto" w:sz="8" w:space="0"/>
            </w:tcBorders>
            <w:shd w:val="clear" w:color="auto" w:fill="DDEBF7"/>
            <w:tcMar>
              <w:left w:w="57" w:type="dxa"/>
              <w:right w:w="57" w:type="dxa"/>
            </w:tcMar>
            <w:vAlign w:val="center"/>
          </w:tcPr>
          <w:p>
            <w:pPr>
              <w:rPr>
                <w:rFonts w:ascii="Times New Roman" w:hAnsi="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widowControl/>
              <w:jc w:val="left"/>
            </w:pPr>
            <w:r>
              <w:rPr>
                <w:rFonts w:hint="eastAsia" w:ascii="宋体" w:hAnsi="宋体" w:cs="宋体"/>
                <w:kern w:val="0"/>
                <w:sz w:val="20"/>
                <w:szCs w:val="20"/>
                <w:lang w:bidi="ar"/>
              </w:rPr>
              <w:t>4.无正当理由大量反复申请</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79" w:hRule="atLeast"/>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943" w:type="dxa"/>
            <w:vMerge w:val="continue"/>
            <w:tcBorders>
              <w:top w:val="single" w:color="auto" w:sz="0" w:space="0"/>
              <w:left w:val="single" w:color="auto" w:sz="0" w:space="0"/>
              <w:bottom w:val="inset" w:color="auto" w:sz="8" w:space="0"/>
              <w:right w:val="single" w:color="auto" w:sz="8" w:space="0"/>
            </w:tcBorders>
            <w:shd w:val="clear" w:color="auto" w:fill="DDEBF7"/>
            <w:tcMar>
              <w:left w:w="57" w:type="dxa"/>
              <w:right w:w="57" w:type="dxa"/>
            </w:tcMar>
            <w:vAlign w:val="center"/>
          </w:tcPr>
          <w:p>
            <w:pPr>
              <w:rPr>
                <w:rFonts w:ascii="Times New Roman" w:hAnsi="Times New Roman"/>
                <w:sz w:val="20"/>
                <w:szCs w:val="20"/>
              </w:rPr>
            </w:pPr>
          </w:p>
        </w:tc>
        <w:tc>
          <w:tcPr>
            <w:tcW w:w="3220" w:type="dxa"/>
            <w:tcBorders>
              <w:top w:val="single" w:color="auto" w:sz="0" w:space="0"/>
              <w:left w:val="single" w:color="auto" w:sz="0" w:space="0"/>
              <w:bottom w:val="inset" w:color="auto" w:sz="8" w:space="0"/>
              <w:right w:val="single" w:color="auto" w:sz="8" w:space="0"/>
            </w:tcBorders>
            <w:shd w:val="clear" w:color="auto" w:fill="DDEBF7"/>
            <w:tcMar>
              <w:left w:w="57" w:type="dxa"/>
              <w:right w:w="57" w:type="dxa"/>
            </w:tcMar>
            <w:vAlign w:val="center"/>
          </w:tcPr>
          <w:p>
            <w:pPr>
              <w:widowControl/>
            </w:pPr>
            <w:r>
              <w:rPr>
                <w:rFonts w:hint="eastAsia" w:ascii="宋体" w:hAnsi="宋体" w:cs="宋体"/>
                <w:kern w:val="0"/>
                <w:sz w:val="20"/>
                <w:szCs w:val="20"/>
                <w:lang w:bidi="ar"/>
              </w:rPr>
              <w:t>5.要求行政机关确认或重新出具已获取信息</w:t>
            </w:r>
          </w:p>
        </w:tc>
        <w:tc>
          <w:tcPr>
            <w:tcW w:w="688" w:type="dxa"/>
            <w:tcBorders>
              <w:top w:val="single" w:color="auto" w:sz="0" w:space="0"/>
              <w:left w:val="single" w:color="auto" w:sz="0" w:space="0"/>
              <w:bottom w:val="inset" w:color="auto" w:sz="8" w:space="0"/>
              <w:right w:val="single" w:color="auto" w:sz="8" w:space="0"/>
            </w:tcBorders>
            <w:tcMar>
              <w:left w:w="57" w:type="dxa"/>
              <w:right w:w="57" w:type="dxa"/>
            </w:tcMar>
            <w:vAlign w:val="center"/>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single" w:color="auto" w:sz="0" w:space="0"/>
              <w:left w:val="single" w:color="auto" w:sz="0" w:space="0"/>
              <w:bottom w:val="inset" w:color="auto" w:sz="8" w:space="0"/>
              <w:right w:val="single" w:color="auto" w:sz="8" w:space="0"/>
            </w:tcBorders>
            <w:tcMar>
              <w:left w:w="57" w:type="dxa"/>
              <w:right w:w="57" w:type="dxa"/>
            </w:tcMar>
            <w:vAlign w:val="center"/>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single" w:color="auto" w:sz="0" w:space="0"/>
              <w:left w:val="single" w:color="auto" w:sz="0" w:space="0"/>
              <w:bottom w:val="inset" w:color="auto" w:sz="8" w:space="0"/>
              <w:right w:val="single" w:color="auto" w:sz="8" w:space="0"/>
            </w:tcBorders>
            <w:tcMar>
              <w:left w:w="57" w:type="dxa"/>
              <w:right w:w="57" w:type="dxa"/>
            </w:tcMar>
            <w:vAlign w:val="center"/>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single" w:color="auto" w:sz="0" w:space="0"/>
              <w:left w:val="single" w:color="auto" w:sz="0" w:space="0"/>
              <w:bottom w:val="inset" w:color="auto" w:sz="8" w:space="0"/>
              <w:right w:val="single" w:color="auto" w:sz="8" w:space="0"/>
            </w:tcBorders>
            <w:tcMar>
              <w:left w:w="57" w:type="dxa"/>
              <w:right w:w="57" w:type="dxa"/>
            </w:tcMar>
            <w:vAlign w:val="center"/>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single" w:color="auto" w:sz="0" w:space="0"/>
              <w:left w:val="single" w:color="auto" w:sz="0" w:space="0"/>
              <w:bottom w:val="inset" w:color="auto" w:sz="8" w:space="0"/>
              <w:right w:val="single" w:color="auto" w:sz="8" w:space="0"/>
            </w:tcBorders>
            <w:tcMar>
              <w:left w:w="57" w:type="dxa"/>
              <w:right w:w="57" w:type="dxa"/>
            </w:tcMar>
            <w:vAlign w:val="center"/>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single" w:color="auto" w:sz="0" w:space="0"/>
              <w:left w:val="single" w:color="auto" w:sz="0" w:space="0"/>
              <w:bottom w:val="inset" w:color="auto" w:sz="8" w:space="0"/>
              <w:right w:val="single" w:color="auto" w:sz="8" w:space="0"/>
            </w:tcBorders>
            <w:tcMar>
              <w:left w:w="57" w:type="dxa"/>
              <w:right w:w="57" w:type="dxa"/>
            </w:tcMar>
            <w:vAlign w:val="center"/>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9" w:type="dxa"/>
            <w:tcBorders>
              <w:top w:val="single" w:color="auto" w:sz="0" w:space="0"/>
              <w:left w:val="single" w:color="auto" w:sz="0" w:space="0"/>
              <w:bottom w:val="inset" w:color="auto" w:sz="8" w:space="0"/>
              <w:right w:val="single" w:color="auto" w:sz="8" w:space="0"/>
            </w:tcBorders>
            <w:tcMar>
              <w:left w:w="57" w:type="dxa"/>
              <w:right w:w="57" w:type="dxa"/>
            </w:tcMar>
            <w:vAlign w:val="center"/>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943" w:type="dxa"/>
            <w:vMerge w:val="restart"/>
            <w:tcBorders>
              <w:top w:val="inset" w:color="auto" w:sz="8" w:space="0"/>
              <w:left w:val="single" w:color="auto" w:sz="0" w:space="0"/>
              <w:bottom w:val="inset" w:color="auto" w:sz="8" w:space="0"/>
              <w:right w:val="single" w:color="auto" w:sz="8" w:space="0"/>
            </w:tcBorders>
            <w:shd w:val="clear" w:color="auto" w:fill="DDEBF7"/>
            <w:tcMar>
              <w:left w:w="57" w:type="dxa"/>
              <w:right w:w="57" w:type="dxa"/>
            </w:tcMar>
            <w:vAlign w:val="center"/>
          </w:tcPr>
          <w:p>
            <w:pPr>
              <w:widowControl/>
              <w:jc w:val="left"/>
            </w:pPr>
            <w:r>
              <w:rPr>
                <w:rFonts w:hint="eastAsia" w:ascii="宋体" w:hAnsi="宋体" w:cs="宋体"/>
                <w:kern w:val="0"/>
                <w:sz w:val="20"/>
                <w:szCs w:val="20"/>
                <w:lang w:bidi="ar"/>
              </w:rPr>
              <w:t>（六）其他处理</w:t>
            </w:r>
          </w:p>
        </w:tc>
        <w:tc>
          <w:tcPr>
            <w:tcW w:w="3220" w:type="dxa"/>
            <w:tcBorders>
              <w:top w:val="nil"/>
              <w:left w:val="nil"/>
              <w:bottom w:val="single" w:color="auto" w:sz="8" w:space="0"/>
              <w:right w:val="single" w:color="auto" w:sz="8" w:space="0"/>
            </w:tcBorders>
            <w:shd w:val="clear" w:color="auto" w:fill="DDEBF7"/>
            <w:tcMar>
              <w:left w:w="57" w:type="dxa"/>
              <w:right w:w="57" w:type="dxa"/>
            </w:tcMar>
            <w:vAlign w:val="center"/>
          </w:tcPr>
          <w:p>
            <w:pPr>
              <w:widowControl/>
            </w:pPr>
            <w:r>
              <w:rPr>
                <w:rFonts w:hint="eastAsia" w:ascii="宋体" w:hAnsi="宋体" w:cs="宋体"/>
                <w:kern w:val="0"/>
                <w:sz w:val="20"/>
                <w:szCs w:val="20"/>
                <w:lang w:bidi="ar"/>
              </w:rPr>
              <w:t>1.申请人无正当理由逾期不补正、行政机关不再处理其政府信息公开申请</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943" w:type="dxa"/>
            <w:vMerge w:val="continue"/>
            <w:tcBorders>
              <w:top w:val="inset" w:color="auto" w:sz="8" w:space="0"/>
              <w:left w:val="single" w:color="auto" w:sz="0" w:space="0"/>
              <w:bottom w:val="inset" w:color="auto" w:sz="8" w:space="0"/>
              <w:right w:val="single" w:color="auto" w:sz="8" w:space="0"/>
            </w:tcBorders>
            <w:shd w:val="clear" w:color="auto" w:fill="DDEBF7"/>
            <w:tcMar>
              <w:left w:w="57" w:type="dxa"/>
              <w:right w:w="57" w:type="dxa"/>
            </w:tcMar>
            <w:vAlign w:val="center"/>
          </w:tcPr>
          <w:p>
            <w:pPr>
              <w:rPr>
                <w:rFonts w:ascii="Times New Roman" w:hAnsi="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center"/>
          </w:tcPr>
          <w:p>
            <w:pPr>
              <w:widowControl/>
            </w:pPr>
            <w:r>
              <w:rPr>
                <w:rFonts w:hint="eastAsia" w:ascii="宋体" w:hAnsi="宋体" w:cs="宋体"/>
                <w:kern w:val="0"/>
                <w:sz w:val="20"/>
                <w:szCs w:val="20"/>
                <w:lang w:bidi="ar"/>
              </w:rPr>
              <w:t>2.申请人逾期未按收费通知要求缴纳费用、行政机关不再处理其政府信息公开申请</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943" w:type="dxa"/>
            <w:vMerge w:val="continue"/>
            <w:tcBorders>
              <w:top w:val="inset" w:color="auto" w:sz="8" w:space="0"/>
              <w:left w:val="single" w:color="auto" w:sz="0" w:space="0"/>
              <w:bottom w:val="inset" w:color="auto" w:sz="8" w:space="0"/>
              <w:right w:val="single" w:color="auto" w:sz="8" w:space="0"/>
            </w:tcBorders>
            <w:shd w:val="clear" w:color="auto" w:fill="DDEBF7"/>
            <w:tcMar>
              <w:left w:w="57" w:type="dxa"/>
              <w:right w:w="57" w:type="dxa"/>
            </w:tcMar>
            <w:vAlign w:val="center"/>
          </w:tcPr>
          <w:p>
            <w:pPr>
              <w:rPr>
                <w:rFonts w:ascii="Times New Roman" w:hAnsi="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center"/>
          </w:tcPr>
          <w:p>
            <w:pPr>
              <w:widowControl/>
              <w:jc w:val="left"/>
            </w:pPr>
            <w:r>
              <w:rPr>
                <w:rFonts w:hint="eastAsia" w:ascii="宋体" w:hAnsi="宋体" w:cs="宋体"/>
                <w:kern w:val="0"/>
                <w:sz w:val="20"/>
                <w:szCs w:val="20"/>
                <w:lang w:bidi="ar"/>
              </w:rPr>
              <w:t>3.其他</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4163" w:type="dxa"/>
            <w:gridSpan w:val="2"/>
            <w:tcBorders>
              <w:top w:val="nil"/>
              <w:left w:val="nil"/>
              <w:bottom w:val="single" w:color="auto" w:sz="8" w:space="0"/>
              <w:right w:val="single" w:color="auto" w:sz="8" w:space="0"/>
            </w:tcBorders>
            <w:shd w:val="clear" w:color="auto" w:fill="DDEBF7"/>
            <w:tcMar>
              <w:left w:w="57" w:type="dxa"/>
              <w:right w:w="57" w:type="dxa"/>
            </w:tcMar>
            <w:vAlign w:val="center"/>
          </w:tcPr>
          <w:p>
            <w:pPr>
              <w:widowControl/>
              <w:jc w:val="left"/>
            </w:pPr>
            <w:r>
              <w:rPr>
                <w:rFonts w:hint="eastAsia" w:ascii="宋体" w:hAnsi="宋体" w:cs="宋体"/>
                <w:kern w:val="0"/>
                <w:sz w:val="20"/>
                <w:szCs w:val="20"/>
                <w:lang w:bidi="ar"/>
              </w:rPr>
              <w:t>（七）总计</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7</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tcBorders>
              <w:top w:val="single" w:color="auto" w:sz="0" w:space="0"/>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left"/>
            </w:pPr>
            <w:r>
              <w:rPr>
                <w:rFonts w:hint="eastAsia" w:ascii="宋体" w:hAnsi="宋体" w:cs="宋体"/>
                <w:kern w:val="0"/>
                <w:sz w:val="20"/>
                <w:szCs w:val="20"/>
                <w:lang w:bidi="ar"/>
              </w:rPr>
              <w:t>四、结转下年度继续办理</w:t>
            </w:r>
          </w:p>
        </w:tc>
        <w:tc>
          <w:tcPr>
            <w:tcW w:w="688" w:type="dxa"/>
            <w:tcBorders>
              <w:top w:val="inset" w:color="auto" w:sz="6" w:space="0"/>
              <w:left w:val="single" w:color="auto" w:sz="0" w:space="0"/>
              <w:bottom w:val="inset" w:color="auto" w:sz="6" w:space="0"/>
              <w:right w:val="inset" w:color="auto" w:sz="6" w:space="0"/>
            </w:tcBorders>
            <w:vAlign w:val="center"/>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2</w:t>
            </w:r>
          </w:p>
        </w:tc>
        <w:tc>
          <w:tcPr>
            <w:tcW w:w="688" w:type="dxa"/>
            <w:tcBorders>
              <w:top w:val="inset" w:color="auto" w:sz="6" w:space="0"/>
              <w:left w:val="single" w:color="auto" w:sz="0" w:space="0"/>
              <w:bottom w:val="inset" w:color="auto" w:sz="6" w:space="0"/>
              <w:right w:val="inset" w:color="auto" w:sz="6" w:space="0"/>
            </w:tcBorders>
            <w:vAlign w:val="center"/>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inset" w:color="auto" w:sz="6" w:space="0"/>
              <w:left w:val="single" w:color="auto" w:sz="0" w:space="0"/>
              <w:bottom w:val="inset" w:color="auto" w:sz="6" w:space="0"/>
              <w:right w:val="inset" w:color="auto" w:sz="6" w:space="0"/>
            </w:tcBorders>
            <w:vAlign w:val="center"/>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inset" w:color="auto" w:sz="6" w:space="0"/>
              <w:left w:val="single" w:color="auto" w:sz="0" w:space="0"/>
              <w:bottom w:val="inset" w:color="auto" w:sz="6" w:space="0"/>
              <w:right w:val="inset" w:color="auto" w:sz="6" w:space="0"/>
            </w:tcBorders>
            <w:vAlign w:val="center"/>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inset" w:color="auto" w:sz="6" w:space="0"/>
              <w:left w:val="single" w:color="auto" w:sz="0" w:space="0"/>
              <w:bottom w:val="inset" w:color="auto" w:sz="6" w:space="0"/>
              <w:right w:val="inset" w:color="auto" w:sz="6" w:space="0"/>
            </w:tcBorders>
            <w:vAlign w:val="center"/>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8" w:type="dxa"/>
            <w:tcBorders>
              <w:top w:val="inset" w:color="auto" w:sz="6" w:space="0"/>
              <w:left w:val="single" w:color="auto" w:sz="0" w:space="0"/>
              <w:bottom w:val="inset" w:color="auto" w:sz="6" w:space="0"/>
              <w:right w:val="inset" w:color="auto" w:sz="6" w:space="0"/>
            </w:tcBorders>
            <w:vAlign w:val="center"/>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0</w:t>
            </w:r>
          </w:p>
        </w:tc>
        <w:tc>
          <w:tcPr>
            <w:tcW w:w="689" w:type="dxa"/>
            <w:tcBorders>
              <w:top w:val="inset" w:color="auto" w:sz="6" w:space="0"/>
              <w:left w:val="single" w:color="auto" w:sz="0" w:space="0"/>
              <w:bottom w:val="inset" w:color="auto" w:sz="6" w:space="0"/>
              <w:right w:val="inset" w:color="auto" w:sz="6" w:space="0"/>
            </w:tcBorders>
            <w:vAlign w:val="center"/>
          </w:tcPr>
          <w:p>
            <w:pPr>
              <w:widowControl/>
              <w:jc w:val="center"/>
              <w:rPr>
                <w:rFonts w:hint="eastAsia" w:cs="Calibri"/>
                <w:kern w:val="0"/>
                <w:sz w:val="20"/>
                <w:szCs w:val="20"/>
                <w:lang w:val="en-US" w:eastAsia="zh-CN" w:bidi="ar"/>
              </w:rPr>
            </w:pPr>
            <w:r>
              <w:rPr>
                <w:rFonts w:hint="eastAsia" w:cs="Calibri"/>
                <w:kern w:val="0"/>
                <w:sz w:val="20"/>
                <w:szCs w:val="20"/>
                <w:lang w:val="en-US" w:eastAsia="zh-CN" w:bidi="ar"/>
              </w:rPr>
              <w:t>2</w:t>
            </w:r>
          </w:p>
        </w:tc>
      </w:tr>
    </w:tbl>
    <w:p>
      <w:pPr>
        <w:pStyle w:val="2"/>
        <w:widowControl/>
        <w:ind w:left="420" w:leftChars="200"/>
      </w:pPr>
    </w:p>
    <w:p>
      <w:pPr>
        <w:pStyle w:val="2"/>
        <w:widowControl/>
        <w:ind w:left="420" w:leftChars="200"/>
      </w:pPr>
    </w:p>
    <w:p>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四、政府信息公开行政复议、行政诉讼情况</w:t>
      </w:r>
    </w:p>
    <w:p>
      <w:pPr>
        <w:widowControl/>
        <w:jc w:val="center"/>
      </w:pPr>
    </w:p>
    <w:tbl>
      <w:tblPr>
        <w:tblStyle w:val="7"/>
        <w:tblW w:w="9748"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47" w:hRule="atLeast"/>
          <w:jc w:val="center"/>
        </w:trPr>
        <w:tc>
          <w:tcPr>
            <w:tcW w:w="3245" w:type="dxa"/>
            <w:gridSpan w:val="5"/>
            <w:tcBorders>
              <w:top w:val="single" w:color="auto" w:sz="8" w:space="0"/>
              <w:left w:val="single" w:color="auto" w:sz="8" w:space="0"/>
              <w:bottom w:val="single" w:color="auto" w:sz="8" w:space="0"/>
              <w:right w:val="single" w:color="auto" w:sz="8" w:space="0"/>
            </w:tcBorders>
            <w:shd w:val="clear" w:color="auto" w:fill="BDD7EE"/>
            <w:tcMar>
              <w:left w:w="108" w:type="dxa"/>
              <w:right w:w="108" w:type="dxa"/>
            </w:tcMar>
            <w:vAlign w:val="center"/>
          </w:tcPr>
          <w:p>
            <w:pPr>
              <w:widowControl/>
              <w:jc w:val="center"/>
            </w:pPr>
            <w:r>
              <w:rPr>
                <w:rFonts w:hint="eastAsia" w:ascii="宋体" w:hAnsi="宋体" w:cs="宋体"/>
                <w:kern w:val="0"/>
                <w:sz w:val="20"/>
                <w:szCs w:val="20"/>
                <w:lang w:bidi="ar"/>
              </w:rPr>
              <w:t>行政复议</w:t>
            </w:r>
          </w:p>
        </w:tc>
        <w:tc>
          <w:tcPr>
            <w:tcW w:w="6503" w:type="dxa"/>
            <w:gridSpan w:val="10"/>
            <w:tcBorders>
              <w:top w:val="single" w:color="auto" w:sz="8" w:space="0"/>
              <w:left w:val="single" w:color="auto" w:sz="8" w:space="0"/>
              <w:bottom w:val="single" w:color="auto" w:sz="8" w:space="0"/>
              <w:right w:val="single" w:color="auto" w:sz="8" w:space="0"/>
            </w:tcBorders>
            <w:shd w:val="clear" w:color="auto" w:fill="BDD7EE"/>
            <w:tcMar>
              <w:left w:w="108" w:type="dxa"/>
              <w:right w:w="108" w:type="dxa"/>
            </w:tcMar>
            <w:vAlign w:val="center"/>
          </w:tcPr>
          <w:p>
            <w:pPr>
              <w:widowControl/>
              <w:jc w:val="center"/>
            </w:pPr>
            <w:r>
              <w:rPr>
                <w:rFonts w:hint="eastAsia" w:ascii="宋体" w:hAnsi="宋体" w:cs="宋体"/>
                <w:kern w:val="0"/>
                <w:sz w:val="20"/>
                <w:szCs w:val="20"/>
                <w:lang w:bidi="ar"/>
              </w:rPr>
              <w:t>行政诉讼</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82" w:hRule="atLeast"/>
          <w:jc w:val="center"/>
        </w:trPr>
        <w:tc>
          <w:tcPr>
            <w:tcW w:w="649"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jc w:val="center"/>
            </w:pPr>
            <w:r>
              <w:rPr>
                <w:rFonts w:hint="eastAsia" w:ascii="宋体" w:hAnsi="宋体" w:cs="宋体"/>
                <w:kern w:val="0"/>
                <w:sz w:val="20"/>
                <w:szCs w:val="20"/>
                <w:lang w:bidi="ar"/>
              </w:rPr>
              <w:t>结果维持</w:t>
            </w:r>
          </w:p>
        </w:tc>
        <w:tc>
          <w:tcPr>
            <w:tcW w:w="649"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jc w:val="center"/>
            </w:pPr>
            <w:r>
              <w:rPr>
                <w:rFonts w:hint="eastAsia" w:ascii="宋体" w:hAnsi="宋体" w:cs="宋体"/>
                <w:kern w:val="0"/>
                <w:sz w:val="20"/>
                <w:szCs w:val="20"/>
                <w:lang w:bidi="ar"/>
              </w:rPr>
              <w:t>结果</w:t>
            </w:r>
            <w:r>
              <w:rPr>
                <w:rFonts w:hint="eastAsia" w:ascii="宋体" w:hAnsi="宋体" w:cs="宋体"/>
                <w:kern w:val="0"/>
                <w:sz w:val="20"/>
                <w:szCs w:val="20"/>
                <w:lang w:bidi="ar"/>
              </w:rPr>
              <w:br w:type="textWrapping"/>
            </w:r>
            <w:r>
              <w:rPr>
                <w:rFonts w:hint="eastAsia" w:ascii="宋体" w:hAnsi="宋体" w:cs="宋体"/>
                <w:kern w:val="0"/>
                <w:sz w:val="20"/>
                <w:szCs w:val="20"/>
                <w:lang w:bidi="ar"/>
              </w:rPr>
              <w:t>纠正</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widowControl/>
              <w:jc w:val="center"/>
            </w:pPr>
            <w:r>
              <w:rPr>
                <w:rFonts w:hint="eastAsia" w:ascii="宋体" w:hAnsi="宋体" w:cs="宋体"/>
                <w:kern w:val="0"/>
                <w:sz w:val="20"/>
                <w:szCs w:val="20"/>
                <w:lang w:bidi="ar"/>
              </w:rPr>
              <w:t>其他</w:t>
            </w:r>
            <w:r>
              <w:rPr>
                <w:rFonts w:hint="eastAsia" w:ascii="宋体" w:hAnsi="宋体" w:cs="宋体"/>
                <w:kern w:val="0"/>
                <w:sz w:val="20"/>
                <w:szCs w:val="20"/>
                <w:lang w:bidi="ar"/>
              </w:rPr>
              <w:br w:type="textWrapping"/>
            </w:r>
            <w:r>
              <w:rPr>
                <w:rFonts w:hint="eastAsia" w:ascii="宋体" w:hAnsi="宋体" w:cs="宋体"/>
                <w:kern w:val="0"/>
                <w:sz w:val="20"/>
                <w:szCs w:val="20"/>
                <w:lang w:bidi="ar"/>
              </w:rPr>
              <w:t>结果</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widowControl/>
              <w:jc w:val="center"/>
            </w:pPr>
            <w:r>
              <w:rPr>
                <w:rFonts w:hint="eastAsia" w:ascii="宋体" w:hAnsi="宋体" w:cs="宋体"/>
                <w:kern w:val="0"/>
                <w:sz w:val="20"/>
                <w:szCs w:val="20"/>
                <w:lang w:bidi="ar"/>
              </w:rPr>
              <w:t>尚未</w:t>
            </w:r>
            <w:r>
              <w:rPr>
                <w:rFonts w:hint="eastAsia" w:ascii="宋体" w:hAnsi="宋体" w:cs="宋体"/>
                <w:kern w:val="0"/>
                <w:sz w:val="20"/>
                <w:szCs w:val="20"/>
                <w:lang w:bidi="ar"/>
              </w:rPr>
              <w:br w:type="textWrapping"/>
            </w:r>
            <w:r>
              <w:rPr>
                <w:rFonts w:hint="eastAsia" w:ascii="宋体" w:hAnsi="宋体" w:cs="宋体"/>
                <w:kern w:val="0"/>
                <w:sz w:val="20"/>
                <w:szCs w:val="20"/>
                <w:lang w:bidi="ar"/>
              </w:rPr>
              <w:t>审结</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widowControl/>
              <w:jc w:val="center"/>
            </w:pPr>
            <w:r>
              <w:rPr>
                <w:rFonts w:hint="eastAsia" w:ascii="宋体" w:hAnsi="宋体" w:cs="宋体"/>
                <w:kern w:val="0"/>
                <w:sz w:val="20"/>
                <w:szCs w:val="20"/>
                <w:lang w:bidi="ar"/>
              </w:rPr>
              <w:t>总计</w:t>
            </w:r>
          </w:p>
        </w:tc>
        <w:tc>
          <w:tcPr>
            <w:tcW w:w="3248" w:type="dxa"/>
            <w:gridSpan w:val="5"/>
            <w:tcBorders>
              <w:top w:val="single" w:color="auto" w:sz="8" w:space="0"/>
              <w:left w:val="single" w:color="auto" w:sz="8" w:space="0"/>
              <w:bottom w:val="single" w:color="auto" w:sz="8" w:space="0"/>
              <w:right w:val="single" w:color="auto" w:sz="8" w:space="0"/>
            </w:tcBorders>
            <w:shd w:val="clear" w:color="auto" w:fill="DDEBF7"/>
            <w:tcMar>
              <w:left w:w="108" w:type="dxa"/>
              <w:right w:w="108" w:type="dxa"/>
            </w:tcMar>
            <w:vAlign w:val="center"/>
          </w:tcPr>
          <w:p>
            <w:pPr>
              <w:widowControl/>
              <w:jc w:val="center"/>
            </w:pPr>
            <w:r>
              <w:rPr>
                <w:rFonts w:hint="eastAsia" w:ascii="宋体" w:hAnsi="宋体" w:cs="宋体"/>
                <w:kern w:val="0"/>
                <w:sz w:val="20"/>
                <w:szCs w:val="20"/>
                <w:lang w:bidi="ar"/>
              </w:rPr>
              <w:t>未经复议直接起诉</w:t>
            </w:r>
          </w:p>
        </w:tc>
        <w:tc>
          <w:tcPr>
            <w:tcW w:w="3255" w:type="dxa"/>
            <w:gridSpan w:val="5"/>
            <w:tcBorders>
              <w:top w:val="single" w:color="auto" w:sz="8" w:space="0"/>
              <w:left w:val="single" w:color="auto" w:sz="8" w:space="0"/>
              <w:bottom w:val="single" w:color="auto" w:sz="8" w:space="0"/>
              <w:right w:val="single" w:color="auto" w:sz="8" w:space="0"/>
            </w:tcBorders>
            <w:shd w:val="clear" w:color="auto" w:fill="DDEBF7"/>
            <w:tcMar>
              <w:left w:w="108" w:type="dxa"/>
              <w:right w:w="108" w:type="dxa"/>
            </w:tcMar>
            <w:vAlign w:val="center"/>
          </w:tcPr>
          <w:p>
            <w:pPr>
              <w:widowControl/>
              <w:jc w:val="center"/>
            </w:pPr>
            <w:r>
              <w:rPr>
                <w:rFonts w:hint="eastAsia" w:ascii="宋体" w:hAnsi="宋体" w:cs="宋体"/>
                <w:kern w:val="0"/>
                <w:sz w:val="20"/>
                <w:szCs w:val="20"/>
                <w:lang w:bidi="ar"/>
              </w:rPr>
              <w:t>复议后起诉</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14" w:hRule="atLeast"/>
          <w:jc w:val="center"/>
        </w:trPr>
        <w:tc>
          <w:tcPr>
            <w:tcW w:w="649"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ascii="Times New Roman" w:hAnsi="Times New Roman"/>
                <w:sz w:val="20"/>
                <w:szCs w:val="20"/>
              </w:rPr>
            </w:pPr>
          </w:p>
        </w:tc>
        <w:tc>
          <w:tcPr>
            <w:tcW w:w="649"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ascii="Times New Roman" w:hAnsi="Times New Roman"/>
                <w:sz w:val="20"/>
                <w:szCs w:val="20"/>
              </w:rPr>
            </w:pPr>
          </w:p>
        </w:tc>
        <w:tc>
          <w:tcPr>
            <w:tcW w:w="649"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rPr>
                <w:rFonts w:ascii="Times New Roman" w:hAnsi="Times New Roman"/>
                <w:sz w:val="20"/>
                <w:szCs w:val="20"/>
              </w:rPr>
            </w:pPr>
          </w:p>
        </w:tc>
        <w:tc>
          <w:tcPr>
            <w:tcW w:w="649"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rPr>
                <w:rFonts w:ascii="Times New Roman" w:hAnsi="Times New Roman"/>
                <w:sz w:val="20"/>
                <w:szCs w:val="20"/>
              </w:rPr>
            </w:pPr>
          </w:p>
        </w:tc>
        <w:tc>
          <w:tcPr>
            <w:tcW w:w="649"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rPr>
                <w:rFonts w:ascii="Times New Roman" w:hAnsi="Times New Roman"/>
                <w:sz w:val="20"/>
                <w:szCs w:val="20"/>
              </w:rPr>
            </w:pP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宋体" w:hAnsi="宋体" w:cs="宋体"/>
                <w:kern w:val="0"/>
                <w:sz w:val="20"/>
                <w:szCs w:val="20"/>
                <w:lang w:bidi="ar"/>
              </w:rPr>
              <w:t>结果</w:t>
            </w:r>
            <w:r>
              <w:rPr>
                <w:rFonts w:hint="eastAsia" w:ascii="宋体" w:hAnsi="宋体" w:cs="宋体"/>
                <w:kern w:val="0"/>
                <w:sz w:val="20"/>
                <w:szCs w:val="20"/>
                <w:lang w:bidi="ar"/>
              </w:rPr>
              <w:br w:type="textWrapping"/>
            </w:r>
            <w:r>
              <w:rPr>
                <w:rFonts w:hint="eastAsia" w:ascii="宋体" w:hAnsi="宋体" w:cs="宋体"/>
                <w:kern w:val="0"/>
                <w:sz w:val="20"/>
                <w:szCs w:val="20"/>
                <w:lang w:bidi="ar"/>
              </w:rPr>
              <w:t>维持</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宋体" w:hAnsi="宋体" w:cs="宋体"/>
                <w:kern w:val="0"/>
                <w:sz w:val="20"/>
                <w:szCs w:val="20"/>
                <w:lang w:bidi="ar"/>
              </w:rPr>
              <w:t>结果</w:t>
            </w:r>
            <w:r>
              <w:rPr>
                <w:rFonts w:hint="eastAsia" w:ascii="宋体" w:hAnsi="宋体" w:cs="宋体"/>
                <w:kern w:val="0"/>
                <w:sz w:val="20"/>
                <w:szCs w:val="20"/>
                <w:lang w:bidi="ar"/>
              </w:rPr>
              <w:br w:type="textWrapping"/>
            </w:r>
            <w:r>
              <w:rPr>
                <w:rFonts w:hint="eastAsia" w:ascii="宋体" w:hAnsi="宋体" w:cs="宋体"/>
                <w:kern w:val="0"/>
                <w:sz w:val="20"/>
                <w:szCs w:val="20"/>
                <w:lang w:bidi="ar"/>
              </w:rPr>
              <w:t>纠正</w:t>
            </w:r>
          </w:p>
        </w:tc>
        <w:tc>
          <w:tcPr>
            <w:tcW w:w="65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宋体" w:hAnsi="宋体" w:cs="宋体"/>
                <w:kern w:val="0"/>
                <w:sz w:val="20"/>
                <w:szCs w:val="20"/>
                <w:lang w:bidi="ar"/>
              </w:rPr>
              <w:t>其他</w:t>
            </w:r>
            <w:r>
              <w:rPr>
                <w:rFonts w:hint="eastAsia" w:ascii="宋体" w:hAnsi="宋体" w:cs="宋体"/>
                <w:kern w:val="0"/>
                <w:sz w:val="20"/>
                <w:szCs w:val="20"/>
                <w:lang w:bidi="ar"/>
              </w:rPr>
              <w:br w:type="textWrapping"/>
            </w:r>
            <w:r>
              <w:rPr>
                <w:rFonts w:hint="eastAsia" w:ascii="宋体" w:hAnsi="宋体" w:cs="宋体"/>
                <w:kern w:val="0"/>
                <w:sz w:val="20"/>
                <w:szCs w:val="20"/>
                <w:lang w:bidi="ar"/>
              </w:rPr>
              <w:t>结果</w:t>
            </w:r>
          </w:p>
        </w:tc>
        <w:tc>
          <w:tcPr>
            <w:tcW w:w="65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宋体" w:hAnsi="宋体" w:cs="宋体"/>
                <w:kern w:val="0"/>
                <w:sz w:val="20"/>
                <w:szCs w:val="20"/>
                <w:lang w:bidi="ar"/>
              </w:rPr>
              <w:t>尚未</w:t>
            </w:r>
            <w:r>
              <w:rPr>
                <w:rFonts w:hint="eastAsia" w:ascii="宋体" w:hAnsi="宋体" w:cs="宋体"/>
                <w:kern w:val="0"/>
                <w:sz w:val="20"/>
                <w:szCs w:val="20"/>
                <w:lang w:bidi="ar"/>
              </w:rPr>
              <w:br w:type="textWrapping"/>
            </w:r>
            <w:r>
              <w:rPr>
                <w:rFonts w:hint="eastAsia" w:ascii="宋体" w:hAnsi="宋体" w:cs="宋体"/>
                <w:kern w:val="0"/>
                <w:sz w:val="20"/>
                <w:szCs w:val="20"/>
                <w:lang w:bidi="ar"/>
              </w:rPr>
              <w:t>审结</w:t>
            </w:r>
          </w:p>
        </w:tc>
        <w:tc>
          <w:tcPr>
            <w:tcW w:w="65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宋体" w:hAnsi="宋体" w:cs="宋体"/>
                <w:color w:val="000000"/>
                <w:kern w:val="0"/>
                <w:sz w:val="20"/>
                <w:szCs w:val="20"/>
                <w:lang w:bidi="ar"/>
              </w:rPr>
              <w:t>总计</w:t>
            </w:r>
          </w:p>
        </w:tc>
        <w:tc>
          <w:tcPr>
            <w:tcW w:w="651"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宋体" w:hAnsi="宋体" w:cs="宋体"/>
                <w:kern w:val="0"/>
                <w:sz w:val="20"/>
                <w:szCs w:val="20"/>
                <w:lang w:bidi="ar"/>
              </w:rPr>
              <w:t>结果</w:t>
            </w:r>
            <w:r>
              <w:rPr>
                <w:rFonts w:hint="eastAsia" w:ascii="宋体" w:hAnsi="宋体" w:cs="宋体"/>
                <w:kern w:val="0"/>
                <w:sz w:val="20"/>
                <w:szCs w:val="20"/>
                <w:lang w:bidi="ar"/>
              </w:rPr>
              <w:br w:type="textWrapping"/>
            </w:r>
            <w:r>
              <w:rPr>
                <w:rFonts w:hint="eastAsia" w:ascii="宋体" w:hAnsi="宋体" w:cs="宋体"/>
                <w:kern w:val="0"/>
                <w:sz w:val="20"/>
                <w:szCs w:val="20"/>
                <w:lang w:bidi="ar"/>
              </w:rPr>
              <w:t>维持</w:t>
            </w:r>
          </w:p>
        </w:tc>
        <w:tc>
          <w:tcPr>
            <w:tcW w:w="651"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宋体" w:hAnsi="宋体" w:cs="宋体"/>
                <w:kern w:val="0"/>
                <w:sz w:val="20"/>
                <w:szCs w:val="20"/>
                <w:lang w:bidi="ar"/>
              </w:rPr>
              <w:t>结果</w:t>
            </w:r>
            <w:r>
              <w:rPr>
                <w:rFonts w:hint="eastAsia" w:ascii="宋体" w:hAnsi="宋体" w:cs="宋体"/>
                <w:kern w:val="0"/>
                <w:sz w:val="20"/>
                <w:szCs w:val="20"/>
                <w:lang w:bidi="ar"/>
              </w:rPr>
              <w:br w:type="textWrapping"/>
            </w:r>
            <w:r>
              <w:rPr>
                <w:rFonts w:hint="eastAsia" w:ascii="宋体" w:hAnsi="宋体" w:cs="宋体"/>
                <w:kern w:val="0"/>
                <w:sz w:val="20"/>
                <w:szCs w:val="20"/>
                <w:lang w:bidi="ar"/>
              </w:rPr>
              <w:t>纠正</w:t>
            </w:r>
          </w:p>
        </w:tc>
        <w:tc>
          <w:tcPr>
            <w:tcW w:w="651"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宋体" w:hAnsi="宋体" w:cs="宋体"/>
                <w:color w:val="000000"/>
                <w:kern w:val="0"/>
                <w:sz w:val="20"/>
                <w:szCs w:val="20"/>
                <w:lang w:bidi="ar"/>
              </w:rPr>
              <w:t>其他</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结果</w:t>
            </w:r>
          </w:p>
        </w:tc>
        <w:tc>
          <w:tcPr>
            <w:tcW w:w="651"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宋体" w:hAnsi="宋体" w:cs="宋体"/>
                <w:kern w:val="0"/>
                <w:sz w:val="20"/>
                <w:szCs w:val="20"/>
                <w:lang w:bidi="ar"/>
              </w:rPr>
              <w:t>尚未</w:t>
            </w:r>
            <w:r>
              <w:rPr>
                <w:rFonts w:hint="eastAsia" w:ascii="宋体" w:hAnsi="宋体" w:cs="宋体"/>
                <w:kern w:val="0"/>
                <w:sz w:val="20"/>
                <w:szCs w:val="20"/>
                <w:lang w:bidi="ar"/>
              </w:rPr>
              <w:br w:type="textWrapping"/>
            </w:r>
            <w:r>
              <w:rPr>
                <w:rFonts w:hint="eastAsia" w:ascii="宋体" w:hAnsi="宋体" w:cs="宋体"/>
                <w:kern w:val="0"/>
                <w:sz w:val="20"/>
                <w:szCs w:val="20"/>
                <w:lang w:bidi="ar"/>
              </w:rPr>
              <w:t>审结</w:t>
            </w:r>
          </w:p>
        </w:tc>
        <w:tc>
          <w:tcPr>
            <w:tcW w:w="651"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宋体" w:hAnsi="宋体" w:cs="宋体"/>
                <w:color w:val="000000"/>
                <w:kern w:val="0"/>
                <w:sz w:val="20"/>
                <w:szCs w:val="20"/>
                <w:lang w:bidi="ar"/>
              </w:rPr>
              <w:t>总计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672" w:hRule="atLeast"/>
          <w:jc w:val="center"/>
        </w:trPr>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rPr>
                <w:rFonts w:hint="eastAsia" w:eastAsiaTheme="minorEastAsia"/>
                <w:lang w:val="en-US" w:eastAsia="zh-CN"/>
              </w:rPr>
            </w:pPr>
            <w:r>
              <w:rPr>
                <w:rFonts w:hint="eastAsia"/>
                <w:lang w:val="en-US" w:eastAsia="zh-CN"/>
              </w:rPr>
              <w:t>0</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rPr>
                <w:rFonts w:hint="eastAsia"/>
                <w:lang w:val="en-US" w:eastAsia="zh-CN"/>
              </w:rPr>
            </w:pPr>
            <w:r>
              <w:rPr>
                <w:rFonts w:hint="eastAsia"/>
                <w:lang w:val="en-US" w:eastAsia="zh-CN"/>
              </w:rPr>
              <w:t>0</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rPr>
                <w:rFonts w:hint="eastAsia"/>
                <w:lang w:val="en-US" w:eastAsia="zh-CN"/>
              </w:rPr>
            </w:pPr>
            <w:r>
              <w:rPr>
                <w:rFonts w:hint="eastAsia"/>
                <w:lang w:val="en-US" w:eastAsia="zh-CN"/>
              </w:rPr>
              <w:t>0</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rPr>
                <w:rFonts w:hint="eastAsia"/>
                <w:lang w:val="en-US" w:eastAsia="zh-CN"/>
              </w:rPr>
            </w:pPr>
            <w:r>
              <w:rPr>
                <w:rFonts w:hint="eastAsia"/>
                <w:lang w:val="en-US" w:eastAsia="zh-CN"/>
              </w:rPr>
              <w:t>0 </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rPr>
                <w:rFonts w:hint="eastAsia"/>
                <w:lang w:val="en-US" w:eastAsia="zh-CN"/>
              </w:rPr>
            </w:pPr>
            <w:r>
              <w:rPr>
                <w:rFonts w:hint="eastAsia"/>
                <w:lang w:val="en-US" w:eastAsia="zh-CN"/>
              </w:rPr>
              <w:t>0</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rPr>
                <w:rFonts w:hint="eastAsia"/>
                <w:lang w:val="en-US" w:eastAsia="zh-CN"/>
              </w:rPr>
            </w:pPr>
            <w:r>
              <w:rPr>
                <w:rFonts w:hint="eastAsia"/>
                <w:lang w:val="en-US" w:eastAsia="zh-CN"/>
              </w:rPr>
              <w:t>0</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rPr>
                <w:rFonts w:hint="eastAsia"/>
                <w:lang w:val="en-US" w:eastAsia="zh-CN"/>
              </w:rPr>
            </w:pPr>
            <w:r>
              <w:rPr>
                <w:rFonts w:hint="eastAsia"/>
                <w:lang w:val="en-US" w:eastAsia="zh-CN"/>
              </w:rPr>
              <w:t>0 </w:t>
            </w:r>
          </w:p>
        </w:tc>
        <w:tc>
          <w:tcPr>
            <w:tcW w:w="650"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rPr>
                <w:rFonts w:hint="eastAsia"/>
                <w:lang w:val="en-US" w:eastAsia="zh-CN"/>
              </w:rPr>
            </w:pPr>
            <w:r>
              <w:rPr>
                <w:rFonts w:hint="eastAsia"/>
                <w:lang w:val="en-US" w:eastAsia="zh-CN"/>
              </w:rPr>
              <w:t>0</w:t>
            </w:r>
          </w:p>
        </w:tc>
        <w:tc>
          <w:tcPr>
            <w:tcW w:w="650"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rPr>
                <w:rFonts w:hint="eastAsia"/>
                <w:lang w:val="en-US" w:eastAsia="zh-CN"/>
              </w:rPr>
            </w:pPr>
            <w:r>
              <w:rPr>
                <w:rFonts w:hint="eastAsia"/>
                <w:lang w:val="en-US" w:eastAsia="zh-CN"/>
              </w:rPr>
              <w:t>0 </w:t>
            </w:r>
          </w:p>
        </w:tc>
        <w:tc>
          <w:tcPr>
            <w:tcW w:w="650"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rPr>
                <w:rFonts w:hint="eastAsia"/>
                <w:lang w:val="en-US" w:eastAsia="zh-CN"/>
              </w:rPr>
            </w:pPr>
            <w:r>
              <w:rPr>
                <w:rFonts w:hint="eastAsia"/>
                <w:lang w:val="en-US" w:eastAsia="zh-CN"/>
              </w:rPr>
              <w:t>0 </w:t>
            </w:r>
          </w:p>
        </w:tc>
        <w:tc>
          <w:tcPr>
            <w:tcW w:w="651"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rPr>
                <w:rFonts w:hint="eastAsia"/>
                <w:lang w:val="en-US" w:eastAsia="zh-CN"/>
              </w:rPr>
            </w:pPr>
            <w:r>
              <w:rPr>
                <w:rFonts w:hint="eastAsia"/>
                <w:lang w:val="en-US" w:eastAsia="zh-CN"/>
              </w:rPr>
              <w:t>0 </w:t>
            </w:r>
          </w:p>
        </w:tc>
        <w:tc>
          <w:tcPr>
            <w:tcW w:w="651"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rPr>
                <w:rFonts w:hint="eastAsia"/>
                <w:lang w:val="en-US" w:eastAsia="zh-CN"/>
              </w:rPr>
            </w:pPr>
            <w:r>
              <w:rPr>
                <w:rFonts w:hint="eastAsia"/>
                <w:lang w:val="en-US" w:eastAsia="zh-CN"/>
              </w:rPr>
              <w:t>0</w:t>
            </w:r>
          </w:p>
        </w:tc>
        <w:tc>
          <w:tcPr>
            <w:tcW w:w="651"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rPr>
                <w:rFonts w:hint="eastAsia"/>
                <w:lang w:val="en-US" w:eastAsia="zh-CN"/>
              </w:rPr>
            </w:pPr>
            <w:r>
              <w:rPr>
                <w:rFonts w:hint="eastAsia"/>
                <w:lang w:val="en-US" w:eastAsia="zh-CN"/>
              </w:rPr>
              <w:t>0</w:t>
            </w:r>
          </w:p>
        </w:tc>
        <w:tc>
          <w:tcPr>
            <w:tcW w:w="651"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rPr>
                <w:rFonts w:hint="eastAsia"/>
                <w:lang w:val="en-US" w:eastAsia="zh-CN"/>
              </w:rPr>
            </w:pPr>
            <w:r>
              <w:rPr>
                <w:rFonts w:hint="eastAsia"/>
                <w:lang w:val="en-US" w:eastAsia="zh-CN"/>
              </w:rPr>
              <w:t>0 </w:t>
            </w:r>
          </w:p>
        </w:tc>
        <w:tc>
          <w:tcPr>
            <w:tcW w:w="651"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rPr>
                <w:rFonts w:hint="eastAsia"/>
                <w:lang w:val="en-US" w:eastAsia="zh-CN"/>
              </w:rPr>
            </w:pPr>
            <w:r>
              <w:rPr>
                <w:rFonts w:hint="eastAsia"/>
                <w:lang w:val="en-US" w:eastAsia="zh-CN"/>
              </w:rPr>
              <w:t>0</w:t>
            </w:r>
          </w:p>
        </w:tc>
      </w:tr>
    </w:tbl>
    <w:p>
      <w:pPr>
        <w:widowControl/>
        <w:jc w:val="left"/>
      </w:pPr>
    </w:p>
    <w:p>
      <w:pPr>
        <w:widowControl/>
        <w:spacing w:line="560" w:lineRule="exact"/>
        <w:ind w:firstLine="672" w:firstLineChars="200"/>
        <w:jc w:val="left"/>
        <w:rPr>
          <w:rFonts w:hint="eastAsia" w:ascii="宋体" w:hAnsi="宋体" w:cs="宋体"/>
          <w:spacing w:val="8"/>
          <w:kern w:val="0"/>
          <w:sz w:val="24"/>
        </w:rPr>
      </w:pPr>
      <w:r>
        <w:rPr>
          <w:rFonts w:hint="eastAsia" w:ascii="黑体" w:hAnsi="宋体" w:eastAsia="黑体" w:cs="宋体"/>
          <w:spacing w:val="8"/>
          <w:kern w:val="0"/>
          <w:sz w:val="32"/>
          <w:szCs w:val="32"/>
          <w:lang w:bidi="ar"/>
        </w:rPr>
        <w:t>五、存在的主要问题及改进情况</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72" w:firstLineChars="200"/>
        <w:jc w:val="left"/>
        <w:textAlignment w:val="auto"/>
        <w:rPr>
          <w:rFonts w:hint="eastAsia" w:ascii="仿宋_GB2312" w:hAnsi="宋体" w:eastAsia="仿宋_GB2312" w:cs="宋体"/>
          <w:spacing w:val="8"/>
          <w:kern w:val="0"/>
          <w:sz w:val="32"/>
          <w:szCs w:val="32"/>
          <w:lang w:eastAsia="zh-CN"/>
        </w:rPr>
      </w:pPr>
      <w:r>
        <w:rPr>
          <w:rFonts w:hint="eastAsia" w:ascii="仿宋_GB2312" w:hAnsi="宋体" w:eastAsia="仿宋_GB2312" w:cs="宋体"/>
          <w:spacing w:val="8"/>
          <w:kern w:val="0"/>
          <w:sz w:val="32"/>
          <w:szCs w:val="32"/>
          <w:lang w:val="en-US" w:eastAsia="zh-CN"/>
        </w:rPr>
        <w:t>2023年，我局在政府信息公开工作上虽然取得了一定成绩，但仍存在一些不足，如政府信息公开平台建设还需进一步完善，政府信息公开工作人员业务水平仍需持续提升。</w:t>
      </w: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72" w:firstLineChars="200"/>
        <w:jc w:val="both"/>
        <w:textAlignment w:val="auto"/>
        <w:outlineLvl w:val="9"/>
        <w:rPr>
          <w:rFonts w:hint="eastAsia"/>
          <w:lang w:eastAsia="zh-CN"/>
        </w:rPr>
      </w:pPr>
      <w:r>
        <w:rPr>
          <w:rFonts w:hint="eastAsia" w:ascii="仿宋_GB2312" w:hAnsi="宋体" w:eastAsia="仿宋_GB2312" w:cs="宋体"/>
          <w:spacing w:val="8"/>
          <w:kern w:val="0"/>
          <w:sz w:val="32"/>
          <w:szCs w:val="32"/>
          <w:lang w:eastAsia="zh-CN"/>
        </w:rPr>
        <w:t>下一步，我局将继续加强政务公开平台建设，强化政务公开业务培训，不断整合首都之窗、政府门户网站、门头沟水务微信公众号等政务新媒体资源，做好政府信息公开和亮点品牌宣传，全面提升政务公开水平。</w:t>
      </w:r>
    </w:p>
    <w:p>
      <w:pPr>
        <w:widowControl/>
        <w:spacing w:line="560" w:lineRule="exact"/>
        <w:ind w:firstLine="675"/>
        <w:jc w:val="left"/>
        <w:rPr>
          <w:rFonts w:hint="eastAsia" w:ascii="宋体" w:hAnsi="宋体" w:cs="宋体"/>
          <w:spacing w:val="8"/>
          <w:kern w:val="0"/>
          <w:sz w:val="32"/>
          <w:szCs w:val="32"/>
        </w:rPr>
      </w:pPr>
      <w:r>
        <w:rPr>
          <w:rFonts w:hint="eastAsia" w:ascii="黑体" w:hAnsi="宋体" w:eastAsia="黑体" w:cs="宋体"/>
          <w:spacing w:val="8"/>
          <w:kern w:val="0"/>
          <w:sz w:val="32"/>
          <w:szCs w:val="32"/>
          <w:lang w:bidi="ar"/>
        </w:rPr>
        <w:t>六、其他需要报告的事项</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72" w:firstLineChars="200"/>
        <w:jc w:val="left"/>
        <w:textAlignment w:val="auto"/>
        <w:outlineLvl w:val="9"/>
        <w:rPr>
          <w:rFonts w:hint="eastAsia" w:ascii="仿宋_GB2312" w:hAnsi="宋体" w:eastAsia="仿宋_GB2312" w:cs="宋体"/>
          <w:spacing w:val="8"/>
          <w:kern w:val="0"/>
          <w:sz w:val="32"/>
          <w:szCs w:val="32"/>
          <w:lang w:val="en-US" w:eastAsia="zh-CN" w:bidi="ar-SA"/>
        </w:rPr>
      </w:pPr>
      <w:r>
        <w:rPr>
          <w:rFonts w:hint="eastAsia" w:ascii="仿宋_GB2312" w:hAnsi="宋体" w:eastAsia="仿宋_GB2312" w:cs="宋体"/>
          <w:spacing w:val="8"/>
          <w:kern w:val="0"/>
          <w:sz w:val="32"/>
          <w:szCs w:val="32"/>
          <w:lang w:val="en-US" w:eastAsia="zh-CN" w:bidi="ar-SA"/>
        </w:rPr>
        <w:t>依据《政府信息公开信息处理费管理办法》(国办函〔2020〕109号)，2023年度北京市门头沟区水务局收取信息处理费情况为：发出收费通知的件数为0件，总金额为0元，实际收取的总金额为0元。</w:t>
      </w:r>
    </w:p>
    <w:p>
      <w:pPr>
        <w:pStyle w:val="2"/>
        <w:keepNext w:val="0"/>
        <w:keepLines w:val="0"/>
        <w:pageBreakBefore w:val="0"/>
        <w:widowControl w:val="0"/>
        <w:kinsoku/>
        <w:wordWrap w:val="0"/>
        <w:overflowPunct/>
        <w:topLinePunct w:val="0"/>
        <w:autoSpaceDE/>
        <w:autoSpaceDN/>
        <w:bidi w:val="0"/>
        <w:adjustRightInd/>
        <w:snapToGrid/>
        <w:spacing w:line="560" w:lineRule="exact"/>
        <w:ind w:left="0" w:leftChars="0" w:right="0" w:rightChars="0" w:firstLine="672" w:firstLineChars="200"/>
        <w:jc w:val="both"/>
        <w:textAlignment w:val="auto"/>
        <w:outlineLvl w:val="9"/>
        <w:rPr>
          <w:rFonts w:hint="eastAsia"/>
          <w:lang w:val="en-US" w:eastAsia="zh-CN"/>
        </w:rPr>
      </w:pPr>
      <w:r>
        <w:rPr>
          <w:rFonts w:hint="eastAsia" w:ascii="仿宋_GB2312" w:hAnsi="宋体" w:eastAsia="仿宋_GB2312" w:cs="宋体"/>
          <w:spacing w:val="8"/>
          <w:kern w:val="0"/>
          <w:sz w:val="32"/>
          <w:szCs w:val="32"/>
          <w:lang w:val="en-US" w:eastAsia="zh-CN" w:bidi="ar-SA"/>
        </w:rPr>
        <w:t>北京市门头沟区人民政府网站网址为</w:t>
      </w:r>
      <w:bookmarkStart w:id="0" w:name="_GoBack"/>
      <w:r>
        <w:rPr>
          <w:rFonts w:hint="eastAsia" w:ascii="仿宋_GB2312" w:hAnsi="宋体" w:eastAsia="仿宋_GB2312" w:cs="宋体"/>
          <w:spacing w:val="8"/>
          <w:kern w:val="0"/>
          <w:sz w:val="32"/>
          <w:szCs w:val="32"/>
          <w:lang w:val="en-US" w:eastAsia="zh-CN" w:bidi="ar-SA"/>
        </w:rPr>
        <w:t>https://www.bjmtg.gov.cn/</w:t>
      </w:r>
      <w:bookmarkEnd w:id="0"/>
      <w:r>
        <w:rPr>
          <w:rFonts w:hint="eastAsia" w:ascii="仿宋_GB2312" w:hAnsi="宋体" w:eastAsia="仿宋_GB2312" w:cs="宋体"/>
          <w:spacing w:val="8"/>
          <w:kern w:val="0"/>
          <w:sz w:val="32"/>
          <w:szCs w:val="32"/>
          <w:lang w:val="en-US" w:eastAsia="zh-CN" w:bidi="ar-SA"/>
        </w:rPr>
        <w:t>，如需了解更多政府信息，请登录查询</w:t>
      </w:r>
      <w:r>
        <w:rPr>
          <w:rFonts w:hint="eastAsia"/>
          <w:lang w:val="en-US" w:eastAsia="zh-CN"/>
        </w:rPr>
        <w:t>。</w:t>
      </w:r>
    </w:p>
    <w:p>
      <w:pPr>
        <w:pStyle w:val="2"/>
        <w:widowControl/>
        <w:spacing w:line="560" w:lineRule="exact"/>
        <w:rPr>
          <w:rFonts w:hint="eastAsia" w:ascii="黑体" w:hAnsi="宋体" w:eastAsia="黑体" w:cs="黑体"/>
          <w:color w:val="000000"/>
          <w:sz w:val="32"/>
          <w:szCs w:val="32"/>
        </w:rPr>
      </w:pPr>
      <w:r>
        <w:rPr>
          <w:rFonts w:ascii="微软雅黑" w:hAnsi="微软雅黑" w:eastAsia="微软雅黑" w:cs="宋体"/>
          <w:color w:val="404040"/>
          <w:kern w:val="0"/>
          <w:sz w:val="32"/>
          <w:szCs w:val="32"/>
        </w:rPr>
        <w:t xml:space="preserve"> </w:t>
      </w:r>
    </w:p>
    <w:p>
      <w:pPr>
        <w:spacing w:line="560" w:lineRule="exact"/>
        <w:rPr>
          <w:rFonts w:hint="eastAsia" w:ascii="黑体" w:hAnsi="宋体" w:eastAsia="黑体" w:cs="黑体"/>
          <w:color w:val="000000"/>
          <w:sz w:val="32"/>
          <w:szCs w:val="32"/>
        </w:rPr>
      </w:pPr>
    </w:p>
    <w:p>
      <w:pPr>
        <w:spacing w:line="560" w:lineRule="exact"/>
        <w:rPr>
          <w:rFonts w:hint="eastAsia" w:ascii="黑体" w:hAnsi="宋体" w:eastAsia="黑体" w:cs="黑体"/>
          <w:color w:val="000000"/>
          <w:sz w:val="32"/>
          <w:szCs w:val="32"/>
        </w:rPr>
      </w:pPr>
    </w:p>
    <w:p>
      <w:pPr>
        <w:spacing w:line="560" w:lineRule="exact"/>
        <w:rPr>
          <w:rFonts w:hint="eastAsia" w:ascii="黑体" w:hAnsi="宋体" w:eastAsia="黑体" w:cs="黑体"/>
          <w:color w:val="000000"/>
          <w:sz w:val="32"/>
          <w:szCs w:val="32"/>
        </w:rPr>
      </w:pPr>
    </w:p>
    <w:p>
      <w:pPr>
        <w:spacing w:line="560" w:lineRule="exact"/>
        <w:rPr>
          <w:rFonts w:hint="eastAsia" w:ascii="黑体" w:hAnsi="宋体" w:eastAsia="黑体" w:cs="黑体"/>
          <w:color w:val="000000"/>
          <w:sz w:val="32"/>
          <w:szCs w:val="32"/>
        </w:rPr>
      </w:pPr>
    </w:p>
    <w:p>
      <w:pPr>
        <w:spacing w:line="560" w:lineRule="exact"/>
        <w:rPr>
          <w:rFonts w:hint="eastAsia" w:ascii="黑体" w:hAnsi="宋体" w:eastAsia="黑体" w:cs="黑体"/>
          <w:color w:val="000000"/>
          <w:sz w:val="32"/>
          <w:szCs w:val="32"/>
        </w:rPr>
      </w:pPr>
    </w:p>
    <w:p>
      <w:pPr>
        <w:pStyle w:val="2"/>
        <w:numPr>
          <w:ilvl w:val="0"/>
          <w:numId w:val="0"/>
        </w:numPr>
        <w:rPr>
          <w:rFonts w:hint="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B992D19-9ECF-4207-96F1-CB3009FE40B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6C021DEE-596E-47BC-AAAB-D74F8D050C7C}"/>
  </w:font>
  <w:font w:name="方正小标宋简体">
    <w:panose1 w:val="02000000000000000000"/>
    <w:charset w:val="86"/>
    <w:family w:val="auto"/>
    <w:pitch w:val="default"/>
    <w:sig w:usb0="00000001" w:usb1="08000000" w:usb2="00000000" w:usb3="00000000" w:csb0="00040000" w:csb1="00000000"/>
    <w:embedRegular r:id="rId3" w:fontKey="{F806F5EF-A19F-490E-AE65-37DC932C76EF}"/>
  </w:font>
  <w:font w:name="微软雅黑">
    <w:panose1 w:val="020B0503020204020204"/>
    <w:charset w:val="86"/>
    <w:family w:val="auto"/>
    <w:pitch w:val="default"/>
    <w:sig w:usb0="80000287" w:usb1="2ACF3C50" w:usb2="00000016" w:usb3="00000000" w:csb0="0004001F" w:csb1="00000000"/>
    <w:embedRegular r:id="rId4" w:fontKey="{6EA2D129-A496-4324-AD62-EECDBF8A85D5}"/>
  </w:font>
  <w:font w:name="仿宋_GB2312">
    <w:panose1 w:val="02010609030101010101"/>
    <w:charset w:val="86"/>
    <w:family w:val="modern"/>
    <w:pitch w:val="default"/>
    <w:sig w:usb0="00000001" w:usb1="080E0000" w:usb2="00000000" w:usb3="00000000" w:csb0="00040000" w:csb1="00000000"/>
    <w:embedRegular r:id="rId5" w:fontKey="{F06A185C-62D6-4C79-ACD1-1A3C8A236CC0}"/>
  </w:font>
  <w:font w:name="楷体_GB2312">
    <w:panose1 w:val="02010609030101010101"/>
    <w:charset w:val="86"/>
    <w:family w:val="modern"/>
    <w:pitch w:val="default"/>
    <w:sig w:usb0="00000001" w:usb1="080E0000" w:usb2="00000000" w:usb3="00000000" w:csb0="00040000" w:csb1="00000000"/>
    <w:embedRegular r:id="rId6" w:fontKey="{6FE448FC-7191-43D0-9A40-37AF7B005B0E}"/>
  </w:font>
  <w:font w:name="楷体">
    <w:panose1 w:val="02010609060101010101"/>
    <w:charset w:val="86"/>
    <w:family w:val="modern"/>
    <w:pitch w:val="default"/>
    <w:sig w:usb0="800002BF" w:usb1="38CF7CFA" w:usb2="00000016" w:usb3="00000000" w:csb0="00040001" w:csb1="00000000"/>
    <w:embedRegular r:id="rId7" w:fontKey="{BE161D65-3E77-498A-97DE-EFED3EBD4C2C}"/>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FBF937"/>
    <w:multiLevelType w:val="singleLevel"/>
    <w:tmpl w:val="F8FBF937"/>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dmNjUwM2Y1NDNmOWE2YzU2MTgyNGU5OGRlNTRlMDcifQ=="/>
  </w:docVars>
  <w:rsids>
    <w:rsidRoot w:val="12EB65A5"/>
    <w:rsid w:val="0208294C"/>
    <w:rsid w:val="031A1ED1"/>
    <w:rsid w:val="0339544E"/>
    <w:rsid w:val="03872FAB"/>
    <w:rsid w:val="12EB65A5"/>
    <w:rsid w:val="13042D6A"/>
    <w:rsid w:val="148C2A00"/>
    <w:rsid w:val="1719707D"/>
    <w:rsid w:val="17371930"/>
    <w:rsid w:val="174D5C54"/>
    <w:rsid w:val="1D5D6E24"/>
    <w:rsid w:val="20977EB3"/>
    <w:rsid w:val="213E0B73"/>
    <w:rsid w:val="21AD09D2"/>
    <w:rsid w:val="25871C98"/>
    <w:rsid w:val="25B25B45"/>
    <w:rsid w:val="2C041435"/>
    <w:rsid w:val="2E1B49FC"/>
    <w:rsid w:val="2EB35BD6"/>
    <w:rsid w:val="2EB5280C"/>
    <w:rsid w:val="2EE609E2"/>
    <w:rsid w:val="2EEE1E6F"/>
    <w:rsid w:val="2F0761F5"/>
    <w:rsid w:val="2F2D192B"/>
    <w:rsid w:val="305D48EB"/>
    <w:rsid w:val="31970B4A"/>
    <w:rsid w:val="325B56DA"/>
    <w:rsid w:val="3330627F"/>
    <w:rsid w:val="37643766"/>
    <w:rsid w:val="3EAB7648"/>
    <w:rsid w:val="46322CD4"/>
    <w:rsid w:val="48475164"/>
    <w:rsid w:val="4B954C59"/>
    <w:rsid w:val="4DC23FB1"/>
    <w:rsid w:val="4E2705DA"/>
    <w:rsid w:val="57AC6AD1"/>
    <w:rsid w:val="5FD760D2"/>
    <w:rsid w:val="60BC260E"/>
    <w:rsid w:val="61723263"/>
    <w:rsid w:val="643F20FC"/>
    <w:rsid w:val="6B754AB5"/>
    <w:rsid w:val="6D68285E"/>
    <w:rsid w:val="6F1875B5"/>
    <w:rsid w:val="71C61094"/>
    <w:rsid w:val="79D345CA"/>
    <w:rsid w:val="7C792090"/>
    <w:rsid w:val="7DBD16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3"/>
    <w:basedOn w:val="1"/>
    <w:next w:val="1"/>
    <w:autoRedefine/>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8">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2">
    <w:name w:val="Plain Text"/>
    <w:basedOn w:val="1"/>
    <w:autoRedefine/>
    <w:qFormat/>
    <w:uiPriority w:val="0"/>
    <w:rPr>
      <w:rFonts w:ascii="宋体" w:hAnsi="Courier New"/>
    </w:rPr>
  </w:style>
  <w:style w:type="paragraph" w:styleId="4">
    <w:name w:val="annotation text"/>
    <w:basedOn w:val="1"/>
    <w:autoRedefine/>
    <w:qFormat/>
    <w:uiPriority w:val="0"/>
    <w:pPr>
      <w:jc w:val="left"/>
    </w:pPr>
  </w:style>
  <w:style w:type="paragraph" w:styleId="5">
    <w:name w:val="footer"/>
    <w:basedOn w:val="1"/>
    <w:autoRedefine/>
    <w:qFormat/>
    <w:uiPriority w:val="0"/>
    <w:pPr>
      <w:tabs>
        <w:tab w:val="center" w:pos="4153"/>
        <w:tab w:val="right" w:pos="8306"/>
      </w:tabs>
      <w:snapToGrid w:val="0"/>
      <w:jc w:val="left"/>
    </w:pPr>
    <w:rPr>
      <w:sz w:val="18"/>
    </w:rPr>
  </w:style>
  <w:style w:type="paragraph" w:styleId="6">
    <w:name w:val="Normal (Web)"/>
    <w:basedOn w:val="1"/>
    <w:autoRedefine/>
    <w:qFormat/>
    <w:uiPriority w:val="0"/>
    <w:pPr>
      <w:spacing w:before="100" w:beforeAutospacing="1" w:after="100" w:afterAutospacing="1"/>
      <w:ind w:left="0" w:right="0"/>
      <w:jc w:val="left"/>
    </w:pPr>
    <w:rPr>
      <w:kern w:val="0"/>
      <w:sz w:val="24"/>
      <w:lang w:val="en-US" w:eastAsia="zh-CN" w:bidi="ar"/>
    </w:rPr>
  </w:style>
  <w:style w:type="character" w:styleId="9">
    <w:name w:val="Hyperlink"/>
    <w:basedOn w:val="8"/>
    <w:autoRedefine/>
    <w:qFormat/>
    <w:uiPriority w:val="0"/>
    <w:rPr>
      <w:color w:val="0000FF"/>
      <w:u w:val="single"/>
    </w:rPr>
  </w:style>
  <w:style w:type="paragraph" w:customStyle="1" w:styleId="10">
    <w:name w:val="列出段落1"/>
    <w:basedOn w:val="1"/>
    <w:autoRedefine/>
    <w:unhideWhenUsed/>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区委办公室</Company>
  <Pages>16</Pages>
  <Words>6029</Words>
  <Characters>6354</Characters>
  <Lines>0</Lines>
  <Paragraphs>0</Paragraphs>
  <TotalTime>10</TotalTime>
  <ScaleCrop>false</ScaleCrop>
  <LinksUpToDate>false</LinksUpToDate>
  <CharactersWithSpaces>6616</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2022-12-28T12:05:00Z</dcterms:created>
  <dc:creator>MRX</dc:creator>
  <cp:lastModifiedBy>Mint1398171869</cp:lastModifiedBy>
  <cp:lastPrinted>2023-12-27T01:26:00Z</cp:lastPrinted>
  <dcterms:modified xsi:type="dcterms:W3CDTF">2024-01-23T08:23:05Z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C94AEA7F67A64A8A856BD21CC0627C2A_13</vt:lpwstr>
  </property>
</Properties>
</file>