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ind w:right="0" w:rightChars="0"/>
        <w:jc w:val="center"/>
        <w:textAlignment w:val="auto"/>
        <w:outlineLvl w:val="9"/>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北京市门头沟区水务局</w:t>
      </w:r>
    </w:p>
    <w:p>
      <w:pPr>
        <w:keepNext w:val="0"/>
        <w:keepLines w:val="0"/>
        <w:pageBreakBefore w:val="0"/>
        <w:kinsoku/>
        <w:wordWrap/>
        <w:overflowPunct/>
        <w:topLinePunct w:val="0"/>
        <w:autoSpaceDE/>
        <w:autoSpaceDN/>
        <w:bidi w:val="0"/>
        <w:adjustRightInd/>
        <w:snapToGrid/>
        <w:spacing w:line="560" w:lineRule="exact"/>
        <w:ind w:right="0" w:rightChars="0"/>
        <w:jc w:val="center"/>
        <w:textAlignment w:val="auto"/>
        <w:outlineLvl w:val="9"/>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rPr>
        <w:t>202</w:t>
      </w:r>
      <w:r>
        <w:rPr>
          <w:rFonts w:hint="eastAsia" w:ascii="方正小标宋简体" w:hAnsi="方正小标宋简体" w:eastAsia="方正小标宋简体" w:cs="方正小标宋简体"/>
          <w:sz w:val="44"/>
          <w:szCs w:val="44"/>
          <w:lang w:val="en-US" w:eastAsia="zh-CN"/>
        </w:rPr>
        <w:t>2</w:t>
      </w:r>
      <w:r>
        <w:rPr>
          <w:rFonts w:hint="eastAsia" w:ascii="方正小标宋简体" w:hAnsi="方正小标宋简体" w:eastAsia="方正小标宋简体" w:cs="方正小标宋简体"/>
          <w:sz w:val="44"/>
          <w:szCs w:val="44"/>
        </w:rPr>
        <w:t>年政府信息公开工作年度报告</w:t>
      </w:r>
    </w:p>
    <w:p>
      <w:pPr>
        <w:keepNext w:val="0"/>
        <w:keepLines w:val="0"/>
        <w:pageBreakBefore w:val="0"/>
        <w:kinsoku/>
        <w:wordWrap/>
        <w:overflowPunct/>
        <w:topLinePunct w:val="0"/>
        <w:autoSpaceDE/>
        <w:autoSpaceDN/>
        <w:bidi w:val="0"/>
        <w:adjustRightInd/>
        <w:snapToGrid/>
        <w:spacing w:line="560" w:lineRule="exact"/>
        <w:ind w:right="0" w:rightChars="0"/>
        <w:jc w:val="center"/>
        <w:textAlignment w:val="auto"/>
        <w:outlineLvl w:val="9"/>
        <w:rPr>
          <w:sz w:val="44"/>
          <w:szCs w:val="44"/>
        </w:rPr>
      </w:pPr>
    </w:p>
    <w:p>
      <w:pPr>
        <w:keepNext w:val="0"/>
        <w:keepLines w:val="0"/>
        <w:pageBreakBefore w:val="0"/>
        <w:widowControl/>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宋体" w:eastAsia="仿宋_GB2312" w:cs="宋体"/>
          <w:spacing w:val="8"/>
          <w:kern w:val="0"/>
          <w:sz w:val="32"/>
          <w:szCs w:val="32"/>
        </w:rPr>
      </w:pPr>
      <w:r>
        <w:rPr>
          <w:rFonts w:hint="eastAsia" w:ascii="微软雅黑" w:hAnsi="微软雅黑" w:eastAsia="微软雅黑" w:cs="宋体"/>
          <w:color w:val="404040"/>
          <w:kern w:val="0"/>
          <w:sz w:val="24"/>
        </w:rPr>
        <w:t>　</w:t>
      </w:r>
      <w:r>
        <w:rPr>
          <w:rFonts w:hint="eastAsia" w:ascii="微软雅黑" w:hAnsi="微软雅黑" w:eastAsia="微软雅黑" w:cs="宋体"/>
          <w:color w:val="404040"/>
          <w:kern w:val="0"/>
          <w:sz w:val="32"/>
          <w:szCs w:val="32"/>
        </w:rPr>
        <w:t xml:space="preserve"> </w:t>
      </w:r>
      <w:r>
        <w:rPr>
          <w:rFonts w:ascii="微软雅黑" w:hAnsi="微软雅黑" w:eastAsia="微软雅黑" w:cs="宋体"/>
          <w:color w:val="404040"/>
          <w:kern w:val="0"/>
          <w:sz w:val="32"/>
          <w:szCs w:val="32"/>
        </w:rPr>
        <w:t xml:space="preserve">  </w:t>
      </w:r>
      <w:r>
        <w:rPr>
          <w:rFonts w:hint="eastAsia" w:ascii="仿宋_GB2312" w:hAnsi="宋体" w:eastAsia="仿宋_GB2312" w:cs="宋体"/>
          <w:spacing w:val="8"/>
          <w:kern w:val="0"/>
          <w:sz w:val="32"/>
          <w:szCs w:val="32"/>
        </w:rPr>
        <w:t>依据《中华人民共和国政府信息公开条例》(以下简称《政府信息公开条例》)第五十条规定，编制本报告。</w:t>
      </w:r>
    </w:p>
    <w:p>
      <w:pPr>
        <w:keepNext w:val="0"/>
        <w:keepLines w:val="0"/>
        <w:pageBreakBefore w:val="0"/>
        <w:widowControl/>
        <w:kinsoku/>
        <w:wordWrap/>
        <w:overflowPunct/>
        <w:topLinePunct w:val="0"/>
        <w:autoSpaceDE/>
        <w:autoSpaceDN/>
        <w:bidi w:val="0"/>
        <w:adjustRightInd/>
        <w:snapToGrid/>
        <w:spacing w:line="560" w:lineRule="exact"/>
        <w:ind w:right="0" w:rightChars="0" w:firstLine="672" w:firstLineChars="200"/>
        <w:jc w:val="left"/>
        <w:textAlignment w:val="auto"/>
        <w:outlineLvl w:val="9"/>
        <w:rPr>
          <w:rFonts w:ascii="黑体" w:hAnsi="黑体" w:eastAsia="黑体" w:cs="宋体"/>
          <w:spacing w:val="8"/>
          <w:kern w:val="0"/>
          <w:sz w:val="32"/>
          <w:szCs w:val="32"/>
        </w:rPr>
      </w:pPr>
      <w:r>
        <w:rPr>
          <w:rFonts w:ascii="黑体" w:hAnsi="黑体" w:eastAsia="黑体" w:cs="宋体"/>
          <w:spacing w:val="8"/>
          <w:kern w:val="0"/>
          <w:sz w:val="32"/>
          <w:szCs w:val="32"/>
        </w:rPr>
        <w:t>一、总体情况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leftChars="0" w:right="0" w:rightChars="0" w:firstLine="640" w:firstLineChars="0"/>
        <w:jc w:val="both"/>
        <w:textAlignment w:val="auto"/>
        <w:outlineLvl w:val="9"/>
        <w:rPr>
          <w:rFonts w:hint="eastAsia" w:ascii="楷体_GB2312" w:hAnsi="楷体_GB2312" w:eastAsia="楷体_GB2312" w:cs="楷体_GB2312"/>
          <w:spacing w:val="8"/>
          <w:kern w:val="0"/>
          <w:sz w:val="32"/>
          <w:szCs w:val="32"/>
        </w:rPr>
      </w:pPr>
      <w:r>
        <w:rPr>
          <w:rFonts w:hint="eastAsia" w:ascii="楷体_GB2312" w:hAnsi="楷体_GB2312" w:eastAsia="楷体_GB2312" w:cs="楷体_GB2312"/>
          <w:spacing w:val="8"/>
          <w:kern w:val="0"/>
          <w:sz w:val="32"/>
          <w:szCs w:val="32"/>
          <w:lang w:val="en-US" w:eastAsia="zh-CN"/>
        </w:rPr>
        <w:t>1.主动公开情况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right="0" w:rightChars="0" w:firstLine="672" w:firstLineChars="200"/>
        <w:jc w:val="both"/>
        <w:textAlignment w:val="auto"/>
        <w:outlineLvl w:val="9"/>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lang w:val="en-US" w:eastAsia="zh-CN"/>
        </w:rPr>
        <w:t>我局严格对照本单位编制发布的政府信息主动公开全清单，确保及时准确公开相关信息。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leftChars="0" w:right="0" w:rightChars="0" w:firstLine="640" w:firstLineChars="0"/>
        <w:jc w:val="both"/>
        <w:textAlignment w:val="auto"/>
        <w:outlineLvl w:val="9"/>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lang w:val="en-US" w:eastAsia="zh-CN"/>
        </w:rPr>
        <w:t>本单位政府信息公开指南已及时公开，指南中主动公开和依申请公开方式、救济渠道均正确；本单位机构设置、领导介绍等信息均已及时更新；针对我局承担的重点领域信息公开任务，已梳理</w:t>
      </w:r>
      <w:r>
        <w:rPr>
          <w:rFonts w:hint="eastAsia" w:ascii="仿宋_GB2312" w:hAnsi="宋体" w:eastAsia="仿宋_GB2312" w:cs="宋体"/>
          <w:color w:val="auto"/>
          <w:spacing w:val="8"/>
          <w:kern w:val="0"/>
          <w:sz w:val="32"/>
          <w:szCs w:val="32"/>
          <w:lang w:val="en-US" w:eastAsia="zh-CN"/>
        </w:rPr>
        <w:t>2022年行政职权事项清单，</w:t>
      </w:r>
      <w:r>
        <w:rPr>
          <w:rFonts w:hint="eastAsia" w:ascii="仿宋_GB2312" w:hAnsi="宋体" w:eastAsia="仿宋_GB2312" w:cs="宋体"/>
          <w:spacing w:val="8"/>
          <w:kern w:val="0"/>
          <w:sz w:val="32"/>
          <w:szCs w:val="32"/>
          <w:lang w:val="en-US" w:eastAsia="zh-CN"/>
        </w:rPr>
        <w:t>及时更新2022年门头沟区水务局政府信息主动公开全清单、2021年预决算和2022年预算信息、各类价格收费政策文件、涉及行政审批中介服务项目等内容。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leftChars="0" w:right="0" w:rightChars="0" w:firstLine="640" w:firstLineChars="0"/>
        <w:jc w:val="both"/>
        <w:textAlignment w:val="auto"/>
        <w:outlineLvl w:val="9"/>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lang w:val="en-US" w:eastAsia="zh-CN"/>
        </w:rPr>
        <w:t>2022年主动公开政府信息数</w:t>
      </w:r>
      <w:r>
        <w:rPr>
          <w:rFonts w:hint="eastAsia" w:ascii="仿宋_GB2312" w:hAnsi="宋体" w:eastAsia="仿宋_GB2312" w:cs="宋体"/>
          <w:color w:val="auto"/>
          <w:spacing w:val="8"/>
          <w:kern w:val="0"/>
          <w:sz w:val="32"/>
          <w:szCs w:val="32"/>
          <w:lang w:val="en-US" w:eastAsia="zh-CN"/>
        </w:rPr>
        <w:t>429</w:t>
      </w:r>
      <w:r>
        <w:rPr>
          <w:rFonts w:hint="eastAsia" w:ascii="仿宋_GB2312" w:hAnsi="宋体" w:eastAsia="仿宋_GB2312" w:cs="宋体"/>
          <w:spacing w:val="8"/>
          <w:kern w:val="0"/>
          <w:sz w:val="32"/>
          <w:szCs w:val="32"/>
          <w:lang w:val="en-US" w:eastAsia="zh-CN"/>
        </w:rPr>
        <w:t>条。包括微信公众号公开政府信息数304条，门户网站公开政府信息数125条，其中</w:t>
      </w:r>
      <w:r>
        <w:rPr>
          <w:rFonts w:hint="eastAsia" w:ascii="仿宋_GB2312" w:hAnsi="宋体" w:eastAsia="仿宋_GB2312" w:cs="宋体"/>
          <w:color w:val="auto"/>
          <w:spacing w:val="8"/>
          <w:kern w:val="0"/>
          <w:sz w:val="32"/>
          <w:szCs w:val="32"/>
          <w:lang w:val="en-US" w:eastAsia="zh-CN"/>
        </w:rPr>
        <w:t>重点领域公开政府信息数8条，</w:t>
      </w:r>
      <w:r>
        <w:rPr>
          <w:rFonts w:hint="eastAsia" w:ascii="仿宋_GB2312" w:hAnsi="宋体" w:eastAsia="仿宋_GB2312" w:cs="宋体"/>
          <w:spacing w:val="8"/>
          <w:kern w:val="0"/>
          <w:sz w:val="32"/>
          <w:szCs w:val="32"/>
          <w:lang w:val="en-US" w:eastAsia="zh-CN"/>
        </w:rPr>
        <w:t>主动公开财政预算决算、“三公经费”和行政经费信息数</w:t>
      </w:r>
      <w:r>
        <w:rPr>
          <w:rFonts w:hint="eastAsia" w:ascii="仿宋_GB2312" w:hAnsi="宋体" w:eastAsia="仿宋_GB2312" w:cs="宋体"/>
          <w:color w:val="auto"/>
          <w:spacing w:val="8"/>
          <w:kern w:val="0"/>
          <w:sz w:val="32"/>
          <w:szCs w:val="32"/>
          <w:lang w:val="en-US" w:eastAsia="zh-CN"/>
        </w:rPr>
        <w:t>4条，工程招标信息公开52条，其他（更正、终止）信息0条。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leftChars="0" w:right="0" w:rightChars="0" w:firstLine="640" w:firstLineChars="0"/>
        <w:jc w:val="both"/>
        <w:textAlignment w:val="auto"/>
        <w:outlineLvl w:val="9"/>
        <w:rPr>
          <w:rFonts w:hint="eastAsia" w:ascii="楷体_GB2312" w:hAnsi="楷体_GB2312" w:eastAsia="楷体_GB2312" w:cs="楷体_GB2312"/>
          <w:spacing w:val="8"/>
          <w:kern w:val="0"/>
          <w:sz w:val="32"/>
          <w:szCs w:val="32"/>
          <w:lang w:val="en-US" w:eastAsia="zh-CN"/>
        </w:rPr>
      </w:pPr>
      <w:r>
        <w:rPr>
          <w:rFonts w:hint="eastAsia" w:ascii="楷体_GB2312" w:hAnsi="楷体_GB2312" w:eastAsia="楷体_GB2312" w:cs="楷体_GB2312"/>
          <w:spacing w:val="8"/>
          <w:kern w:val="0"/>
          <w:sz w:val="32"/>
          <w:szCs w:val="32"/>
          <w:lang w:val="en-US" w:eastAsia="zh-CN"/>
        </w:rPr>
        <w:t>2.依申请公开办理情况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leftChars="0" w:right="0" w:rightChars="0" w:firstLine="640" w:firstLineChars="0"/>
        <w:jc w:val="both"/>
        <w:textAlignment w:val="auto"/>
        <w:outlineLvl w:val="9"/>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lang w:val="en-US" w:eastAsia="zh-CN"/>
        </w:rPr>
        <w:t>我局按要求做好政府信息公开年度报告编制发布工作，确保法定内容的完备性和准确性，确保信函、网络申请受理渠道和咨询电话的畅通性，答复时限的合法性、答复形式的规范性、答复内容的规范性和针对性。</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right="0" w:rightChars="0" w:firstLine="480"/>
        <w:jc w:val="both"/>
        <w:textAlignment w:val="auto"/>
        <w:outlineLvl w:val="9"/>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lang w:val="en-US" w:eastAsia="zh-CN"/>
        </w:rPr>
        <w:t>（1）申请情况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leftChars="0" w:right="0" w:rightChars="0" w:firstLine="640" w:firstLineChars="0"/>
        <w:jc w:val="both"/>
        <w:textAlignment w:val="auto"/>
        <w:outlineLvl w:val="9"/>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lang w:val="en-US" w:eastAsia="zh-CN"/>
        </w:rPr>
        <w:t>本单位2022年度受理政府信息</w:t>
      </w:r>
      <w:r>
        <w:rPr>
          <w:rFonts w:hint="eastAsia" w:ascii="仿宋_GB2312" w:hAnsi="宋体" w:eastAsia="仿宋_GB2312" w:cs="宋体"/>
          <w:color w:val="auto"/>
          <w:spacing w:val="8"/>
          <w:kern w:val="0"/>
          <w:sz w:val="32"/>
          <w:szCs w:val="32"/>
          <w:lang w:val="en-US" w:eastAsia="zh-CN"/>
        </w:rPr>
        <w:t>公开申请0件。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right="0" w:rightChars="0" w:firstLine="480"/>
        <w:jc w:val="both"/>
        <w:textAlignment w:val="auto"/>
        <w:outlineLvl w:val="9"/>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lang w:val="en-US" w:eastAsia="zh-CN"/>
        </w:rPr>
        <w:t>（2）答复情况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leftChars="0" w:right="0" w:rightChars="0" w:firstLine="640" w:firstLineChars="0"/>
        <w:jc w:val="both"/>
        <w:textAlignment w:val="auto"/>
        <w:outlineLvl w:val="9"/>
        <w:rPr>
          <w:rFonts w:hint="eastAsia" w:ascii="仿宋_GB2312" w:hAnsi="宋体" w:eastAsia="仿宋_GB2312" w:cs="宋体"/>
          <w:color w:val="auto"/>
          <w:spacing w:val="8"/>
          <w:kern w:val="0"/>
          <w:sz w:val="32"/>
          <w:szCs w:val="32"/>
        </w:rPr>
      </w:pPr>
      <w:r>
        <w:rPr>
          <w:rFonts w:hint="eastAsia" w:ascii="仿宋_GB2312" w:hAnsi="宋体" w:eastAsia="仿宋_GB2312" w:cs="宋体"/>
          <w:color w:val="auto"/>
          <w:spacing w:val="8"/>
          <w:kern w:val="0"/>
          <w:sz w:val="32"/>
          <w:szCs w:val="32"/>
          <w:lang w:val="en-US" w:eastAsia="zh-CN"/>
        </w:rPr>
        <w:t>本单位2022年度未答复数为0件。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right="0" w:rightChars="0" w:firstLine="480"/>
        <w:jc w:val="both"/>
        <w:textAlignment w:val="auto"/>
        <w:outlineLvl w:val="9"/>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lang w:val="en-US" w:eastAsia="zh-CN"/>
        </w:rPr>
        <w:t>（3）复议、诉讼及举报情况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leftChars="0" w:right="0" w:rightChars="0" w:firstLine="640" w:firstLineChars="0"/>
        <w:jc w:val="both"/>
        <w:textAlignment w:val="auto"/>
        <w:outlineLvl w:val="9"/>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lang w:val="en-US" w:eastAsia="zh-CN"/>
        </w:rPr>
        <w:t>本单位没有发生与政府信息公开有关的行政复议、行政诉讼及与政府信息公开有关的举报。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leftChars="0" w:right="0" w:rightChars="0" w:firstLine="640" w:firstLineChars="0"/>
        <w:jc w:val="both"/>
        <w:textAlignment w:val="auto"/>
        <w:outlineLvl w:val="9"/>
        <w:rPr>
          <w:rFonts w:hint="eastAsia" w:ascii="楷体_GB2312" w:hAnsi="楷体_GB2312" w:eastAsia="楷体_GB2312" w:cs="楷体_GB2312"/>
          <w:spacing w:val="8"/>
          <w:kern w:val="0"/>
          <w:sz w:val="32"/>
          <w:szCs w:val="32"/>
          <w:lang w:val="en-US" w:eastAsia="zh-CN"/>
        </w:rPr>
      </w:pPr>
      <w:r>
        <w:rPr>
          <w:rFonts w:hint="eastAsia" w:ascii="楷体_GB2312" w:hAnsi="楷体_GB2312" w:eastAsia="楷体_GB2312" w:cs="楷体_GB2312"/>
          <w:spacing w:val="8"/>
          <w:kern w:val="0"/>
          <w:sz w:val="32"/>
          <w:szCs w:val="32"/>
          <w:lang w:val="en-US" w:eastAsia="zh-CN"/>
        </w:rPr>
        <w:t>3.组织领导</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leftChars="0" w:right="0" w:rightChars="0" w:firstLine="640" w:firstLineChars="0"/>
        <w:jc w:val="both"/>
        <w:textAlignment w:val="auto"/>
        <w:outlineLvl w:val="9"/>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我局不断加强组织领导，积极推行政务、政府信息公开工作，明确政务公开的内容、形式。局领导多次研究部署信息公开工作，明确专人负责，各部门协调配合，确保工作落实规范、有序、有效。对拟公开的信息先审后发，确保信息发布的权威性、安全性和公信力，坚决杜绝信息更新不及时、存在严重表述错误等问题。及时发布更新政策文件解读、重大决策公开、安全生产、民生热点问题等重点领域内容，确保政府权力运行公开透明。</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leftChars="0" w:right="0" w:rightChars="0" w:firstLine="640" w:firstLineChars="0"/>
        <w:jc w:val="both"/>
        <w:textAlignment w:val="auto"/>
        <w:outlineLvl w:val="9"/>
        <w:rPr>
          <w:rFonts w:hint="eastAsia" w:ascii="楷体_GB2312" w:hAnsi="楷体_GB2312" w:eastAsia="楷体_GB2312" w:cs="楷体_GB2312"/>
          <w:spacing w:val="8"/>
          <w:kern w:val="0"/>
          <w:sz w:val="32"/>
          <w:szCs w:val="32"/>
          <w:lang w:val="en-US" w:eastAsia="zh-CN"/>
        </w:rPr>
      </w:pPr>
      <w:r>
        <w:rPr>
          <w:rFonts w:hint="eastAsia" w:ascii="楷体_GB2312" w:hAnsi="楷体_GB2312" w:eastAsia="楷体_GB2312" w:cs="楷体_GB2312"/>
          <w:spacing w:val="8"/>
          <w:kern w:val="0"/>
          <w:sz w:val="32"/>
          <w:szCs w:val="32"/>
          <w:lang w:val="en-US" w:eastAsia="zh-CN"/>
        </w:rPr>
        <w:t>4.平台建设</w:t>
      </w:r>
    </w:p>
    <w:p>
      <w:pPr>
        <w:pStyle w:val="2"/>
        <w:keepNext w:val="0"/>
        <w:keepLines w:val="0"/>
        <w:pageBreakBefore w:val="0"/>
        <w:kinsoku/>
        <w:wordWrap/>
        <w:overflowPunct/>
        <w:topLinePunct w:val="0"/>
        <w:autoSpaceDE/>
        <w:autoSpaceDN/>
        <w:bidi w:val="0"/>
        <w:adjustRightInd/>
        <w:snapToGrid/>
        <w:spacing w:line="560" w:lineRule="exact"/>
        <w:ind w:right="0" w:rightChars="0" w:firstLine="704"/>
        <w:textAlignment w:val="auto"/>
        <w:outlineLvl w:val="9"/>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我局积极借助首都之窗网站和门头沟区网站专栏等平台载体公开本单位信息，及时更新门户网站信息内容，提高网站服务水平，保障群众通过网络平台获取信息的权力。今年为扩大信息公开覆盖面，我局创建门头沟水务微信公众号，积极推送政府信息，确保信息公开工作能够有序开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leftChars="0" w:right="0" w:rightChars="0" w:firstLine="640" w:firstLineChars="0"/>
        <w:jc w:val="both"/>
        <w:textAlignment w:val="auto"/>
        <w:outlineLvl w:val="9"/>
        <w:rPr>
          <w:rFonts w:hint="eastAsia" w:ascii="楷体_GB2312" w:hAnsi="楷体_GB2312" w:eastAsia="楷体_GB2312" w:cs="楷体_GB2312"/>
          <w:spacing w:val="8"/>
          <w:kern w:val="0"/>
          <w:sz w:val="32"/>
          <w:szCs w:val="32"/>
          <w:lang w:val="en-US" w:eastAsia="zh-CN"/>
        </w:rPr>
      </w:pPr>
      <w:r>
        <w:rPr>
          <w:rFonts w:hint="eastAsia" w:ascii="楷体_GB2312" w:hAnsi="楷体_GB2312" w:eastAsia="楷体_GB2312" w:cs="楷体_GB2312"/>
          <w:spacing w:val="8"/>
          <w:kern w:val="0"/>
          <w:sz w:val="32"/>
          <w:szCs w:val="32"/>
          <w:lang w:val="en-US" w:eastAsia="zh-CN"/>
        </w:rPr>
        <w:t>5.信息管理及教育培训、监督保障情况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leftChars="0" w:right="0" w:rightChars="0" w:firstLine="640" w:firstLineChars="0"/>
        <w:jc w:val="both"/>
        <w:textAlignment w:val="auto"/>
        <w:outlineLvl w:val="9"/>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为进一步强化信息公开工作履职能力，我局遵循“谁审查，谁负责、谁发布，谁负责、先审查，后发布”和“涉密信息不上网、上网信息不涉密”的原则，确保政务公开内容无涉及国家秘密和内部敏感事项。同时，我局将政务公开列入部门岗位培训的重要内容，进一步加强政务公开队伍建设，提高岗位工作能力，确保政府信息公开工作扎实、深入、有效。日常工作中及时对照门头沟区政务服务局反馈问题和网站内容监测结果进行整改并分析原因，高度重视政务公开考核工作。</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leftChars="0" w:right="0" w:rightChars="0" w:firstLine="640" w:firstLineChars="0"/>
        <w:jc w:val="both"/>
        <w:textAlignment w:val="auto"/>
        <w:outlineLvl w:val="9"/>
        <w:rPr>
          <w:rFonts w:hint="eastAsia" w:ascii="黑体" w:hAnsi="黑体" w:eastAsia="黑体" w:cs="黑体"/>
          <w:sz w:val="32"/>
          <w:szCs w:val="32"/>
        </w:rPr>
      </w:pPr>
      <w:r>
        <w:rPr>
          <w:rFonts w:hint="eastAsia" w:ascii="黑体" w:hAnsi="黑体" w:eastAsia="黑体" w:cs="黑体"/>
          <w:sz w:val="32"/>
          <w:szCs w:val="32"/>
        </w:rPr>
        <w:t>主动公开政府信息情况</w:t>
      </w:r>
    </w:p>
    <w:p>
      <w:pPr>
        <w:pStyle w:val="2"/>
        <w:numPr>
          <w:ilvl w:val="0"/>
          <w:numId w:val="0"/>
        </w:numPr>
        <w:rPr>
          <w:rFonts w:hint="eastAsia"/>
        </w:rPr>
      </w:pPr>
    </w:p>
    <w:tbl>
      <w:tblPr>
        <w:tblStyle w:val="6"/>
        <w:tblW w:w="974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435"/>
        <w:gridCol w:w="2435"/>
        <w:gridCol w:w="2435"/>
        <w:gridCol w:w="24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atLeast"/>
          <w:jc w:val="center"/>
        </w:trPr>
        <w:tc>
          <w:tcPr>
            <w:tcW w:w="9740" w:type="dxa"/>
            <w:gridSpan w:val="4"/>
            <w:tcBorders>
              <w:top w:val="single" w:color="auto" w:sz="8" w:space="0"/>
              <w:left w:val="single" w:color="auto" w:sz="8" w:space="0"/>
              <w:bottom w:val="single" w:color="auto" w:sz="8" w:space="0"/>
              <w:right w:val="single" w:color="auto" w:sz="8" w:space="0"/>
            </w:tcBorders>
            <w:shd w:val="clear" w:color="auto" w:fill="9BC2E6"/>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信息内容</w:t>
            </w:r>
          </w:p>
        </w:tc>
        <w:tc>
          <w:tcPr>
            <w:tcW w:w="2435" w:type="dxa"/>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本年制发件数</w:t>
            </w:r>
          </w:p>
        </w:tc>
        <w:tc>
          <w:tcPr>
            <w:tcW w:w="2435" w:type="dxa"/>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本年废止件数</w:t>
            </w:r>
          </w:p>
        </w:tc>
        <w:tc>
          <w:tcPr>
            <w:tcW w:w="2435" w:type="dxa"/>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现行有效件</w:t>
            </w:r>
            <w:r>
              <w:rPr>
                <w:rFonts w:hint="eastAsia" w:ascii="宋体" w:hAnsi="宋体" w:eastAsia="宋体" w:cs="宋体"/>
                <w:kern w:val="0"/>
                <w:sz w:val="20"/>
                <w:szCs w:val="20"/>
                <w:lang w:val="en-US" w:eastAsia="zh-CN" w:bidi="ar"/>
              </w:rPr>
              <w:t>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规章</w:t>
            </w:r>
          </w:p>
        </w:tc>
        <w:tc>
          <w:tcPr>
            <w:tcW w:w="2435"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lang w:val="en-US" w:eastAsia="zh-CN"/>
              </w:rPr>
              <w:t>0</w:t>
            </w:r>
          </w:p>
        </w:tc>
        <w:tc>
          <w:tcPr>
            <w:tcW w:w="2435"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eastAsia="宋体"/>
                <w:lang w:val="en-US" w:eastAsia="zh-CN"/>
              </w:rPr>
            </w:pPr>
            <w:r>
              <w:rPr>
                <w:rFonts w:hint="eastAsia"/>
                <w:lang w:val="en-US" w:eastAsia="zh-CN"/>
              </w:rPr>
              <w:t>0</w:t>
            </w:r>
          </w:p>
        </w:tc>
        <w:tc>
          <w:tcPr>
            <w:tcW w:w="2435"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eastAsia="宋体"/>
                <w:lang w:val="en-US" w:eastAsia="zh-CN"/>
              </w:rPr>
            </w:pPr>
            <w:r>
              <w:rPr>
                <w:rFonts w:hint="eastAsia"/>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行政规范性文件</w:t>
            </w:r>
          </w:p>
        </w:tc>
        <w:tc>
          <w:tcPr>
            <w:tcW w:w="2435"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eastAsia="宋体"/>
                <w:lang w:val="en-US" w:eastAsia="zh-CN"/>
              </w:rPr>
            </w:pPr>
            <w:r>
              <w:rPr>
                <w:rFonts w:hint="eastAsia"/>
                <w:lang w:val="en-US" w:eastAsia="zh-CN"/>
              </w:rPr>
              <w:t>0</w:t>
            </w:r>
          </w:p>
        </w:tc>
        <w:tc>
          <w:tcPr>
            <w:tcW w:w="2435"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eastAsia="宋体"/>
                <w:lang w:val="en-US" w:eastAsia="zh-CN"/>
              </w:rPr>
            </w:pPr>
            <w:r>
              <w:rPr>
                <w:rFonts w:hint="eastAsia"/>
                <w:lang w:val="en-US" w:eastAsia="zh-CN"/>
              </w:rPr>
              <w:t>0</w:t>
            </w:r>
          </w:p>
        </w:tc>
        <w:tc>
          <w:tcPr>
            <w:tcW w:w="2435"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eastAsia="宋体"/>
                <w:lang w:val="en-US" w:eastAsia="zh-CN"/>
              </w:rPr>
            </w:pPr>
            <w:r>
              <w:rPr>
                <w:rFonts w:hint="eastAsia"/>
                <w:lang w:val="en-US" w:eastAsia="zh-CN"/>
              </w:rPr>
              <w:t>0</w:t>
            </w:r>
            <w:bookmarkStart w:id="0" w:name="_GoBack"/>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信息内容</w:t>
            </w:r>
          </w:p>
        </w:tc>
        <w:tc>
          <w:tcPr>
            <w:tcW w:w="7305" w:type="dxa"/>
            <w:gridSpan w:val="3"/>
            <w:tcBorders>
              <w:top w:val="nil"/>
              <w:left w:val="nil"/>
              <w:bottom w:val="single" w:color="auto" w:sz="8" w:space="0"/>
              <w:right w:val="single" w:color="auto" w:sz="8" w:space="0"/>
            </w:tcBorders>
            <w:shd w:val="clear" w:color="auto" w:fill="DDEBF7"/>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5"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0"/>
                <w:szCs w:val="20"/>
                <w:lang w:val="en-US" w:eastAsia="zh-CN" w:bidi="ar"/>
              </w:rPr>
              <w:t>行政许可</w:t>
            </w:r>
          </w:p>
        </w:tc>
        <w:tc>
          <w:tcPr>
            <w:tcW w:w="7305" w:type="dxa"/>
            <w:gridSpan w:val="3"/>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eastAsia="宋体"/>
                <w:lang w:val="en-US" w:eastAsia="zh-CN"/>
              </w:rPr>
            </w:pPr>
            <w:r>
              <w:rPr>
                <w:rFonts w:hint="eastAsia"/>
                <w:lang w:val="en-US" w:eastAsia="zh-CN"/>
              </w:rPr>
              <w:t>151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color w:val="000000"/>
                <w:kern w:val="0"/>
                <w:sz w:val="20"/>
                <w:szCs w:val="20"/>
                <w:lang w:val="en-US" w:eastAsia="zh-CN" w:bidi="ar"/>
              </w:rPr>
              <w:t>信息内容</w:t>
            </w:r>
          </w:p>
        </w:tc>
        <w:tc>
          <w:tcPr>
            <w:tcW w:w="7305" w:type="dxa"/>
            <w:gridSpan w:val="3"/>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color w:val="000000"/>
                <w:kern w:val="0"/>
                <w:sz w:val="20"/>
                <w:szCs w:val="20"/>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0"/>
                <w:szCs w:val="20"/>
                <w:lang w:val="en-US" w:eastAsia="zh-CN" w:bidi="ar"/>
              </w:rPr>
              <w:t>行政处罚</w:t>
            </w:r>
          </w:p>
        </w:tc>
        <w:tc>
          <w:tcPr>
            <w:tcW w:w="7305" w:type="dxa"/>
            <w:gridSpan w:val="3"/>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lang w:val="en-US" w:eastAsia="zh-CN"/>
              </w:rPr>
            </w:pPr>
            <w:r>
              <w:rPr>
                <w:rFonts w:hint="eastAsia"/>
                <w:lang w:val="en-US" w:eastAsia="zh-CN"/>
              </w:rPr>
              <w:t>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0"/>
                <w:szCs w:val="20"/>
                <w:lang w:val="en-US" w:eastAsia="zh-CN" w:bidi="ar"/>
              </w:rPr>
              <w:t>行政强制</w:t>
            </w:r>
          </w:p>
        </w:tc>
        <w:tc>
          <w:tcPr>
            <w:tcW w:w="7305" w:type="dxa"/>
            <w:gridSpan w:val="3"/>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lang w:val="en-US" w:eastAsia="zh-CN"/>
              </w:rPr>
            </w:pPr>
            <w:r>
              <w:rPr>
                <w:rFonts w:hint="eastAsia"/>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信息内容</w:t>
            </w:r>
          </w:p>
        </w:tc>
        <w:tc>
          <w:tcPr>
            <w:tcW w:w="7305" w:type="dxa"/>
            <w:gridSpan w:val="3"/>
            <w:tcBorders>
              <w:top w:val="nil"/>
              <w:left w:val="nil"/>
              <w:bottom w:val="single" w:color="auto" w:sz="8" w:space="0"/>
              <w:right w:val="single" w:color="000000" w:sz="8" w:space="0"/>
            </w:tcBorders>
            <w:shd w:val="clear" w:color="auto" w:fill="DDEBF7"/>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本年收费金额（单位：万元）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行政事业性收费</w:t>
            </w:r>
          </w:p>
        </w:tc>
        <w:tc>
          <w:tcPr>
            <w:tcW w:w="7305" w:type="dxa"/>
            <w:gridSpan w:val="3"/>
            <w:tcBorders>
              <w:top w:val="nil"/>
              <w:left w:val="nil"/>
              <w:bottom w:val="single" w:color="auto" w:sz="8" w:space="0"/>
              <w:right w:val="single" w:color="000000" w:sz="8" w:space="0"/>
            </w:tcBorders>
            <w:tcMar>
              <w:left w:w="57" w:type="dxa"/>
              <w:right w:w="57" w:type="dxa"/>
            </w:tcMar>
            <w:vAlign w:val="center"/>
          </w:tcPr>
          <w:p>
            <w:pPr>
              <w:jc w:val="center"/>
              <w:rPr>
                <w:rFonts w:hint="eastAsia" w:ascii="宋体" w:eastAsia="宋体"/>
                <w:sz w:val="24"/>
                <w:szCs w:val="24"/>
                <w:lang w:val="en-US" w:eastAsia="zh-CN"/>
              </w:rPr>
            </w:pPr>
            <w:r>
              <w:rPr>
                <w:rFonts w:hint="eastAsia"/>
                <w:lang w:val="en-US" w:eastAsia="zh-CN"/>
              </w:rPr>
              <w:t>3680.450615</w:t>
            </w:r>
          </w:p>
        </w:tc>
      </w:tr>
    </w:tbl>
    <w:p>
      <w:pPr>
        <w:pStyle w:val="2"/>
        <w:keepNext w:val="0"/>
        <w:keepLines w:val="0"/>
        <w:pageBreakBefore w:val="0"/>
        <w:numPr>
          <w:ilvl w:val="0"/>
          <w:numId w:val="0"/>
        </w:numPr>
        <w:kinsoku/>
        <w:wordWrap/>
        <w:overflowPunct/>
        <w:topLinePunct w:val="0"/>
        <w:autoSpaceDE/>
        <w:autoSpaceDN/>
        <w:bidi w:val="0"/>
        <w:adjustRightInd/>
        <w:snapToGrid/>
        <w:spacing w:line="560" w:lineRule="exact"/>
        <w:ind w:right="0" w:rightChars="0"/>
        <w:textAlignment w:val="auto"/>
        <w:outlineLvl w:val="9"/>
        <w:rPr>
          <w:rFonts w:hint="eastAsia"/>
        </w:rPr>
      </w:pPr>
    </w:p>
    <w:p>
      <w:pPr>
        <w:keepNext w:val="0"/>
        <w:keepLines w:val="0"/>
        <w:pageBreakBefore w:val="0"/>
        <w:numPr>
          <w:ilvl w:val="0"/>
          <w:numId w:val="2"/>
        </w:numPr>
        <w:kinsoku/>
        <w:wordWrap/>
        <w:overflowPunct/>
        <w:topLinePunct w:val="0"/>
        <w:autoSpaceDE/>
        <w:autoSpaceDN/>
        <w:bidi w:val="0"/>
        <w:adjustRightInd/>
        <w:snapToGrid/>
        <w:spacing w:line="560" w:lineRule="exact"/>
        <w:ind w:leftChars="200" w:right="0" w:rightChars="0"/>
        <w:textAlignment w:val="auto"/>
        <w:outlineLvl w:val="9"/>
        <w:rPr>
          <w:rFonts w:hint="eastAsia" w:ascii="黑体" w:hAnsi="黑体" w:eastAsia="黑体" w:cs="黑体"/>
          <w:sz w:val="32"/>
          <w:szCs w:val="32"/>
        </w:rPr>
      </w:pPr>
      <w:r>
        <w:rPr>
          <w:rFonts w:hint="eastAsia" w:ascii="黑体" w:hAnsi="黑体" w:eastAsia="黑体" w:cs="黑体"/>
          <w:sz w:val="32"/>
          <w:szCs w:val="32"/>
        </w:rPr>
        <w:t>收到和处理政府信息公开申请情况</w:t>
      </w:r>
    </w:p>
    <w:p>
      <w:pPr>
        <w:pStyle w:val="2"/>
        <w:numPr>
          <w:ilvl w:val="0"/>
          <w:numId w:val="0"/>
        </w:numPr>
        <w:rPr>
          <w:rFonts w:hint="eastAsia"/>
        </w:rPr>
      </w:pPr>
    </w:p>
    <w:tbl>
      <w:tblPr>
        <w:tblStyle w:val="6"/>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768"/>
        <w:gridCol w:w="943"/>
        <w:gridCol w:w="3220"/>
        <w:gridCol w:w="688"/>
        <w:gridCol w:w="688"/>
        <w:gridCol w:w="688"/>
        <w:gridCol w:w="688"/>
        <w:gridCol w:w="688"/>
        <w:gridCol w:w="688"/>
        <w:gridCol w:w="689"/>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vMerge w:val="restart"/>
            <w:tcBorders>
              <w:top w:val="single" w:color="auto" w:sz="8" w:space="0"/>
              <w:left w:val="single" w:color="auto" w:sz="8" w:space="0"/>
              <w:bottom w:val="outset" w:color="auto" w:sz="8" w:space="0"/>
              <w:right w:val="single" w:color="auto" w:sz="8" w:space="0"/>
            </w:tcBorders>
            <w:shd w:val="clear" w:color="auto" w:fill="9BC2E6"/>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ascii="楷体" w:hAnsi="楷体" w:eastAsia="楷体" w:cs="楷体"/>
                <w:kern w:val="0"/>
                <w:sz w:val="20"/>
                <w:szCs w:val="20"/>
                <w:lang w:val="en-US" w:eastAsia="zh-CN" w:bidi="ar"/>
              </w:rPr>
              <w:t>（本列数据的勾稽关系为：第一项加第二项之和，等于第三项加第四项之和）</w:t>
            </w:r>
          </w:p>
        </w:tc>
        <w:tc>
          <w:tcPr>
            <w:tcW w:w="4817" w:type="dxa"/>
            <w:gridSpan w:val="7"/>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vMerge w:val="continue"/>
            <w:tcBorders>
              <w:top w:val="single" w:color="auto" w:sz="8" w:space="0"/>
              <w:left w:val="single" w:color="auto" w:sz="8" w:space="0"/>
              <w:bottom w:val="outset" w:color="auto" w:sz="8" w:space="0"/>
              <w:right w:val="single" w:color="auto" w:sz="8" w:space="0"/>
            </w:tcBorders>
            <w:shd w:val="clear" w:color="auto" w:fill="9BC2E6"/>
            <w:tcMar>
              <w:left w:w="108" w:type="dxa"/>
              <w:right w:w="108" w:type="dxa"/>
            </w:tcMar>
            <w:vAlign w:val="center"/>
          </w:tcPr>
          <w:p>
            <w:pPr>
              <w:rPr>
                <w:rFonts w:hint="eastAsia" w:ascii="宋体"/>
                <w:sz w:val="24"/>
                <w:szCs w:val="24"/>
              </w:rPr>
            </w:pPr>
          </w:p>
        </w:tc>
        <w:tc>
          <w:tcPr>
            <w:tcW w:w="688" w:type="dxa"/>
            <w:vMerge w:val="restart"/>
            <w:tcBorders>
              <w:top w:val="nil"/>
              <w:left w:val="nil"/>
              <w:bottom w:val="single" w:color="auto" w:sz="8" w:space="0"/>
              <w:right w:val="single" w:color="auto" w:sz="8" w:space="0"/>
            </w:tcBorders>
            <w:shd w:val="clear" w:color="auto" w:fill="9BC2E6"/>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自然人</w:t>
            </w:r>
          </w:p>
        </w:tc>
        <w:tc>
          <w:tcPr>
            <w:tcW w:w="3440" w:type="dxa"/>
            <w:gridSpan w:val="5"/>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法人或其他组织</w:t>
            </w:r>
          </w:p>
        </w:tc>
        <w:tc>
          <w:tcPr>
            <w:tcW w:w="689" w:type="dxa"/>
            <w:vMerge w:val="restart"/>
            <w:tcBorders>
              <w:top w:val="single" w:color="auto" w:sz="8" w:space="0"/>
              <w:left w:val="nil"/>
              <w:bottom w:val="outset" w:color="auto" w:sz="8" w:space="0"/>
              <w:right w:val="single" w:color="auto" w:sz="8" w:space="0"/>
            </w:tcBorders>
            <w:shd w:val="clear" w:color="auto" w:fill="9BC2E6"/>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vMerge w:val="continue"/>
            <w:tcBorders>
              <w:top w:val="single" w:color="auto" w:sz="8" w:space="0"/>
              <w:left w:val="single" w:color="auto" w:sz="8" w:space="0"/>
              <w:bottom w:val="outset" w:color="auto" w:sz="8" w:space="0"/>
              <w:right w:val="single" w:color="auto" w:sz="8" w:space="0"/>
            </w:tcBorders>
            <w:shd w:val="clear" w:color="auto" w:fill="9BC2E6"/>
            <w:tcMar>
              <w:left w:w="108" w:type="dxa"/>
              <w:right w:w="108" w:type="dxa"/>
            </w:tcMar>
            <w:vAlign w:val="center"/>
          </w:tcPr>
          <w:p>
            <w:pPr>
              <w:rPr>
                <w:rFonts w:hint="eastAsia" w:ascii="宋体"/>
                <w:sz w:val="24"/>
                <w:szCs w:val="24"/>
              </w:rPr>
            </w:pPr>
          </w:p>
        </w:tc>
        <w:tc>
          <w:tcPr>
            <w:tcW w:w="688" w:type="dxa"/>
            <w:vMerge w:val="continue"/>
            <w:tcBorders>
              <w:top w:val="nil"/>
              <w:left w:val="nil"/>
              <w:bottom w:val="single" w:color="auto" w:sz="8" w:space="0"/>
              <w:right w:val="single" w:color="auto" w:sz="8" w:space="0"/>
            </w:tcBorders>
            <w:shd w:val="clear" w:color="auto" w:fill="9BC2E6"/>
            <w:tcMar>
              <w:left w:w="57" w:type="dxa"/>
              <w:right w:w="57" w:type="dxa"/>
            </w:tcMar>
            <w:vAlign w:val="center"/>
          </w:tcPr>
          <w:p>
            <w:pPr>
              <w:rPr>
                <w:rFonts w:hint="eastAsia" w:ascii="宋体"/>
                <w:sz w:val="24"/>
                <w:szCs w:val="24"/>
              </w:rPr>
            </w:pPr>
          </w:p>
        </w:tc>
        <w:tc>
          <w:tcPr>
            <w:tcW w:w="688" w:type="dxa"/>
            <w:tcBorders>
              <w:top w:val="nil"/>
              <w:left w:val="nil"/>
              <w:bottom w:val="single" w:color="auto" w:sz="8" w:space="0"/>
              <w:right w:val="single" w:color="auto" w:sz="8" w:space="0"/>
            </w:tcBorders>
            <w:shd w:val="clear" w:color="auto" w:fill="9BC2E6"/>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商业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企业</w:t>
            </w:r>
          </w:p>
        </w:tc>
        <w:tc>
          <w:tcPr>
            <w:tcW w:w="688" w:type="dxa"/>
            <w:tcBorders>
              <w:top w:val="nil"/>
              <w:left w:val="nil"/>
              <w:bottom w:val="single" w:color="auto" w:sz="8" w:space="0"/>
              <w:right w:val="single" w:color="auto" w:sz="8" w:space="0"/>
            </w:tcBorders>
            <w:shd w:val="clear" w:color="auto" w:fill="9BC2E6"/>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科研</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机构</w:t>
            </w:r>
          </w:p>
        </w:tc>
        <w:tc>
          <w:tcPr>
            <w:tcW w:w="688" w:type="dxa"/>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社会公益组织</w:t>
            </w:r>
          </w:p>
        </w:tc>
        <w:tc>
          <w:tcPr>
            <w:tcW w:w="688" w:type="dxa"/>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法律服务机构</w:t>
            </w:r>
          </w:p>
        </w:tc>
        <w:tc>
          <w:tcPr>
            <w:tcW w:w="688" w:type="dxa"/>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其他</w:t>
            </w:r>
          </w:p>
        </w:tc>
        <w:tc>
          <w:tcPr>
            <w:tcW w:w="689" w:type="dxa"/>
            <w:vMerge w:val="continue"/>
            <w:tcBorders>
              <w:top w:val="single" w:color="auto" w:sz="8" w:space="0"/>
              <w:left w:val="nil"/>
              <w:bottom w:val="outset" w:color="auto" w:sz="8" w:space="0"/>
              <w:right w:val="single" w:color="auto" w:sz="8" w:space="0"/>
            </w:tcBorders>
            <w:shd w:val="clear" w:color="auto" w:fill="9BC2E6"/>
            <w:tcMar>
              <w:left w:w="57" w:type="dxa"/>
              <w:right w:w="57"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82" w:hRule="atLeast"/>
          <w:jc w:val="center"/>
        </w:trPr>
        <w:tc>
          <w:tcPr>
            <w:tcW w:w="4931" w:type="dxa"/>
            <w:gridSpan w:val="3"/>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一、本年新收政府信息公开申请数量</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eastAsia="宋体"/>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eastAsia="宋体"/>
                <w:lang w:val="en-US" w:eastAsia="zh-CN"/>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二、上年结转政府信息公开申请数量</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restart"/>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三、本年度办理结果</w:t>
            </w:r>
          </w:p>
        </w:tc>
        <w:tc>
          <w:tcPr>
            <w:tcW w:w="4163" w:type="dxa"/>
            <w:gridSpan w:val="2"/>
            <w:tcBorders>
              <w:top w:val="nil"/>
              <w:left w:val="nil"/>
              <w:bottom w:val="single" w:color="auto" w:sz="8" w:space="0"/>
              <w:right w:val="single" w:color="auto" w:sz="8" w:space="0"/>
            </w:tcBorders>
            <w:shd w:val="clear" w:color="auto" w:fill="DDEBF7"/>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（一）予以公开</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eastAsia="宋体"/>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eastAsia="宋体"/>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eastAsia="宋体"/>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eastAsia="宋体"/>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eastAsia="宋体"/>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eastAsia="宋体"/>
                <w:lang w:val="en-US" w:eastAsia="zh-CN"/>
              </w:rPr>
            </w:pPr>
            <w:r>
              <w:rPr>
                <w:rFonts w:hint="eastAsia"/>
                <w:lang w:val="en-US" w:eastAsia="zh-CN"/>
              </w:rPr>
              <w:t>0</w:t>
            </w:r>
          </w:p>
        </w:tc>
        <w:tc>
          <w:tcPr>
            <w:tcW w:w="689" w:type="dxa"/>
            <w:tcBorders>
              <w:top w:val="single" w:color="auto" w:sz="8" w:space="0"/>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eastAsia="宋体"/>
                <w:lang w:val="en-US" w:eastAsia="zh-CN"/>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34" w:hRule="atLeast"/>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hint="eastAsia" w:ascii="宋体"/>
                <w:sz w:val="24"/>
                <w:szCs w:val="24"/>
              </w:rPr>
            </w:pPr>
          </w:p>
        </w:tc>
        <w:tc>
          <w:tcPr>
            <w:tcW w:w="4163" w:type="dxa"/>
            <w:gridSpan w:val="2"/>
            <w:tcBorders>
              <w:top w:val="nil"/>
              <w:left w:val="nil"/>
              <w:bottom w:val="single" w:color="auto" w:sz="8" w:space="0"/>
              <w:right w:val="single" w:color="auto" w:sz="8" w:space="0"/>
            </w:tcBorders>
            <w:shd w:val="clear" w:color="auto" w:fill="DDEBF7"/>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（二）部分公开</w:t>
            </w:r>
            <w:r>
              <w:rPr>
                <w:rFonts w:hint="default" w:ascii="楷体" w:hAnsi="楷体" w:eastAsia="楷体" w:cs="楷体"/>
                <w:kern w:val="0"/>
                <w:sz w:val="20"/>
                <w:szCs w:val="20"/>
                <w:lang w:val="en-US" w:eastAsia="zh-CN" w:bidi="ar"/>
              </w:rPr>
              <w:t>（区分处理的，只计这一情形，不计其他情形）</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hint="eastAsia" w:ascii="宋体"/>
                <w:sz w:val="24"/>
                <w:szCs w:val="24"/>
              </w:rPr>
            </w:pPr>
          </w:p>
        </w:tc>
        <w:tc>
          <w:tcPr>
            <w:tcW w:w="943" w:type="dxa"/>
            <w:vMerge w:val="restart"/>
            <w:tcBorders>
              <w:top w:val="nil"/>
              <w:left w:val="nil"/>
              <w:bottom w:val="outset" w:color="auto" w:sz="8" w:space="0"/>
              <w:right w:val="single" w:color="auto" w:sz="8" w:space="0"/>
            </w:tcBorders>
            <w:shd w:val="clear" w:color="auto" w:fill="DDEBF7"/>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（三）不予公开</w:t>
            </w: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1.属于国家秘密</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9" w:type="dxa"/>
            <w:tcBorders>
              <w:top w:val="single" w:color="auto" w:sz="8" w:space="0"/>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hint="eastAsia" w:ascii="宋体"/>
                <w:sz w:val="24"/>
                <w:szCs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2.其他法律行政法规禁止公开</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hint="eastAsia" w:ascii="宋体"/>
                <w:sz w:val="24"/>
                <w:szCs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3.危及“三安全一稳定”</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hint="eastAsia" w:ascii="宋体"/>
                <w:sz w:val="24"/>
                <w:szCs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4.保护第三方合法权益</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hint="eastAsia" w:ascii="宋体"/>
                <w:sz w:val="24"/>
                <w:szCs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5.属于三类内部事务信息</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hint="eastAsia" w:ascii="宋体"/>
                <w:sz w:val="24"/>
                <w:szCs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6.属于四类过程性信息</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hint="eastAsia" w:ascii="宋体"/>
                <w:sz w:val="24"/>
                <w:szCs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7.属于行政执法案卷</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hint="eastAsia" w:ascii="宋体"/>
                <w:sz w:val="24"/>
                <w:szCs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8.属于行政查询事项</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hint="eastAsia" w:ascii="宋体"/>
                <w:sz w:val="24"/>
                <w:szCs w:val="24"/>
              </w:rPr>
            </w:pPr>
          </w:p>
        </w:tc>
        <w:tc>
          <w:tcPr>
            <w:tcW w:w="943" w:type="dxa"/>
            <w:vMerge w:val="restart"/>
            <w:tcBorders>
              <w:top w:val="nil"/>
              <w:left w:val="nil"/>
              <w:bottom w:val="outset" w:color="auto" w:sz="8" w:space="0"/>
              <w:right w:val="single" w:color="auto" w:sz="8" w:space="0"/>
            </w:tcBorders>
            <w:shd w:val="clear" w:color="auto" w:fill="DDEBF7"/>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（四）无法提供</w:t>
            </w: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1.本机关不掌握相关政府信息</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hint="eastAsia" w:ascii="宋体"/>
                <w:sz w:val="24"/>
                <w:szCs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2.没有现成信息需要另行制作</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hint="eastAsia" w:ascii="宋体"/>
                <w:sz w:val="24"/>
                <w:szCs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3.补正后申请内容仍不明确</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hint="eastAsia" w:ascii="宋体"/>
                <w:sz w:val="24"/>
                <w:szCs w:val="24"/>
              </w:rPr>
            </w:pPr>
          </w:p>
        </w:tc>
        <w:tc>
          <w:tcPr>
            <w:tcW w:w="943" w:type="dxa"/>
            <w:vMerge w:val="restart"/>
            <w:tcBorders>
              <w:top w:val="nil"/>
              <w:left w:val="nil"/>
              <w:bottom w:val="outset" w:color="auto" w:sz="8" w:space="0"/>
              <w:right w:val="single" w:color="auto" w:sz="8" w:space="0"/>
            </w:tcBorders>
            <w:shd w:val="clear" w:color="auto" w:fill="DDEBF7"/>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（五）不予处理</w:t>
            </w: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1.信访举报投诉类申请</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hint="eastAsia" w:ascii="宋体"/>
                <w:sz w:val="24"/>
                <w:szCs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2.重复申请</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hint="eastAsia" w:ascii="宋体"/>
                <w:sz w:val="24"/>
                <w:szCs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3.要求提供公开出版物</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hint="eastAsia" w:ascii="宋体"/>
                <w:sz w:val="24"/>
                <w:szCs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4.无正当理由大量反复申请</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79" w:hRule="atLeast"/>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hint="eastAsia" w:ascii="宋体"/>
                <w:sz w:val="24"/>
                <w:szCs w:val="24"/>
              </w:rPr>
            </w:pPr>
          </w:p>
        </w:tc>
        <w:tc>
          <w:tcPr>
            <w:tcW w:w="3220" w:type="dxa"/>
            <w:tcBorders>
              <w:top w:val="nil"/>
              <w:left w:val="nil"/>
              <w:bottom w:val="outset" w:color="auto" w:sz="8" w:space="0"/>
              <w:right w:val="single" w:color="auto" w:sz="8" w:space="0"/>
            </w:tcBorders>
            <w:shd w:val="clear" w:color="auto" w:fill="DDEBF7"/>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宋体" w:hAnsi="宋体" w:eastAsia="宋体" w:cs="宋体"/>
                <w:kern w:val="0"/>
                <w:sz w:val="20"/>
                <w:szCs w:val="20"/>
                <w:lang w:val="en-US" w:eastAsia="zh-CN" w:bidi="ar"/>
              </w:rPr>
              <w:t>5.要求行政机关确认或重新出具已获取信息</w:t>
            </w:r>
          </w:p>
        </w:tc>
        <w:tc>
          <w:tcPr>
            <w:tcW w:w="688" w:type="dxa"/>
            <w:tcBorders>
              <w:top w:val="nil"/>
              <w:left w:val="nil"/>
              <w:bottom w:val="outset"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outset"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outset"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outset"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outset"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outset"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9" w:type="dxa"/>
            <w:tcBorders>
              <w:top w:val="nil"/>
              <w:left w:val="nil"/>
              <w:bottom w:val="outset"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hint="eastAsia" w:ascii="宋体"/>
                <w:sz w:val="24"/>
                <w:szCs w:val="24"/>
              </w:rPr>
            </w:pPr>
          </w:p>
        </w:tc>
        <w:tc>
          <w:tcPr>
            <w:tcW w:w="943" w:type="dxa"/>
            <w:vMerge w:val="restart"/>
            <w:tcBorders>
              <w:top w:val="outset" w:color="auto" w:sz="8" w:space="0"/>
              <w:left w:val="nil"/>
              <w:bottom w:val="outset" w:color="auto" w:sz="8" w:space="0"/>
              <w:right w:val="single" w:color="auto" w:sz="8" w:space="0"/>
            </w:tcBorders>
            <w:shd w:val="clear" w:color="auto" w:fill="DDEBF7"/>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（六）其他处理</w:t>
            </w:r>
          </w:p>
        </w:tc>
        <w:tc>
          <w:tcPr>
            <w:tcW w:w="3220" w:type="dxa"/>
            <w:tcBorders>
              <w:top w:val="nil"/>
              <w:left w:val="nil"/>
              <w:bottom w:val="single" w:color="auto" w:sz="8" w:space="0"/>
              <w:right w:val="single" w:color="auto" w:sz="8" w:space="0"/>
            </w:tcBorders>
            <w:shd w:val="clear" w:color="auto" w:fill="DDEBF7"/>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宋体" w:hAnsi="宋体" w:eastAsia="宋体" w:cs="宋体"/>
                <w:kern w:val="0"/>
                <w:sz w:val="20"/>
                <w:szCs w:val="20"/>
                <w:lang w:val="en-US" w:eastAsia="zh-CN" w:bidi="ar"/>
              </w:rPr>
              <w:t>1.申请人无正当理由逾期不补正、行政机关不再处理其政府信息公开申请</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Calibri" w:hAnsi="Calibri" w:cs="Calibri"/>
                <w:kern w:val="0"/>
                <w:sz w:val="20"/>
                <w:szCs w:val="20"/>
                <w:lang w:val="en-US" w:eastAsia="zh-CN" w:bidi="ar"/>
              </w:rPr>
            </w:pP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Calibri" w:hAnsi="Calibri" w:cs="Calibri"/>
                <w:kern w:val="0"/>
                <w:sz w:val="20"/>
                <w:szCs w:val="2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Calibri" w:hAnsi="Calibri" w:cs="Calibri"/>
                <w:kern w:val="0"/>
                <w:sz w:val="20"/>
                <w:szCs w:val="20"/>
                <w:lang w:val="en-US" w:eastAsia="zh-CN" w:bidi="ar"/>
              </w:rP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hint="eastAsia" w:ascii="宋体"/>
                <w:sz w:val="24"/>
                <w:szCs w:val="24"/>
              </w:rPr>
            </w:pPr>
          </w:p>
        </w:tc>
        <w:tc>
          <w:tcPr>
            <w:tcW w:w="943" w:type="dxa"/>
            <w:vMerge w:val="continue"/>
            <w:tcBorders>
              <w:top w:val="outset" w:color="auto" w:sz="8" w:space="0"/>
              <w:left w:val="nil"/>
              <w:bottom w:val="outset" w:color="auto" w:sz="8" w:space="0"/>
              <w:right w:val="single" w:color="auto" w:sz="8" w:space="0"/>
            </w:tcBorders>
            <w:shd w:val="clear" w:color="auto" w:fill="DDEBF7"/>
            <w:tcMar>
              <w:left w:w="57" w:type="dxa"/>
              <w:right w:w="57" w:type="dxa"/>
            </w:tcMar>
            <w:vAlign w:val="center"/>
          </w:tcPr>
          <w:p>
            <w:pPr>
              <w:rPr>
                <w:rFonts w:hint="eastAsia" w:ascii="宋体"/>
                <w:sz w:val="24"/>
                <w:szCs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宋体" w:hAnsi="宋体" w:eastAsia="宋体" w:cs="宋体"/>
                <w:kern w:val="0"/>
                <w:sz w:val="20"/>
                <w:szCs w:val="20"/>
                <w:lang w:val="en-US" w:eastAsia="zh-CN" w:bidi="ar"/>
              </w:rPr>
              <w:t>2.申请人逾期未按收费通知要求缴纳费用、行政机关不再处理其政府信息公开申请</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Calibri" w:hAnsi="Calibri" w:cs="Calibri"/>
                <w:kern w:val="0"/>
                <w:sz w:val="20"/>
                <w:szCs w:val="2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hint="eastAsia" w:ascii="宋体"/>
                <w:sz w:val="24"/>
                <w:szCs w:val="24"/>
              </w:rPr>
            </w:pPr>
          </w:p>
        </w:tc>
        <w:tc>
          <w:tcPr>
            <w:tcW w:w="943" w:type="dxa"/>
            <w:vMerge w:val="continue"/>
            <w:tcBorders>
              <w:top w:val="outset" w:color="auto" w:sz="8" w:space="0"/>
              <w:left w:val="nil"/>
              <w:bottom w:val="outset" w:color="auto" w:sz="8" w:space="0"/>
              <w:right w:val="single" w:color="auto" w:sz="8" w:space="0"/>
            </w:tcBorders>
            <w:shd w:val="clear" w:color="auto" w:fill="DDEBF7"/>
            <w:tcMar>
              <w:left w:w="57" w:type="dxa"/>
              <w:right w:w="57" w:type="dxa"/>
            </w:tcMar>
            <w:vAlign w:val="center"/>
          </w:tcPr>
          <w:p>
            <w:pPr>
              <w:rPr>
                <w:rFonts w:hint="eastAsia" w:ascii="宋体"/>
                <w:sz w:val="24"/>
                <w:szCs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3.其他</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hint="eastAsia" w:ascii="宋体"/>
                <w:sz w:val="24"/>
                <w:szCs w:val="24"/>
              </w:rPr>
            </w:pPr>
          </w:p>
        </w:tc>
        <w:tc>
          <w:tcPr>
            <w:tcW w:w="4163" w:type="dxa"/>
            <w:gridSpan w:val="2"/>
            <w:tcBorders>
              <w:top w:val="nil"/>
              <w:left w:val="nil"/>
              <w:bottom w:val="single" w:color="auto" w:sz="8" w:space="0"/>
              <w:right w:val="single" w:color="auto" w:sz="8" w:space="0"/>
            </w:tcBorders>
            <w:shd w:val="clear" w:color="auto" w:fill="DDEBF7"/>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（七）总计</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四、结转下年度继续办理</w:t>
            </w:r>
          </w:p>
        </w:tc>
        <w:tc>
          <w:tcPr>
            <w:tcW w:w="688" w:type="dxa"/>
            <w:tcBorders>
              <w:top w:val="outset" w:color="auto" w:sz="6" w:space="0"/>
              <w:left w:val="nil"/>
              <w:bottom w:val="outset" w:color="auto" w:sz="6" w:space="0"/>
              <w:right w:val="outset" w:color="auto" w:sz="6" w:space="0"/>
            </w:tcBorders>
            <w:vAlign w:val="center"/>
          </w:tcPr>
          <w:p>
            <w:pPr>
              <w:jc w:val="center"/>
              <w:rPr>
                <w:rFonts w:hint="eastAsia" w:ascii="宋体"/>
                <w:sz w:val="24"/>
                <w:szCs w:val="24"/>
              </w:rPr>
            </w:pPr>
            <w:r>
              <w:rPr>
                <w:rFonts w:hint="eastAsia" w:ascii="Calibri" w:hAnsi="Calibri" w:cs="Calibri"/>
                <w:kern w:val="0"/>
                <w:sz w:val="20"/>
                <w:szCs w:val="20"/>
                <w:lang w:val="en-US" w:eastAsia="zh-CN" w:bidi="ar"/>
              </w:rPr>
              <w:t>0</w:t>
            </w:r>
          </w:p>
        </w:tc>
        <w:tc>
          <w:tcPr>
            <w:tcW w:w="688" w:type="dxa"/>
            <w:tcBorders>
              <w:top w:val="outset" w:color="auto" w:sz="6" w:space="0"/>
              <w:left w:val="nil"/>
              <w:bottom w:val="outset" w:color="auto" w:sz="6" w:space="0"/>
              <w:right w:val="outset" w:color="auto" w:sz="6" w:space="0"/>
            </w:tcBorders>
            <w:vAlign w:val="center"/>
          </w:tcPr>
          <w:p>
            <w:pPr>
              <w:jc w:val="center"/>
              <w:rPr>
                <w:rFonts w:hint="eastAsia" w:ascii="宋体"/>
                <w:sz w:val="24"/>
                <w:szCs w:val="24"/>
              </w:rPr>
            </w:pPr>
            <w:r>
              <w:rPr>
                <w:rFonts w:hint="eastAsia" w:ascii="Calibri" w:hAnsi="Calibri" w:cs="Calibri"/>
                <w:kern w:val="0"/>
                <w:sz w:val="20"/>
                <w:szCs w:val="20"/>
                <w:lang w:val="en-US" w:eastAsia="zh-CN" w:bidi="ar"/>
              </w:rPr>
              <w:t>0</w:t>
            </w:r>
          </w:p>
        </w:tc>
        <w:tc>
          <w:tcPr>
            <w:tcW w:w="688" w:type="dxa"/>
            <w:tcBorders>
              <w:top w:val="outset" w:color="auto" w:sz="6" w:space="0"/>
              <w:left w:val="nil"/>
              <w:bottom w:val="outset" w:color="auto" w:sz="6" w:space="0"/>
              <w:right w:val="outset" w:color="auto" w:sz="6" w:space="0"/>
            </w:tcBorders>
            <w:vAlign w:val="center"/>
          </w:tcPr>
          <w:p>
            <w:pPr>
              <w:jc w:val="center"/>
              <w:rPr>
                <w:rFonts w:hint="eastAsia" w:ascii="宋体"/>
                <w:sz w:val="24"/>
                <w:szCs w:val="24"/>
              </w:rPr>
            </w:pPr>
            <w:r>
              <w:rPr>
                <w:rFonts w:hint="eastAsia" w:ascii="Calibri" w:hAnsi="Calibri" w:cs="Calibri"/>
                <w:kern w:val="0"/>
                <w:sz w:val="20"/>
                <w:szCs w:val="20"/>
                <w:lang w:val="en-US" w:eastAsia="zh-CN" w:bidi="ar"/>
              </w:rPr>
              <w:t>0</w:t>
            </w:r>
          </w:p>
        </w:tc>
        <w:tc>
          <w:tcPr>
            <w:tcW w:w="688" w:type="dxa"/>
            <w:tcBorders>
              <w:top w:val="outset" w:color="auto" w:sz="6" w:space="0"/>
              <w:left w:val="nil"/>
              <w:bottom w:val="outset" w:color="auto" w:sz="6" w:space="0"/>
              <w:right w:val="outset" w:color="auto" w:sz="6" w:space="0"/>
            </w:tcBorders>
            <w:vAlign w:val="center"/>
          </w:tcPr>
          <w:p>
            <w:pPr>
              <w:jc w:val="center"/>
              <w:rPr>
                <w:rFonts w:hint="eastAsia" w:ascii="宋体"/>
                <w:sz w:val="24"/>
                <w:szCs w:val="24"/>
              </w:rPr>
            </w:pPr>
            <w:r>
              <w:rPr>
                <w:rFonts w:hint="eastAsia" w:ascii="Calibri" w:hAnsi="Calibri" w:cs="Calibri"/>
                <w:kern w:val="0"/>
                <w:sz w:val="20"/>
                <w:szCs w:val="20"/>
                <w:lang w:val="en-US" w:eastAsia="zh-CN" w:bidi="ar"/>
              </w:rPr>
              <w:t>0</w:t>
            </w:r>
          </w:p>
        </w:tc>
        <w:tc>
          <w:tcPr>
            <w:tcW w:w="688" w:type="dxa"/>
            <w:tcBorders>
              <w:top w:val="outset" w:color="auto" w:sz="6" w:space="0"/>
              <w:left w:val="nil"/>
              <w:bottom w:val="outset" w:color="auto" w:sz="6" w:space="0"/>
              <w:right w:val="outset" w:color="auto" w:sz="6" w:space="0"/>
            </w:tcBorders>
            <w:vAlign w:val="center"/>
          </w:tcPr>
          <w:p>
            <w:pPr>
              <w:jc w:val="center"/>
              <w:rPr>
                <w:rFonts w:hint="eastAsia" w:ascii="宋体"/>
                <w:sz w:val="24"/>
                <w:szCs w:val="24"/>
              </w:rPr>
            </w:pPr>
            <w:r>
              <w:rPr>
                <w:rFonts w:hint="eastAsia" w:ascii="Calibri" w:hAnsi="Calibri" w:cs="Calibri"/>
                <w:kern w:val="0"/>
                <w:sz w:val="20"/>
                <w:szCs w:val="20"/>
                <w:lang w:val="en-US" w:eastAsia="zh-CN" w:bidi="ar"/>
              </w:rPr>
              <w:t>0</w:t>
            </w:r>
          </w:p>
        </w:tc>
        <w:tc>
          <w:tcPr>
            <w:tcW w:w="688" w:type="dxa"/>
            <w:tcBorders>
              <w:top w:val="outset" w:color="auto" w:sz="6" w:space="0"/>
              <w:left w:val="nil"/>
              <w:bottom w:val="outset" w:color="auto" w:sz="6" w:space="0"/>
              <w:right w:val="outset" w:color="auto" w:sz="6" w:space="0"/>
            </w:tcBorders>
            <w:vAlign w:val="center"/>
          </w:tcPr>
          <w:p>
            <w:pPr>
              <w:jc w:val="center"/>
              <w:rPr>
                <w:rFonts w:hint="eastAsia" w:ascii="宋体"/>
                <w:sz w:val="24"/>
                <w:szCs w:val="24"/>
              </w:rPr>
            </w:pPr>
            <w:r>
              <w:rPr>
                <w:rFonts w:hint="eastAsia" w:ascii="Calibri" w:hAnsi="Calibri" w:cs="Calibri"/>
                <w:kern w:val="0"/>
                <w:sz w:val="20"/>
                <w:szCs w:val="20"/>
                <w:lang w:val="en-US" w:eastAsia="zh-CN" w:bidi="ar"/>
              </w:rPr>
              <w:t>0</w:t>
            </w:r>
          </w:p>
        </w:tc>
        <w:tc>
          <w:tcPr>
            <w:tcW w:w="689" w:type="dxa"/>
            <w:tcBorders>
              <w:top w:val="outset" w:color="auto" w:sz="6" w:space="0"/>
              <w:left w:val="nil"/>
              <w:bottom w:val="outset" w:color="auto" w:sz="6" w:space="0"/>
              <w:right w:val="outset" w:color="auto" w:sz="6" w:space="0"/>
            </w:tcBorders>
            <w:vAlign w:val="center"/>
          </w:tcPr>
          <w:p>
            <w:pPr>
              <w:jc w:val="center"/>
              <w:rPr>
                <w:rFonts w:hint="eastAsia" w:ascii="宋体"/>
                <w:sz w:val="24"/>
                <w:szCs w:val="24"/>
              </w:rPr>
            </w:pPr>
            <w:r>
              <w:rPr>
                <w:rFonts w:hint="eastAsia" w:ascii="Calibri" w:hAnsi="Calibri" w:cs="Calibri"/>
                <w:kern w:val="0"/>
                <w:sz w:val="20"/>
                <w:szCs w:val="20"/>
                <w:lang w:val="en-US" w:eastAsia="zh-CN" w:bidi="ar"/>
              </w:rPr>
              <w:t>0</w:t>
            </w:r>
          </w:p>
        </w:tc>
      </w:tr>
    </w:tbl>
    <w:p>
      <w:pPr>
        <w:pStyle w:val="2"/>
        <w:keepNext w:val="0"/>
        <w:keepLines w:val="0"/>
        <w:pageBreakBefore w:val="0"/>
        <w:numPr>
          <w:ilvl w:val="0"/>
          <w:numId w:val="0"/>
        </w:numPr>
        <w:kinsoku/>
        <w:wordWrap/>
        <w:overflowPunct/>
        <w:topLinePunct w:val="0"/>
        <w:autoSpaceDE/>
        <w:autoSpaceDN/>
        <w:bidi w:val="0"/>
        <w:adjustRightInd/>
        <w:snapToGrid/>
        <w:spacing w:line="560" w:lineRule="exact"/>
        <w:ind w:right="0" w:rightChars="0"/>
        <w:textAlignment w:val="auto"/>
        <w:outlineLvl w:val="9"/>
        <w:rPr>
          <w:rFonts w:hint="eastAsia"/>
        </w:rPr>
      </w:pPr>
    </w:p>
    <w:p>
      <w:pPr>
        <w:pStyle w:val="2"/>
        <w:keepNext w:val="0"/>
        <w:keepLines w:val="0"/>
        <w:pageBreakBefore w:val="0"/>
        <w:numPr>
          <w:ilvl w:val="0"/>
          <w:numId w:val="0"/>
        </w:numPr>
        <w:kinsoku/>
        <w:wordWrap/>
        <w:overflowPunct/>
        <w:topLinePunct w:val="0"/>
        <w:autoSpaceDE/>
        <w:autoSpaceDN/>
        <w:bidi w:val="0"/>
        <w:adjustRightInd/>
        <w:snapToGrid/>
        <w:spacing w:line="560" w:lineRule="exact"/>
        <w:ind w:leftChars="200" w:right="0" w:rightChars="0"/>
        <w:textAlignment w:val="auto"/>
        <w:outlineLvl w:val="9"/>
        <w:rPr>
          <w:rFonts w:hint="eastAsia"/>
        </w:rPr>
      </w:pPr>
    </w:p>
    <w:p>
      <w:pPr>
        <w:keepNext w:val="0"/>
        <w:keepLines w:val="0"/>
        <w:pageBreakBefore w:val="0"/>
        <w:numPr>
          <w:ilvl w:val="0"/>
          <w:numId w:val="2"/>
        </w:numPr>
        <w:kinsoku/>
        <w:wordWrap/>
        <w:overflowPunct/>
        <w:topLinePunct w:val="0"/>
        <w:autoSpaceDE/>
        <w:autoSpaceDN/>
        <w:bidi w:val="0"/>
        <w:adjustRightInd/>
        <w:snapToGrid/>
        <w:spacing w:line="560" w:lineRule="exact"/>
        <w:ind w:left="420" w:leftChars="200" w:right="0" w:rightChars="0"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rPr>
        <w:t>政府信息公开行政复议、行政诉讼情况</w:t>
      </w:r>
    </w:p>
    <w:p>
      <w:pPr>
        <w:pStyle w:val="2"/>
        <w:numPr>
          <w:ilvl w:val="0"/>
          <w:numId w:val="0"/>
        </w:numPr>
        <w:rPr>
          <w:rFonts w:hint="eastAsia"/>
        </w:rPr>
      </w:pPr>
    </w:p>
    <w:tbl>
      <w:tblPr>
        <w:tblStyle w:val="6"/>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7" w:hRule="atLeast"/>
          <w:jc w:val="center"/>
        </w:trPr>
        <w:tc>
          <w:tcPr>
            <w:tcW w:w="3245" w:type="dxa"/>
            <w:gridSpan w:val="5"/>
            <w:tcBorders>
              <w:top w:val="single" w:color="auto" w:sz="8" w:space="0"/>
              <w:left w:val="single" w:color="auto" w:sz="8" w:space="0"/>
              <w:bottom w:val="single" w:color="auto" w:sz="8" w:space="0"/>
              <w:right w:val="single" w:color="auto" w:sz="8" w:space="0"/>
            </w:tcBorders>
            <w:shd w:val="clear" w:color="auto" w:fill="BDD7EE"/>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行政复议</w:t>
            </w:r>
          </w:p>
        </w:tc>
        <w:tc>
          <w:tcPr>
            <w:tcW w:w="6503" w:type="dxa"/>
            <w:gridSpan w:val="10"/>
            <w:tcBorders>
              <w:top w:val="single" w:color="auto" w:sz="8" w:space="0"/>
              <w:left w:val="single" w:color="auto" w:sz="8" w:space="0"/>
              <w:bottom w:val="single" w:color="auto" w:sz="8" w:space="0"/>
              <w:right w:val="single" w:color="auto" w:sz="8" w:space="0"/>
            </w:tcBorders>
            <w:shd w:val="clear" w:color="auto" w:fill="BDD7EE"/>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82" w:hRule="atLeast"/>
          <w:jc w:val="center"/>
        </w:trPr>
        <w:tc>
          <w:tcPr>
            <w:tcW w:w="649"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结果维持</w:t>
            </w:r>
          </w:p>
        </w:tc>
        <w:tc>
          <w:tcPr>
            <w:tcW w:w="649"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结果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纠正</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其他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结果</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尚未</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审结</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总计</w:t>
            </w:r>
          </w:p>
        </w:tc>
        <w:tc>
          <w:tcPr>
            <w:tcW w:w="3248" w:type="dxa"/>
            <w:gridSpan w:val="5"/>
            <w:tcBorders>
              <w:top w:val="single" w:color="auto" w:sz="8" w:space="0"/>
              <w:left w:val="single" w:color="auto" w:sz="8" w:space="0"/>
              <w:bottom w:val="single" w:color="auto" w:sz="8" w:space="0"/>
              <w:right w:val="single" w:color="auto" w:sz="8" w:space="0"/>
            </w:tcBorders>
            <w:shd w:val="clear" w:color="auto" w:fill="DDEBF7"/>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未经复议直接起诉</w:t>
            </w:r>
          </w:p>
        </w:tc>
        <w:tc>
          <w:tcPr>
            <w:tcW w:w="3255" w:type="dxa"/>
            <w:gridSpan w:val="5"/>
            <w:tcBorders>
              <w:top w:val="single" w:color="auto" w:sz="8" w:space="0"/>
              <w:left w:val="single" w:color="auto" w:sz="8" w:space="0"/>
              <w:bottom w:val="single" w:color="auto" w:sz="8" w:space="0"/>
              <w:right w:val="single" w:color="auto" w:sz="8" w:space="0"/>
            </w:tcBorders>
            <w:shd w:val="clear" w:color="auto" w:fill="DDEBF7"/>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14" w:hRule="atLeast"/>
          <w:jc w:val="center"/>
        </w:trPr>
        <w:tc>
          <w:tcPr>
            <w:tcW w:w="649"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hint="eastAsia" w:ascii="宋体"/>
                <w:sz w:val="24"/>
                <w:szCs w:val="24"/>
              </w:rPr>
            </w:pPr>
          </w:p>
        </w:tc>
        <w:tc>
          <w:tcPr>
            <w:tcW w:w="649"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hint="eastAsia" w:ascii="宋体"/>
                <w:sz w:val="24"/>
                <w:szCs w:val="24"/>
              </w:rPr>
            </w:pPr>
          </w:p>
        </w:tc>
        <w:tc>
          <w:tcPr>
            <w:tcW w:w="649"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rPr>
                <w:rFonts w:hint="eastAsia" w:ascii="宋体"/>
                <w:sz w:val="24"/>
                <w:szCs w:val="24"/>
              </w:rPr>
            </w:pPr>
          </w:p>
        </w:tc>
        <w:tc>
          <w:tcPr>
            <w:tcW w:w="649"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rPr>
                <w:rFonts w:hint="eastAsia" w:ascii="宋体"/>
                <w:sz w:val="24"/>
                <w:szCs w:val="24"/>
              </w:rPr>
            </w:pPr>
          </w:p>
        </w:tc>
        <w:tc>
          <w:tcPr>
            <w:tcW w:w="649"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rPr>
                <w:rFonts w:hint="eastAsia" w:ascii="宋体"/>
                <w:sz w:val="24"/>
                <w:szCs w:val="24"/>
              </w:rPr>
            </w:pP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结果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维持</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结果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纠正</w:t>
            </w:r>
          </w:p>
        </w:tc>
        <w:tc>
          <w:tcPr>
            <w:tcW w:w="65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其他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结果</w:t>
            </w:r>
          </w:p>
        </w:tc>
        <w:tc>
          <w:tcPr>
            <w:tcW w:w="65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尚未</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审结</w:t>
            </w:r>
          </w:p>
        </w:tc>
        <w:tc>
          <w:tcPr>
            <w:tcW w:w="65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color w:val="000000"/>
                <w:kern w:val="0"/>
                <w:sz w:val="20"/>
                <w:szCs w:val="20"/>
                <w:lang w:val="en-US" w:eastAsia="zh-CN" w:bidi="ar"/>
              </w:rPr>
              <w:t>总计</w:t>
            </w:r>
          </w:p>
        </w:tc>
        <w:tc>
          <w:tcPr>
            <w:tcW w:w="65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结果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维持</w:t>
            </w:r>
          </w:p>
        </w:tc>
        <w:tc>
          <w:tcPr>
            <w:tcW w:w="65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结果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纠正</w:t>
            </w:r>
          </w:p>
        </w:tc>
        <w:tc>
          <w:tcPr>
            <w:tcW w:w="65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其他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color w:val="000000"/>
                <w:kern w:val="0"/>
                <w:sz w:val="20"/>
                <w:szCs w:val="20"/>
                <w:lang w:val="en-US" w:eastAsia="zh-CN" w:bidi="ar"/>
              </w:rPr>
              <w:t>结果</w:t>
            </w:r>
          </w:p>
        </w:tc>
        <w:tc>
          <w:tcPr>
            <w:tcW w:w="65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尚未</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审结</w:t>
            </w:r>
          </w:p>
        </w:tc>
        <w:tc>
          <w:tcPr>
            <w:tcW w:w="65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color w:val="000000"/>
                <w:kern w:val="0"/>
                <w:sz w:val="20"/>
                <w:szCs w:val="20"/>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72" w:hRule="atLeast"/>
          <w:jc w:val="center"/>
        </w:trPr>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黑体" w:hAnsi="宋体" w:eastAsia="黑体" w:cs="黑体"/>
                <w:kern w:val="0"/>
                <w:sz w:val="20"/>
                <w:szCs w:val="20"/>
                <w:lang w:val="en-US" w:eastAsia="zh-CN" w:bidi="ar"/>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黑体" w:hAnsi="宋体" w:eastAsia="黑体" w:cs="黑体"/>
                <w:kern w:val="0"/>
                <w:sz w:val="20"/>
                <w:szCs w:val="20"/>
                <w:lang w:val="en-US" w:eastAsia="zh-CN" w:bidi="ar"/>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黑体" w:hAnsi="宋体" w:eastAsia="黑体" w:cs="黑体"/>
                <w:kern w:val="0"/>
                <w:sz w:val="20"/>
                <w:szCs w:val="20"/>
                <w:lang w:val="en-US" w:eastAsia="zh-CN" w:bidi="ar"/>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eastAsia="宋体"/>
                <w:lang w:val="en-US" w:eastAsia="zh-CN"/>
              </w:rPr>
            </w:pPr>
            <w:r>
              <w:rPr>
                <w:rFonts w:hint="eastAsia"/>
                <w:lang w:val="en-US" w:eastAsia="zh-CN"/>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eastAsia="宋体"/>
                <w:lang w:val="en-US" w:eastAsia="zh-CN"/>
              </w:rPr>
            </w:pPr>
            <w:r>
              <w:rPr>
                <w:rFonts w:hint="eastAsia"/>
                <w:lang w:val="en-US" w:eastAsia="zh-CN"/>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eastAsia="宋体"/>
                <w:lang w:val="en-US" w:eastAsia="zh-CN"/>
              </w:rPr>
            </w:pPr>
            <w:r>
              <w:rPr>
                <w:rFonts w:hint="eastAsia"/>
                <w:lang w:val="en-US" w:eastAsia="zh-CN"/>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eastAsia="宋体"/>
                <w:lang w:val="en-US" w:eastAsia="zh-CN"/>
              </w:rPr>
            </w:pPr>
            <w:r>
              <w:rPr>
                <w:rFonts w:hint="eastAsia"/>
                <w:lang w:val="en-US" w:eastAsia="zh-CN"/>
              </w:rPr>
              <w:t>0</w:t>
            </w:r>
          </w:p>
        </w:tc>
        <w:tc>
          <w:tcPr>
            <w:tcW w:w="650" w:type="dxa"/>
            <w:tcBorders>
              <w:top w:val="nil"/>
              <w:left w:val="single" w:color="auto" w:sz="8" w:space="0"/>
              <w:bottom w:val="single" w:color="auto" w:sz="8" w:space="0"/>
              <w:right w:val="single" w:color="auto" w:sz="8" w:space="0"/>
            </w:tcBorders>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eastAsia="宋体"/>
                <w:lang w:val="en-US" w:eastAsia="zh-CN"/>
              </w:rPr>
            </w:pPr>
            <w:r>
              <w:rPr>
                <w:rFonts w:hint="eastAsia"/>
                <w:lang w:val="en-US" w:eastAsia="zh-CN"/>
              </w:rPr>
              <w:t>0</w:t>
            </w:r>
          </w:p>
        </w:tc>
        <w:tc>
          <w:tcPr>
            <w:tcW w:w="650" w:type="dxa"/>
            <w:tcBorders>
              <w:top w:val="nil"/>
              <w:left w:val="single" w:color="auto" w:sz="8" w:space="0"/>
              <w:bottom w:val="single" w:color="auto" w:sz="8" w:space="0"/>
              <w:right w:val="single" w:color="auto" w:sz="8" w:space="0"/>
            </w:tcBorders>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eastAsia="宋体"/>
                <w:lang w:val="en-US" w:eastAsia="zh-CN"/>
              </w:rPr>
            </w:pPr>
            <w:r>
              <w:rPr>
                <w:rFonts w:hint="eastAsia"/>
                <w:lang w:val="en-US" w:eastAsia="zh-CN"/>
              </w:rPr>
              <w:t>0</w:t>
            </w:r>
          </w:p>
        </w:tc>
        <w:tc>
          <w:tcPr>
            <w:tcW w:w="650" w:type="dxa"/>
            <w:tcBorders>
              <w:top w:val="nil"/>
              <w:left w:val="single" w:color="auto" w:sz="8" w:space="0"/>
              <w:bottom w:val="single" w:color="auto" w:sz="8" w:space="0"/>
              <w:right w:val="single" w:color="auto" w:sz="8" w:space="0"/>
            </w:tcBorders>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eastAsia="宋体"/>
                <w:lang w:val="en-US" w:eastAsia="zh-CN"/>
              </w:rPr>
            </w:pPr>
            <w:r>
              <w:rPr>
                <w:rFonts w:hint="eastAsia"/>
                <w:lang w:val="en-US" w:eastAsia="zh-CN"/>
              </w:rPr>
              <w:t>0</w:t>
            </w:r>
          </w:p>
        </w:tc>
        <w:tc>
          <w:tcPr>
            <w:tcW w:w="651" w:type="dxa"/>
            <w:tcBorders>
              <w:top w:val="nil"/>
              <w:left w:val="single" w:color="auto" w:sz="8" w:space="0"/>
              <w:bottom w:val="single" w:color="auto" w:sz="8" w:space="0"/>
              <w:right w:val="single" w:color="auto" w:sz="8" w:space="0"/>
            </w:tcBorders>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eastAsia="宋体"/>
                <w:lang w:val="en-US" w:eastAsia="zh-CN"/>
              </w:rPr>
            </w:pPr>
            <w:r>
              <w:rPr>
                <w:rFonts w:hint="eastAsia"/>
                <w:lang w:val="en-US" w:eastAsia="zh-CN"/>
              </w:rPr>
              <w:t>0</w:t>
            </w:r>
          </w:p>
        </w:tc>
        <w:tc>
          <w:tcPr>
            <w:tcW w:w="651" w:type="dxa"/>
            <w:tcBorders>
              <w:top w:val="nil"/>
              <w:left w:val="single" w:color="auto" w:sz="8" w:space="0"/>
              <w:bottom w:val="single" w:color="auto" w:sz="8" w:space="0"/>
              <w:right w:val="single" w:color="auto" w:sz="8" w:space="0"/>
            </w:tcBorders>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eastAsia="宋体"/>
                <w:lang w:val="en-US" w:eastAsia="zh-CN"/>
              </w:rPr>
            </w:pPr>
            <w:r>
              <w:rPr>
                <w:rFonts w:hint="eastAsia"/>
                <w:lang w:val="en-US" w:eastAsia="zh-CN"/>
              </w:rPr>
              <w:t>0</w:t>
            </w:r>
          </w:p>
        </w:tc>
        <w:tc>
          <w:tcPr>
            <w:tcW w:w="651" w:type="dxa"/>
            <w:tcBorders>
              <w:top w:val="nil"/>
              <w:left w:val="single" w:color="auto" w:sz="8" w:space="0"/>
              <w:bottom w:val="single" w:color="auto" w:sz="8" w:space="0"/>
              <w:right w:val="single" w:color="auto" w:sz="8" w:space="0"/>
            </w:tcBorders>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eastAsia="宋体"/>
                <w:lang w:val="en-US" w:eastAsia="zh-CN"/>
              </w:rPr>
            </w:pPr>
            <w:r>
              <w:rPr>
                <w:rFonts w:hint="eastAsia"/>
                <w:lang w:val="en-US" w:eastAsia="zh-CN"/>
              </w:rPr>
              <w:t>0</w:t>
            </w:r>
          </w:p>
        </w:tc>
        <w:tc>
          <w:tcPr>
            <w:tcW w:w="651" w:type="dxa"/>
            <w:tcBorders>
              <w:top w:val="nil"/>
              <w:left w:val="single" w:color="auto" w:sz="8" w:space="0"/>
              <w:bottom w:val="single" w:color="auto" w:sz="8" w:space="0"/>
              <w:right w:val="single" w:color="auto" w:sz="8" w:space="0"/>
            </w:tcBorders>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eastAsia="宋体"/>
                <w:lang w:val="en-US" w:eastAsia="zh-CN"/>
              </w:rPr>
            </w:pPr>
            <w:r>
              <w:rPr>
                <w:rFonts w:hint="eastAsia"/>
                <w:lang w:val="en-US" w:eastAsia="zh-CN"/>
              </w:rPr>
              <w:t>0</w:t>
            </w:r>
          </w:p>
        </w:tc>
        <w:tc>
          <w:tcPr>
            <w:tcW w:w="651" w:type="dxa"/>
            <w:tcBorders>
              <w:top w:val="nil"/>
              <w:left w:val="single" w:color="auto" w:sz="8" w:space="0"/>
              <w:bottom w:val="single" w:color="auto" w:sz="8" w:space="0"/>
              <w:right w:val="single" w:color="auto" w:sz="8" w:space="0"/>
            </w:tcBorders>
            <w:tcMar>
              <w:left w:w="108" w:type="dxa"/>
              <w:right w:w="108" w:type="dxa"/>
            </w:tcMar>
            <w:vAlign w:val="center"/>
          </w:tcPr>
          <w:p>
            <w:pPr>
              <w:jc w:val="center"/>
              <w:rPr>
                <w:rFonts w:hint="eastAsia" w:ascii="宋体" w:eastAsia="宋体"/>
                <w:sz w:val="24"/>
                <w:szCs w:val="24"/>
                <w:lang w:val="en-US" w:eastAsia="zh-CN"/>
              </w:rPr>
            </w:pPr>
            <w:r>
              <w:rPr>
                <w:rFonts w:hint="eastAsia" w:ascii="宋体"/>
                <w:sz w:val="24"/>
                <w:szCs w:val="24"/>
                <w:lang w:val="en-US" w:eastAsia="zh-CN"/>
              </w:rPr>
              <w:t>0</w:t>
            </w:r>
          </w:p>
        </w:tc>
      </w:tr>
    </w:tbl>
    <w:p>
      <w:pPr>
        <w:keepNext w:val="0"/>
        <w:keepLines w:val="0"/>
        <w:pageBreakBefore w:val="0"/>
        <w:widowControl/>
        <w:suppressLineNumbers w:val="0"/>
        <w:kinsoku/>
        <w:wordWrap/>
        <w:overflowPunct/>
        <w:topLinePunct w:val="0"/>
        <w:autoSpaceDE/>
        <w:autoSpaceDN/>
        <w:bidi w:val="0"/>
        <w:adjustRightInd/>
        <w:snapToGrid/>
        <w:spacing w:line="560" w:lineRule="exact"/>
        <w:ind w:right="0" w:rightChars="0"/>
        <w:jc w:val="left"/>
        <w:textAlignment w:val="auto"/>
        <w:outlineLvl w:val="9"/>
      </w:pPr>
    </w:p>
    <w:p>
      <w:pPr>
        <w:keepNext w:val="0"/>
        <w:keepLines w:val="0"/>
        <w:pageBreakBefore w:val="0"/>
        <w:widowControl/>
        <w:kinsoku/>
        <w:wordWrap/>
        <w:overflowPunct/>
        <w:topLinePunct w:val="0"/>
        <w:autoSpaceDE/>
        <w:autoSpaceDN/>
        <w:bidi w:val="0"/>
        <w:adjustRightInd/>
        <w:snapToGrid/>
        <w:spacing w:line="560" w:lineRule="exact"/>
        <w:ind w:right="0" w:rightChars="0" w:firstLine="672" w:firstLineChars="200"/>
        <w:jc w:val="left"/>
        <w:textAlignment w:val="auto"/>
        <w:outlineLvl w:val="9"/>
        <w:rPr>
          <w:rFonts w:ascii="宋体" w:hAnsi="宋体" w:cs="宋体"/>
          <w:spacing w:val="8"/>
          <w:kern w:val="0"/>
          <w:sz w:val="24"/>
        </w:rPr>
      </w:pPr>
      <w:r>
        <w:rPr>
          <w:rFonts w:ascii="黑体" w:hAnsi="黑体" w:eastAsia="黑体" w:cs="宋体"/>
          <w:spacing w:val="8"/>
          <w:kern w:val="0"/>
          <w:sz w:val="32"/>
          <w:szCs w:val="32"/>
        </w:rPr>
        <w:t>五、存在的主要问题及改进情况</w:t>
      </w:r>
    </w:p>
    <w:p>
      <w:pPr>
        <w:keepNext w:val="0"/>
        <w:keepLines w:val="0"/>
        <w:pageBreakBefore w:val="0"/>
        <w:widowControl/>
        <w:kinsoku/>
        <w:wordWrap/>
        <w:overflowPunct/>
        <w:topLinePunct w:val="0"/>
        <w:autoSpaceDE/>
        <w:autoSpaceDN/>
        <w:bidi w:val="0"/>
        <w:adjustRightInd/>
        <w:snapToGrid/>
        <w:spacing w:line="560" w:lineRule="exact"/>
        <w:ind w:right="0" w:rightChars="0" w:firstLine="672" w:firstLineChars="200"/>
        <w:jc w:val="left"/>
        <w:textAlignment w:val="auto"/>
        <w:outlineLvl w:val="9"/>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rPr>
        <w:t>202</w:t>
      </w:r>
      <w:r>
        <w:rPr>
          <w:rFonts w:hint="eastAsia" w:ascii="仿宋_GB2312" w:hAnsi="宋体" w:eastAsia="仿宋_GB2312" w:cs="宋体"/>
          <w:spacing w:val="8"/>
          <w:kern w:val="0"/>
          <w:sz w:val="32"/>
          <w:szCs w:val="32"/>
          <w:lang w:val="en-US" w:eastAsia="zh-CN"/>
        </w:rPr>
        <w:t>2</w:t>
      </w:r>
      <w:r>
        <w:rPr>
          <w:rFonts w:hint="eastAsia" w:ascii="仿宋_GB2312" w:hAnsi="宋体" w:eastAsia="仿宋_GB2312" w:cs="宋体"/>
          <w:spacing w:val="8"/>
          <w:kern w:val="0"/>
          <w:sz w:val="32"/>
          <w:szCs w:val="32"/>
        </w:rPr>
        <w:t>年，</w:t>
      </w:r>
      <w:r>
        <w:rPr>
          <w:rFonts w:hint="eastAsia" w:ascii="仿宋_GB2312" w:hAnsi="宋体" w:eastAsia="仿宋_GB2312" w:cs="宋体"/>
          <w:spacing w:val="8"/>
          <w:kern w:val="0"/>
          <w:sz w:val="32"/>
          <w:szCs w:val="32"/>
          <w:lang w:eastAsia="zh-CN"/>
        </w:rPr>
        <w:t>我局</w:t>
      </w:r>
      <w:r>
        <w:rPr>
          <w:rFonts w:hint="eastAsia" w:ascii="仿宋_GB2312" w:hAnsi="宋体" w:eastAsia="仿宋_GB2312" w:cs="宋体"/>
          <w:spacing w:val="8"/>
          <w:kern w:val="0"/>
          <w:sz w:val="32"/>
          <w:szCs w:val="32"/>
        </w:rPr>
        <w:t>在政府信息公开和政务公开工作仍存一些不足，主要表现在：</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72" w:firstLineChars="200"/>
        <w:jc w:val="left"/>
        <w:textAlignment w:val="auto"/>
        <w:outlineLvl w:val="9"/>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rPr>
        <w:t>一是</w:t>
      </w:r>
      <w:r>
        <w:rPr>
          <w:rFonts w:hint="eastAsia" w:ascii="仿宋_GB2312" w:hAnsi="宋体" w:eastAsia="仿宋_GB2312" w:cs="宋体"/>
          <w:spacing w:val="8"/>
          <w:kern w:val="0"/>
          <w:sz w:val="32"/>
          <w:szCs w:val="32"/>
          <w:lang w:eastAsia="zh-CN"/>
        </w:rPr>
        <w:t>涉及部门广，部分信息公开及留言回复不够及时，有待进一步优化</w:t>
      </w:r>
      <w:r>
        <w:rPr>
          <w:rFonts w:hint="eastAsia" w:ascii="仿宋_GB2312" w:hAnsi="宋体" w:eastAsia="仿宋_GB2312" w:cs="宋体"/>
          <w:spacing w:val="8"/>
          <w:kern w:val="0"/>
          <w:sz w:val="32"/>
          <w:szCs w:val="32"/>
        </w:rPr>
        <w:t>；</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72" w:firstLineChars="200"/>
        <w:jc w:val="left"/>
        <w:textAlignment w:val="auto"/>
        <w:outlineLvl w:val="9"/>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rPr>
        <w:t>二是公开内容的实用性不够。主动公开的信息多数是政策法规、政府文件及工作动态信息，与</w:t>
      </w:r>
      <w:r>
        <w:rPr>
          <w:rFonts w:hint="eastAsia" w:ascii="仿宋_GB2312" w:hAnsi="宋体" w:eastAsia="仿宋_GB2312" w:cs="宋体"/>
          <w:spacing w:val="8"/>
          <w:kern w:val="0"/>
          <w:sz w:val="32"/>
          <w:szCs w:val="32"/>
          <w:lang w:eastAsia="zh-CN"/>
        </w:rPr>
        <w:t>群众</w:t>
      </w:r>
      <w:r>
        <w:rPr>
          <w:rFonts w:hint="eastAsia" w:ascii="仿宋_GB2312" w:hAnsi="宋体" w:eastAsia="仿宋_GB2312" w:cs="宋体"/>
          <w:spacing w:val="8"/>
          <w:kern w:val="0"/>
          <w:sz w:val="32"/>
          <w:szCs w:val="32"/>
        </w:rPr>
        <w:t>的需求还有一定的差距。</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72" w:firstLineChars="200"/>
        <w:jc w:val="left"/>
        <w:textAlignment w:val="auto"/>
        <w:outlineLvl w:val="9"/>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lang w:eastAsia="zh-CN"/>
        </w:rPr>
        <w:t>三是</w:t>
      </w:r>
      <w:r>
        <w:rPr>
          <w:rFonts w:hint="eastAsia" w:ascii="仿宋_GB2312" w:hAnsi="宋体" w:eastAsia="仿宋_GB2312" w:cs="宋体"/>
          <w:spacing w:val="8"/>
          <w:kern w:val="0"/>
          <w:sz w:val="32"/>
          <w:szCs w:val="32"/>
        </w:rPr>
        <w:t>公开的栏目内容不够丰富、形式较为单一，缺乏群众喜闻乐见的解读方式。</w:t>
      </w:r>
    </w:p>
    <w:p>
      <w:pPr>
        <w:keepNext w:val="0"/>
        <w:keepLines w:val="0"/>
        <w:pageBreakBefore w:val="0"/>
        <w:widowControl/>
        <w:kinsoku/>
        <w:wordWrap/>
        <w:overflowPunct/>
        <w:topLinePunct w:val="0"/>
        <w:autoSpaceDE/>
        <w:autoSpaceDN/>
        <w:bidi w:val="0"/>
        <w:adjustRightInd/>
        <w:snapToGrid/>
        <w:spacing w:line="560" w:lineRule="exact"/>
        <w:ind w:right="0" w:rightChars="0" w:firstLine="672" w:firstLineChars="200"/>
        <w:jc w:val="left"/>
        <w:textAlignment w:val="auto"/>
        <w:outlineLvl w:val="9"/>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rPr>
        <w:t>改进</w:t>
      </w:r>
      <w:r>
        <w:rPr>
          <w:rFonts w:hint="eastAsia" w:ascii="仿宋_GB2312" w:hAnsi="宋体" w:eastAsia="仿宋_GB2312" w:cs="宋体"/>
          <w:spacing w:val="8"/>
          <w:kern w:val="0"/>
          <w:sz w:val="32"/>
          <w:szCs w:val="32"/>
          <w:lang w:eastAsia="zh-CN"/>
        </w:rPr>
        <w:t>举措</w:t>
      </w:r>
      <w:r>
        <w:rPr>
          <w:rFonts w:hint="eastAsia" w:ascii="仿宋_GB2312" w:hAnsi="宋体" w:eastAsia="仿宋_GB2312" w:cs="宋体"/>
          <w:spacing w:val="8"/>
          <w:kern w:val="0"/>
          <w:sz w:val="32"/>
          <w:szCs w:val="32"/>
        </w:rPr>
        <w:t>：</w:t>
      </w:r>
    </w:p>
    <w:p>
      <w:pPr>
        <w:keepNext w:val="0"/>
        <w:keepLines w:val="0"/>
        <w:pageBreakBefore w:val="0"/>
        <w:widowControl/>
        <w:kinsoku/>
        <w:wordWrap/>
        <w:overflowPunct/>
        <w:topLinePunct w:val="0"/>
        <w:autoSpaceDE/>
        <w:autoSpaceDN/>
        <w:bidi w:val="0"/>
        <w:adjustRightInd/>
        <w:snapToGrid/>
        <w:spacing w:line="560" w:lineRule="exact"/>
        <w:ind w:right="0" w:rightChars="0" w:firstLine="672" w:firstLineChars="200"/>
        <w:jc w:val="left"/>
        <w:textAlignment w:val="auto"/>
        <w:outlineLvl w:val="9"/>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lang w:eastAsia="zh-CN"/>
        </w:rPr>
        <w:t>一是加强业务培训，全面推进</w:t>
      </w:r>
      <w:r>
        <w:rPr>
          <w:rFonts w:hint="eastAsia" w:ascii="仿宋_GB2312" w:hAnsi="宋体" w:eastAsia="仿宋_GB2312" w:cs="宋体"/>
          <w:spacing w:val="8"/>
          <w:kern w:val="0"/>
          <w:sz w:val="32"/>
          <w:szCs w:val="32"/>
        </w:rPr>
        <w:t>信息公开培训，</w:t>
      </w:r>
      <w:r>
        <w:rPr>
          <w:rFonts w:hint="eastAsia" w:ascii="仿宋_GB2312" w:hAnsi="宋体" w:eastAsia="仿宋_GB2312" w:cs="宋体"/>
          <w:spacing w:val="8"/>
          <w:kern w:val="0"/>
          <w:sz w:val="32"/>
          <w:szCs w:val="32"/>
          <w:lang w:eastAsia="zh-CN"/>
        </w:rPr>
        <w:t>增强政务公开服务意识，</w:t>
      </w:r>
      <w:r>
        <w:rPr>
          <w:rFonts w:hint="eastAsia" w:ascii="仿宋_GB2312" w:hAnsi="宋体" w:eastAsia="仿宋_GB2312" w:cs="宋体"/>
          <w:spacing w:val="8"/>
          <w:kern w:val="0"/>
          <w:sz w:val="32"/>
          <w:szCs w:val="32"/>
        </w:rPr>
        <w:t>提升工作人员综合能力</w:t>
      </w:r>
      <w:r>
        <w:rPr>
          <w:rFonts w:hint="eastAsia" w:ascii="仿宋_GB2312" w:hAnsi="宋体" w:eastAsia="仿宋_GB2312" w:cs="宋体"/>
          <w:spacing w:val="8"/>
          <w:kern w:val="0"/>
          <w:sz w:val="32"/>
          <w:szCs w:val="32"/>
          <w:lang w:eastAsia="zh-CN"/>
        </w:rPr>
        <w:t>。加强</w:t>
      </w:r>
      <w:r>
        <w:rPr>
          <w:rFonts w:hint="eastAsia" w:ascii="仿宋_GB2312" w:hAnsi="宋体" w:eastAsia="仿宋_GB2312" w:cs="宋体"/>
          <w:spacing w:val="8"/>
          <w:kern w:val="0"/>
          <w:sz w:val="32"/>
          <w:szCs w:val="32"/>
        </w:rPr>
        <w:t>检查</w:t>
      </w:r>
      <w:r>
        <w:rPr>
          <w:rFonts w:hint="eastAsia" w:ascii="仿宋_GB2312" w:hAnsi="宋体" w:eastAsia="仿宋_GB2312" w:cs="宋体"/>
          <w:spacing w:val="8"/>
          <w:kern w:val="0"/>
          <w:sz w:val="32"/>
          <w:szCs w:val="32"/>
          <w:lang w:eastAsia="zh-CN"/>
        </w:rPr>
        <w:t>指导工作</w:t>
      </w:r>
      <w:r>
        <w:rPr>
          <w:rFonts w:hint="eastAsia" w:ascii="仿宋_GB2312" w:hAnsi="宋体" w:eastAsia="仿宋_GB2312" w:cs="宋体"/>
          <w:spacing w:val="8"/>
          <w:kern w:val="0"/>
          <w:sz w:val="32"/>
          <w:szCs w:val="32"/>
        </w:rPr>
        <w:t>力度，规范政务公开工作</w:t>
      </w:r>
      <w:r>
        <w:rPr>
          <w:rFonts w:hint="eastAsia" w:ascii="仿宋_GB2312" w:hAnsi="宋体" w:eastAsia="仿宋_GB2312" w:cs="宋体"/>
          <w:spacing w:val="8"/>
          <w:kern w:val="0"/>
          <w:sz w:val="32"/>
          <w:szCs w:val="32"/>
          <w:lang w:eastAsia="zh-CN"/>
        </w:rPr>
        <w:t>，避免出现更新和回复不及时的情况。</w:t>
      </w:r>
    </w:p>
    <w:p>
      <w:pPr>
        <w:keepNext w:val="0"/>
        <w:keepLines w:val="0"/>
        <w:pageBreakBefore w:val="0"/>
        <w:widowControl/>
        <w:kinsoku/>
        <w:wordWrap/>
        <w:overflowPunct/>
        <w:topLinePunct w:val="0"/>
        <w:autoSpaceDE/>
        <w:autoSpaceDN/>
        <w:bidi w:val="0"/>
        <w:adjustRightInd/>
        <w:snapToGrid/>
        <w:spacing w:line="560" w:lineRule="exact"/>
        <w:ind w:right="0" w:rightChars="0" w:firstLine="672" w:firstLineChars="200"/>
        <w:jc w:val="left"/>
        <w:textAlignment w:val="auto"/>
        <w:outlineLvl w:val="9"/>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lang w:eastAsia="zh-CN"/>
        </w:rPr>
        <w:t>二是</w:t>
      </w:r>
      <w:r>
        <w:rPr>
          <w:rFonts w:hint="eastAsia" w:ascii="仿宋_GB2312" w:hAnsi="宋体" w:eastAsia="仿宋_GB2312" w:cs="宋体"/>
          <w:spacing w:val="8"/>
          <w:kern w:val="0"/>
          <w:sz w:val="32"/>
          <w:szCs w:val="32"/>
        </w:rPr>
        <w:t>进一步充实信息公开的内容。</w:t>
      </w:r>
      <w:r>
        <w:rPr>
          <w:rFonts w:hint="eastAsia" w:ascii="仿宋_GB2312" w:hAnsi="宋体" w:eastAsia="仿宋_GB2312" w:cs="宋体"/>
          <w:spacing w:val="8"/>
          <w:kern w:val="0"/>
          <w:sz w:val="32"/>
          <w:szCs w:val="32"/>
          <w:lang w:eastAsia="zh-CN"/>
        </w:rPr>
        <w:t>主动拓展与</w:t>
      </w:r>
      <w:r>
        <w:rPr>
          <w:rFonts w:hint="eastAsia" w:ascii="仿宋_GB2312" w:hAnsi="宋体" w:eastAsia="仿宋_GB2312" w:cs="宋体"/>
          <w:spacing w:val="8"/>
          <w:kern w:val="0"/>
          <w:sz w:val="32"/>
          <w:szCs w:val="32"/>
        </w:rPr>
        <w:t>群众生活密切相关、关注度高的信息</w:t>
      </w:r>
      <w:r>
        <w:rPr>
          <w:rFonts w:hint="eastAsia" w:ascii="仿宋_GB2312" w:hAnsi="宋体" w:eastAsia="仿宋_GB2312" w:cs="宋体"/>
          <w:spacing w:val="8"/>
          <w:kern w:val="0"/>
          <w:sz w:val="32"/>
          <w:szCs w:val="32"/>
          <w:lang w:eastAsia="zh-CN"/>
        </w:rPr>
        <w:t>采集途径</w:t>
      </w:r>
      <w:r>
        <w:rPr>
          <w:rFonts w:hint="eastAsia" w:ascii="仿宋_GB2312" w:hAnsi="宋体" w:eastAsia="仿宋_GB2312" w:cs="宋体"/>
          <w:spacing w:val="8"/>
          <w:kern w:val="0"/>
          <w:sz w:val="32"/>
          <w:szCs w:val="32"/>
        </w:rPr>
        <w:t>。</w:t>
      </w:r>
    </w:p>
    <w:p>
      <w:pPr>
        <w:keepNext w:val="0"/>
        <w:keepLines w:val="0"/>
        <w:pageBreakBefore w:val="0"/>
        <w:widowControl/>
        <w:kinsoku/>
        <w:wordWrap/>
        <w:overflowPunct/>
        <w:topLinePunct w:val="0"/>
        <w:autoSpaceDE/>
        <w:autoSpaceDN/>
        <w:bidi w:val="0"/>
        <w:adjustRightInd/>
        <w:snapToGrid/>
        <w:spacing w:line="560" w:lineRule="exact"/>
        <w:ind w:right="0" w:rightChars="0" w:firstLine="672" w:firstLineChars="200"/>
        <w:jc w:val="left"/>
        <w:textAlignment w:val="auto"/>
        <w:outlineLvl w:val="9"/>
        <w:rPr>
          <w:rFonts w:hint="eastAsia"/>
        </w:rPr>
      </w:pPr>
      <w:r>
        <w:rPr>
          <w:rFonts w:hint="eastAsia" w:ascii="仿宋_GB2312" w:hAnsi="宋体" w:eastAsia="仿宋_GB2312" w:cs="宋体"/>
          <w:spacing w:val="8"/>
          <w:kern w:val="0"/>
          <w:sz w:val="32"/>
          <w:szCs w:val="32"/>
          <w:lang w:eastAsia="zh-CN"/>
        </w:rPr>
        <w:t>三是不断</w:t>
      </w:r>
      <w:r>
        <w:rPr>
          <w:rFonts w:hint="eastAsia" w:ascii="仿宋_GB2312" w:hAnsi="宋体" w:eastAsia="仿宋_GB2312" w:cs="宋体"/>
          <w:spacing w:val="8"/>
          <w:kern w:val="0"/>
          <w:sz w:val="32"/>
          <w:szCs w:val="32"/>
        </w:rPr>
        <w:t>丰富信息公开形式。继续加强对政府门户网站及政府信息公开专栏的建设，充分发挥其第一平台的作用</w:t>
      </w:r>
      <w:r>
        <w:rPr>
          <w:rFonts w:hint="eastAsia" w:ascii="仿宋_GB2312" w:hAnsi="宋体" w:eastAsia="仿宋_GB2312" w:cs="宋体"/>
          <w:spacing w:val="8"/>
          <w:kern w:val="0"/>
          <w:sz w:val="32"/>
          <w:szCs w:val="32"/>
          <w:lang w:eastAsia="zh-CN"/>
        </w:rPr>
        <w:t>。不断</w:t>
      </w:r>
      <w:r>
        <w:rPr>
          <w:rFonts w:hint="eastAsia" w:ascii="仿宋_GB2312" w:hAnsi="宋体" w:eastAsia="仿宋_GB2312" w:cs="宋体"/>
          <w:spacing w:val="8"/>
          <w:kern w:val="0"/>
          <w:sz w:val="32"/>
          <w:szCs w:val="32"/>
        </w:rPr>
        <w:t>完善</w:t>
      </w:r>
      <w:r>
        <w:rPr>
          <w:rFonts w:hint="eastAsia" w:ascii="仿宋_GB2312" w:hAnsi="宋体" w:eastAsia="仿宋_GB2312" w:cs="宋体"/>
          <w:spacing w:val="8"/>
          <w:kern w:val="0"/>
          <w:sz w:val="32"/>
          <w:szCs w:val="32"/>
          <w:lang w:eastAsia="zh-CN"/>
        </w:rPr>
        <w:t>微信公众号</w:t>
      </w:r>
      <w:r>
        <w:rPr>
          <w:rFonts w:hint="eastAsia" w:ascii="仿宋_GB2312" w:hAnsi="宋体" w:eastAsia="仿宋_GB2312" w:cs="宋体"/>
          <w:spacing w:val="8"/>
          <w:kern w:val="0"/>
          <w:sz w:val="32"/>
          <w:szCs w:val="32"/>
        </w:rPr>
        <w:t>等</w:t>
      </w:r>
      <w:r>
        <w:rPr>
          <w:rFonts w:hint="eastAsia" w:ascii="仿宋_GB2312" w:hAnsi="宋体" w:eastAsia="仿宋_GB2312" w:cs="宋体"/>
          <w:spacing w:val="8"/>
          <w:kern w:val="0"/>
          <w:sz w:val="32"/>
          <w:szCs w:val="32"/>
          <w:lang w:eastAsia="zh-CN"/>
        </w:rPr>
        <w:t>新媒体</w:t>
      </w:r>
      <w:r>
        <w:rPr>
          <w:rFonts w:hint="eastAsia" w:ascii="仿宋_GB2312" w:hAnsi="宋体" w:eastAsia="仿宋_GB2312" w:cs="宋体"/>
          <w:spacing w:val="8"/>
          <w:kern w:val="0"/>
          <w:sz w:val="32"/>
          <w:szCs w:val="32"/>
        </w:rPr>
        <w:t>载体建设</w:t>
      </w:r>
      <w:r>
        <w:rPr>
          <w:rFonts w:hint="eastAsia" w:ascii="仿宋_GB2312" w:hAnsi="宋体" w:eastAsia="仿宋_GB2312" w:cs="宋体"/>
          <w:spacing w:val="8"/>
          <w:kern w:val="0"/>
          <w:sz w:val="32"/>
          <w:szCs w:val="32"/>
          <w:lang w:eastAsia="zh-CN"/>
        </w:rPr>
        <w:t>，积极创新解读形式</w:t>
      </w:r>
      <w:r>
        <w:rPr>
          <w:rFonts w:hint="eastAsia" w:ascii="仿宋_GB2312" w:hAnsi="宋体" w:eastAsia="仿宋_GB2312" w:cs="宋体"/>
          <w:spacing w:val="8"/>
          <w:kern w:val="0"/>
          <w:sz w:val="32"/>
          <w:szCs w:val="32"/>
        </w:rPr>
        <w:t>。</w:t>
      </w:r>
    </w:p>
    <w:p>
      <w:pPr>
        <w:keepNext w:val="0"/>
        <w:keepLines w:val="0"/>
        <w:pageBreakBefore w:val="0"/>
        <w:widowControl/>
        <w:kinsoku/>
        <w:wordWrap/>
        <w:overflowPunct/>
        <w:topLinePunct w:val="0"/>
        <w:autoSpaceDE/>
        <w:autoSpaceDN/>
        <w:bidi w:val="0"/>
        <w:adjustRightInd/>
        <w:snapToGrid/>
        <w:spacing w:line="560" w:lineRule="exact"/>
        <w:ind w:right="0" w:rightChars="0" w:firstLine="675"/>
        <w:jc w:val="left"/>
        <w:textAlignment w:val="auto"/>
        <w:outlineLvl w:val="9"/>
        <w:rPr>
          <w:rFonts w:ascii="宋体" w:hAnsi="宋体" w:cs="宋体"/>
          <w:spacing w:val="8"/>
          <w:kern w:val="0"/>
          <w:sz w:val="32"/>
          <w:szCs w:val="32"/>
        </w:rPr>
      </w:pPr>
      <w:r>
        <w:rPr>
          <w:rFonts w:ascii="黑体" w:hAnsi="黑体" w:eastAsia="黑体" w:cs="宋体"/>
          <w:spacing w:val="8"/>
          <w:kern w:val="0"/>
          <w:sz w:val="32"/>
          <w:szCs w:val="32"/>
        </w:rPr>
        <w:t>六、其他需要报告的事项</w:t>
      </w:r>
    </w:p>
    <w:p>
      <w:pPr>
        <w:keepNext w:val="0"/>
        <w:keepLines w:val="0"/>
        <w:pageBreakBefore w:val="0"/>
        <w:widowControl/>
        <w:kinsoku/>
        <w:wordWrap/>
        <w:overflowPunct/>
        <w:topLinePunct w:val="0"/>
        <w:autoSpaceDE/>
        <w:autoSpaceDN/>
        <w:bidi w:val="0"/>
        <w:adjustRightInd/>
        <w:snapToGrid/>
        <w:spacing w:line="560" w:lineRule="exact"/>
        <w:ind w:right="0" w:rightChars="0" w:firstLine="672" w:firstLineChars="200"/>
        <w:jc w:val="left"/>
        <w:textAlignment w:val="auto"/>
        <w:outlineLvl w:val="9"/>
        <w:rPr>
          <w:rFonts w:hint="eastAsia" w:ascii="仿宋_GB2312" w:hAnsi="宋体" w:eastAsia="仿宋_GB2312" w:cs="宋体"/>
          <w:spacing w:val="8"/>
          <w:kern w:val="0"/>
          <w:sz w:val="32"/>
          <w:szCs w:val="32"/>
          <w:lang w:eastAsia="zh-CN"/>
        </w:rPr>
      </w:pPr>
      <w:r>
        <w:rPr>
          <w:rFonts w:hint="eastAsia" w:ascii="仿宋_GB2312" w:hAnsi="宋体" w:eastAsia="仿宋_GB2312" w:cs="宋体"/>
          <w:spacing w:val="8"/>
          <w:kern w:val="0"/>
          <w:sz w:val="32"/>
          <w:szCs w:val="32"/>
          <w:lang w:eastAsia="zh-CN"/>
        </w:rPr>
        <w:t>根据《政府信息公开信息处理费管理办法》(国办函〔2020〕109号)，2022年度门头沟区水务局局收取信息处理费情况为：发出收费通知的件数为</w:t>
      </w:r>
      <w:r>
        <w:rPr>
          <w:rFonts w:hint="eastAsia" w:ascii="仿宋_GB2312" w:hAnsi="宋体" w:eastAsia="仿宋_GB2312" w:cs="宋体"/>
          <w:spacing w:val="8"/>
          <w:kern w:val="0"/>
          <w:sz w:val="32"/>
          <w:szCs w:val="32"/>
          <w:lang w:val="en-US" w:eastAsia="zh-CN"/>
        </w:rPr>
        <w:t>0</w:t>
      </w:r>
      <w:r>
        <w:rPr>
          <w:rFonts w:hint="eastAsia" w:ascii="仿宋_GB2312" w:hAnsi="宋体" w:eastAsia="仿宋_GB2312" w:cs="宋体"/>
          <w:spacing w:val="8"/>
          <w:kern w:val="0"/>
          <w:sz w:val="32"/>
          <w:szCs w:val="32"/>
          <w:lang w:eastAsia="zh-CN"/>
        </w:rPr>
        <w:t>件，总金额为</w:t>
      </w:r>
      <w:r>
        <w:rPr>
          <w:rFonts w:hint="eastAsia" w:ascii="仿宋_GB2312" w:hAnsi="宋体" w:eastAsia="仿宋_GB2312" w:cs="宋体"/>
          <w:spacing w:val="8"/>
          <w:kern w:val="0"/>
          <w:sz w:val="32"/>
          <w:szCs w:val="32"/>
          <w:lang w:val="en-US" w:eastAsia="zh-CN"/>
        </w:rPr>
        <w:t>0</w:t>
      </w:r>
      <w:r>
        <w:rPr>
          <w:rFonts w:hint="eastAsia" w:ascii="仿宋_GB2312" w:hAnsi="宋体" w:eastAsia="仿宋_GB2312" w:cs="宋体"/>
          <w:spacing w:val="8"/>
          <w:kern w:val="0"/>
          <w:sz w:val="32"/>
          <w:szCs w:val="32"/>
          <w:lang w:eastAsia="zh-CN"/>
        </w:rPr>
        <w:t>元，实际收取的总金额为</w:t>
      </w:r>
      <w:r>
        <w:rPr>
          <w:rFonts w:hint="eastAsia" w:ascii="仿宋_GB2312" w:hAnsi="宋体" w:eastAsia="仿宋_GB2312" w:cs="宋体"/>
          <w:spacing w:val="8"/>
          <w:kern w:val="0"/>
          <w:sz w:val="32"/>
          <w:szCs w:val="32"/>
          <w:lang w:val="en-US" w:eastAsia="zh-CN"/>
        </w:rPr>
        <w:t>0</w:t>
      </w:r>
      <w:r>
        <w:rPr>
          <w:rFonts w:hint="eastAsia" w:ascii="仿宋_GB2312" w:hAnsi="宋体" w:eastAsia="仿宋_GB2312" w:cs="宋体"/>
          <w:spacing w:val="8"/>
          <w:kern w:val="0"/>
          <w:sz w:val="32"/>
          <w:szCs w:val="32"/>
          <w:lang w:eastAsia="zh-CN"/>
        </w:rPr>
        <w:t>元。</w:t>
      </w:r>
    </w:p>
    <w:p>
      <w:pPr>
        <w:keepNext w:val="0"/>
        <w:keepLines w:val="0"/>
        <w:pageBreakBefore w:val="0"/>
        <w:widowControl/>
        <w:kinsoku/>
        <w:wordWrap w:val="0"/>
        <w:overflowPunct/>
        <w:topLinePunct w:val="0"/>
        <w:autoSpaceDE/>
        <w:autoSpaceDN/>
        <w:bidi w:val="0"/>
        <w:adjustRightInd/>
        <w:snapToGrid/>
        <w:spacing w:line="560" w:lineRule="exact"/>
        <w:ind w:right="0" w:rightChars="0" w:firstLine="672" w:firstLineChars="200"/>
        <w:jc w:val="left"/>
        <w:textAlignment w:val="auto"/>
        <w:outlineLvl w:val="9"/>
        <w:rPr>
          <w:rFonts w:hint="eastAsia" w:ascii="仿宋_GB2312" w:hAnsi="宋体" w:eastAsia="仿宋_GB2312" w:cs="宋体"/>
          <w:spacing w:val="8"/>
          <w:kern w:val="0"/>
          <w:sz w:val="32"/>
          <w:szCs w:val="32"/>
          <w:lang w:eastAsia="zh-CN"/>
        </w:rPr>
      </w:pPr>
      <w:r>
        <w:rPr>
          <w:rFonts w:hint="eastAsia" w:ascii="仿宋_GB2312" w:hAnsi="宋体" w:eastAsia="仿宋_GB2312" w:cs="宋体"/>
          <w:spacing w:val="8"/>
          <w:kern w:val="0"/>
          <w:sz w:val="32"/>
          <w:szCs w:val="32"/>
          <w:lang w:eastAsia="zh-CN"/>
        </w:rPr>
        <w:t>北京市门头沟区人民政府网站网址为http://www.bjmtg.gov.cn/，如需了解更多政府信息，请登录查询。</w:t>
      </w:r>
    </w:p>
    <w:p>
      <w:pPr>
        <w:pStyle w:val="2"/>
        <w:rPr>
          <w:rFonts w:hint="eastAsia" w:ascii="仿宋_GB2312" w:hAnsi="宋体" w:eastAsia="仿宋_GB2312" w:cs="宋体"/>
          <w:spacing w:val="8"/>
          <w:kern w:val="0"/>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right"/>
        <w:textAlignment w:val="auto"/>
        <w:outlineLvl w:val="9"/>
        <w:rPr>
          <w:rFonts w:hint="eastAsia" w:ascii="仿宋_GB2312" w:hAnsi="宋体" w:eastAsia="仿宋_GB2312" w:cs="宋体"/>
          <w:spacing w:val="8"/>
          <w:kern w:val="0"/>
          <w:sz w:val="32"/>
          <w:szCs w:val="32"/>
          <w:lang w:val="en-US" w:eastAsia="zh-CN"/>
        </w:rPr>
      </w:pPr>
    </w:p>
    <w:sectPr>
      <w:footerReference r:id="rId4" w:type="first"/>
      <w:footerReference r:id="rId3" w:type="default"/>
      <w:pgSz w:w="11906" w:h="16838"/>
      <w:pgMar w:top="2098" w:right="1474" w:bottom="1587" w:left="1984"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FEBC8DE-6683-4257-BF87-B31DEF64BE1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70493A92-A879-4568-9097-672D7223A607}"/>
  </w:font>
  <w:font w:name="方正小标宋简体">
    <w:panose1 w:val="02000000000000000000"/>
    <w:charset w:val="86"/>
    <w:family w:val="auto"/>
    <w:pitch w:val="default"/>
    <w:sig w:usb0="00000001" w:usb1="08000000" w:usb2="00000000" w:usb3="00000000" w:csb0="00040000" w:csb1="00000000"/>
    <w:embedRegular r:id="rId3" w:fontKey="{DD504CA4-77D2-419B-ABFF-CC1938A1C07B}"/>
  </w:font>
  <w:font w:name="仿宋_GB2312">
    <w:panose1 w:val="02010609030101010101"/>
    <w:charset w:val="86"/>
    <w:family w:val="modern"/>
    <w:pitch w:val="default"/>
    <w:sig w:usb0="00000001" w:usb1="080E0000" w:usb2="00000000" w:usb3="00000000" w:csb0="00040000" w:csb1="00000000"/>
    <w:embedRegular r:id="rId4" w:fontKey="{2889EEF5-638F-4974-B895-50059AF91280}"/>
  </w:font>
  <w:font w:name="微软雅黑">
    <w:panose1 w:val="020B0503020204020204"/>
    <w:charset w:val="86"/>
    <w:family w:val="swiss"/>
    <w:pitch w:val="default"/>
    <w:sig w:usb0="80000287" w:usb1="2ACF3C50" w:usb2="00000016" w:usb3="00000000" w:csb0="0004001F" w:csb1="00000000"/>
    <w:embedRegular r:id="rId5" w:fontKey="{1FE66657-F68D-4E54-8CC7-9E2A9D0571A8}"/>
  </w:font>
  <w:font w:name="楷体_GB2312">
    <w:altName w:val="楷体"/>
    <w:panose1 w:val="02010609030101010101"/>
    <w:charset w:val="86"/>
    <w:family w:val="modern"/>
    <w:pitch w:val="default"/>
    <w:sig w:usb0="00000000" w:usb1="00000000" w:usb2="00000000" w:usb3="00000000" w:csb0="00040000" w:csb1="00000000"/>
    <w:embedRegular r:id="rId6" w:fontKey="{6B65CB8F-631F-49D3-9D91-6E57A05C257E}"/>
  </w:font>
  <w:font w:name="楷体">
    <w:panose1 w:val="02010609060101010101"/>
    <w:charset w:val="86"/>
    <w:family w:val="auto"/>
    <w:pitch w:val="default"/>
    <w:sig w:usb0="800002BF" w:usb1="38CF7CFA" w:usb2="00000016" w:usb3="00000000" w:csb0="00040001" w:csb1="00000000"/>
    <w:embedRegular r:id="rId7" w:fontKey="{77149E24-340D-4667-8B97-BA5266B1F8D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3"/>
                            <w:rPr>
                              <w:rFonts w:hint="eastAsia"/>
                            </w:rPr>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YXhMj9ABAACiAwAADgAAAAAAAAABACAAAAAeAQAAZHJz&#10;L2Uyb0RvYy54bWxQSwUGAAAAAAYABgBZAQAAYAUAAAAA&#10;">
              <v:fill on="f" focussize="0,0"/>
              <v:stroke on="f"/>
              <v:imagedata o:title=""/>
              <o:lock v:ext="edit" aspectratio="f"/>
              <v:textbox inset="0mm,0mm,0mm,0mm" style="mso-fit-shape-to-text:t;">
                <w:txbxContent>
                  <w:p>
                    <w:pPr>
                      <w:pStyle w:val="3"/>
                      <w:rPr>
                        <w:rFonts w:hint="eastAsia"/>
                      </w:rPr>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3B4F327"/>
    <w:multiLevelType w:val="singleLevel"/>
    <w:tmpl w:val="63B4F327"/>
    <w:lvl w:ilvl="0" w:tentative="0">
      <w:start w:val="3"/>
      <w:numFmt w:val="chineseCounting"/>
      <w:suff w:val="nothing"/>
      <w:lvlText w:val="%1、"/>
      <w:lvlJc w:val="left"/>
    </w:lvl>
  </w:abstractNum>
  <w:abstractNum w:abstractNumId="1">
    <w:nsid w:val="63B4F650"/>
    <w:multiLevelType w:val="singleLevel"/>
    <w:tmpl w:val="63B4F650"/>
    <w:lvl w:ilvl="0" w:tentative="0">
      <w:start w:val="2"/>
      <w:numFmt w:val="chineseCounting"/>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E2NjJjYWRiZWYzY2ViZDcxMWU0YjhkNjE4ZmUzZjEifQ=="/>
  </w:docVars>
  <w:rsids>
    <w:rsidRoot w:val="33D2775C"/>
    <w:rsid w:val="03B71868"/>
    <w:rsid w:val="066D08C3"/>
    <w:rsid w:val="08BC135A"/>
    <w:rsid w:val="09FB09B2"/>
    <w:rsid w:val="0E3D5967"/>
    <w:rsid w:val="11391FF2"/>
    <w:rsid w:val="1AAF4004"/>
    <w:rsid w:val="23E757FB"/>
    <w:rsid w:val="257567A6"/>
    <w:rsid w:val="3135195D"/>
    <w:rsid w:val="323B4A3B"/>
    <w:rsid w:val="33E100C5"/>
    <w:rsid w:val="42F145C6"/>
    <w:rsid w:val="44F30D38"/>
    <w:rsid w:val="4C6B1473"/>
    <w:rsid w:val="50D76A08"/>
    <w:rsid w:val="524C2817"/>
    <w:rsid w:val="546804AF"/>
    <w:rsid w:val="5C740106"/>
    <w:rsid w:val="5DFE52C0"/>
    <w:rsid w:val="5E2E2751"/>
    <w:rsid w:val="602F60F1"/>
    <w:rsid w:val="61DC1F2D"/>
    <w:rsid w:val="681341FA"/>
    <w:rsid w:val="70BF3063"/>
    <w:rsid w:val="70C14621"/>
    <w:rsid w:val="7362386F"/>
    <w:rsid w:val="78932167"/>
    <w:rsid w:val="78FC1594"/>
    <w:rsid w:val="7AF65B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区水务局</Company>
  <Pages>6</Pages>
  <Words>2538</Words>
  <Characters>2640</Characters>
  <Lines>0</Lines>
  <Paragraphs>0</Paragraphs>
  <TotalTime>14</TotalTime>
  <ScaleCrop>false</ScaleCrop>
  <LinksUpToDate>false</LinksUpToDate>
  <CharactersWithSpaces>2644</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2022-12-29T08:24:00Z</dcterms:created>
  <dc:creator>Administrator</dc:creator>
  <cp:lastModifiedBy>slw</cp:lastModifiedBy>
  <dcterms:modified xsi:type="dcterms:W3CDTF">2023-01-13T07:00:50Z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ADD816CC32114B87BDFACA679827CF7D</vt:lpwstr>
  </property>
</Properties>
</file>