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20" w:lineRule="exact"/>
        <w:ind w:left="0" w:leftChars="0" w:right="0" w:rightChars="0"/>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color w:val="333333"/>
          <w:kern w:val="0"/>
          <w:sz w:val="44"/>
          <w:szCs w:val="44"/>
          <w:lang w:eastAsia="zh-CN"/>
        </w:rPr>
        <w:t>北京市门头沟区司法局</w:t>
      </w:r>
      <w:r>
        <w:rPr>
          <w:rFonts w:hint="eastAsia" w:ascii="方正小标宋简体" w:hAnsi="方正小标宋简体" w:eastAsia="方正小标宋简体" w:cs="方正小标宋简体"/>
          <w:b w:val="0"/>
          <w:bCs w:val="0"/>
          <w:sz w:val="44"/>
          <w:szCs w:val="44"/>
        </w:rPr>
        <w:t xml:space="preserve"> </w:t>
      </w:r>
    </w:p>
    <w:p>
      <w:pPr>
        <w:keepNext w:val="0"/>
        <w:keepLines w:val="0"/>
        <w:pageBreakBefore w:val="0"/>
        <w:kinsoku/>
        <w:wordWrap/>
        <w:overflowPunct/>
        <w:topLinePunct w:val="0"/>
        <w:autoSpaceDE/>
        <w:autoSpaceDN/>
        <w:bidi w:val="0"/>
        <w:adjustRightInd/>
        <w:snapToGrid/>
        <w:spacing w:line="620" w:lineRule="exact"/>
        <w:ind w:left="0" w:leftChars="0" w:right="0" w:rightChars="0"/>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2020年政府信息公开工作年度报告</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依据《中华人民共和国政府信息公开条例》第五十条之规定，制作本报告</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黑体" w:hAnsi="黑体" w:eastAsia="黑体" w:cs="黑体"/>
          <w:sz w:val="32"/>
          <w:szCs w:val="32"/>
          <w:lang w:eastAsia="zh-CN"/>
        </w:rPr>
        <w:t>一、总体情况</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楷体_GB2312" w:hAnsi="楷体_GB2312" w:eastAsia="楷体_GB2312" w:cs="楷体_GB2312"/>
          <w:sz w:val="32"/>
          <w:szCs w:val="32"/>
          <w:lang w:eastAsia="zh-CN"/>
        </w:rPr>
        <w:t>（一）主动公开情况</w:t>
      </w:r>
      <w:bookmarkStart w:id="0" w:name="_GoBack"/>
      <w:bookmarkEnd w:id="0"/>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我局</w:t>
      </w:r>
      <w:r>
        <w:rPr>
          <w:rFonts w:hint="eastAsia" w:ascii="仿宋_GB2312" w:hAnsi="仿宋_GB2312" w:eastAsia="仿宋_GB2312" w:cs="仿宋_GB2312"/>
          <w:sz w:val="32"/>
          <w:szCs w:val="32"/>
          <w:lang w:eastAsia="zh-CN"/>
        </w:rPr>
        <w:t>通过不同渠道和方式公开政府信息</w:t>
      </w:r>
      <w:r>
        <w:rPr>
          <w:rFonts w:hint="eastAsia" w:ascii="仿宋_GB2312" w:hAnsi="仿宋_GB2312" w:eastAsia="仿宋_GB2312" w:cs="仿宋_GB2312"/>
          <w:sz w:val="32"/>
          <w:szCs w:val="32"/>
          <w:highlight w:val="none"/>
          <w:lang w:val="en-US" w:eastAsia="zh-CN"/>
        </w:rPr>
        <w:t>1513</w:t>
      </w:r>
      <w:r>
        <w:rPr>
          <w:rFonts w:hint="eastAsia" w:ascii="仿宋_GB2312" w:hAnsi="仿宋_GB2312" w:eastAsia="仿宋_GB2312" w:cs="仿宋_GB2312"/>
          <w:sz w:val="32"/>
          <w:szCs w:val="32"/>
          <w:highlight w:val="none"/>
          <w:lang w:eastAsia="zh-CN"/>
        </w:rPr>
        <w:t>条</w:t>
      </w:r>
      <w:r>
        <w:rPr>
          <w:rFonts w:hint="eastAsia" w:ascii="仿宋_GB2312" w:hAnsi="仿宋_GB2312" w:eastAsia="仿宋_GB2312" w:cs="仿宋_GB2312"/>
          <w:sz w:val="32"/>
          <w:szCs w:val="32"/>
          <w:lang w:eastAsia="zh-CN"/>
        </w:rPr>
        <w:t>，其中通过政府网站和政府信息公开专栏主动公开信息</w:t>
      </w:r>
      <w:r>
        <w:rPr>
          <w:rFonts w:hint="eastAsia" w:ascii="仿宋_GB2312" w:hAnsi="仿宋_GB2312" w:eastAsia="仿宋_GB2312" w:cs="仿宋_GB2312"/>
          <w:sz w:val="32"/>
          <w:szCs w:val="32"/>
          <w:highlight w:val="none"/>
          <w:lang w:val="en-US" w:eastAsia="zh-CN"/>
        </w:rPr>
        <w:t>472</w:t>
      </w:r>
      <w:r>
        <w:rPr>
          <w:rFonts w:hint="eastAsia" w:ascii="仿宋_GB2312" w:hAnsi="仿宋_GB2312" w:eastAsia="仿宋_GB2312" w:cs="仿宋_GB2312"/>
          <w:sz w:val="32"/>
          <w:szCs w:val="32"/>
          <w:lang w:eastAsia="zh-CN"/>
        </w:rPr>
        <w:t>条，“门头沟普法”微信公众号公开</w:t>
      </w:r>
      <w:r>
        <w:rPr>
          <w:rFonts w:hint="eastAsia" w:ascii="仿宋_GB2312" w:hAnsi="仿宋_GB2312" w:eastAsia="仿宋_GB2312" w:cs="仿宋_GB2312"/>
          <w:sz w:val="32"/>
          <w:szCs w:val="32"/>
          <w:highlight w:val="none"/>
          <w:lang w:val="en-US" w:eastAsia="zh-CN"/>
        </w:rPr>
        <w:t>650</w:t>
      </w:r>
      <w:r>
        <w:rPr>
          <w:rFonts w:hint="eastAsia" w:ascii="仿宋_GB2312" w:hAnsi="仿宋_GB2312" w:eastAsia="仿宋_GB2312" w:cs="仿宋_GB2312"/>
          <w:sz w:val="32"/>
          <w:szCs w:val="32"/>
          <w:lang w:eastAsia="zh-CN"/>
        </w:rPr>
        <w:t>条，“苗苗普法”政务微博公开</w:t>
      </w:r>
      <w:r>
        <w:rPr>
          <w:rFonts w:hint="eastAsia" w:ascii="仿宋_GB2312" w:hAnsi="仿宋_GB2312" w:eastAsia="仿宋_GB2312" w:cs="仿宋_GB2312"/>
          <w:sz w:val="32"/>
          <w:szCs w:val="32"/>
          <w:lang w:val="en-US" w:eastAsia="zh-CN"/>
        </w:rPr>
        <w:t>391</w:t>
      </w:r>
      <w:r>
        <w:rPr>
          <w:rFonts w:hint="eastAsia" w:ascii="仿宋_GB2312" w:hAnsi="仿宋_GB2312" w:eastAsia="仿宋_GB2312" w:cs="仿宋_GB2312"/>
          <w:sz w:val="32"/>
          <w:szCs w:val="32"/>
          <w:lang w:eastAsia="zh-CN"/>
        </w:rPr>
        <w:t>条。</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（二）依申请公开情况</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我局按照依申请公开工作要求及区政务服务局要求，进一步梳理规范工作流程，确保依法依规做好依申请公开办理。</w:t>
      </w:r>
      <w:r>
        <w:rPr>
          <w:rFonts w:hint="eastAsia" w:ascii="仿宋_GB2312" w:hAnsi="仿宋_GB2312" w:eastAsia="仿宋_GB2312" w:cs="仿宋_GB2312"/>
          <w:sz w:val="32"/>
          <w:szCs w:val="32"/>
          <w:lang w:val="en-US" w:eastAsia="zh-CN"/>
        </w:rPr>
        <w:t>2020年，我局未收到政府信息公开申请。</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（三）政府信息资源的规范化、标准化管理情况</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我局严格按照政府信息公开工作要求，公开前对公开内容层层严格审批，加强工作中部门之间的联动配合，提高工作效率，按时在网站进行公开。</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（四）政府信息公开平台建设情况</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在网站集约化后，我局网站公开主要依附于区政府网站，另外还包括区政府信息公开专栏、“门头沟普法”微信公众号和“苗苗普法”政务微博。</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楷体_GB2312" w:hAnsi="楷体_GB2312" w:eastAsia="楷体_GB2312" w:cs="楷体_GB2312"/>
          <w:sz w:val="32"/>
          <w:szCs w:val="32"/>
          <w:lang w:eastAsia="zh-CN"/>
        </w:rPr>
        <w:t>（五）政府信息公开监督保障及教育培训情况</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2020</w:t>
      </w:r>
      <w:r>
        <w:rPr>
          <w:rFonts w:hint="eastAsia" w:ascii="仿宋_GB2312" w:hAnsi="仿宋_GB2312" w:eastAsia="仿宋_GB2312" w:cs="仿宋_GB2312"/>
          <w:sz w:val="32"/>
          <w:szCs w:val="32"/>
          <w:lang w:eastAsia="zh-CN"/>
        </w:rPr>
        <w:t>年，我局针对政务公开自查过程中和区政务服务局委托第三方检查中发现的问题，及时进行整改并向主管领导汇报相关情况。另外，我局积极组织关于政府信息公开的培训，向相关人员传达政府信息公开的相关要求。</w:t>
      </w:r>
    </w:p>
    <w:p>
      <w:pPr>
        <w:keepNext w:val="0"/>
        <w:keepLines w:val="0"/>
        <w:pageBreakBefore w:val="0"/>
        <w:widowControl w:val="0"/>
        <w:numPr>
          <w:ilvl w:val="0"/>
          <w:numId w:val="1"/>
        </w:numPr>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lang w:eastAsia="zh-CN"/>
        </w:rPr>
        <w:t>主动公开政府信息情况</w:t>
      </w:r>
    </w:p>
    <w:tbl>
      <w:tblPr>
        <w:tblStyle w:val="4"/>
        <w:tblW w:w="8140" w:type="dxa"/>
        <w:jc w:val="center"/>
        <w:tblInd w:w="0" w:type="dxa"/>
        <w:tblLayout w:type="fixed"/>
        <w:tblCellMar>
          <w:top w:w="15" w:type="dxa"/>
          <w:left w:w="15" w:type="dxa"/>
          <w:bottom w:w="15" w:type="dxa"/>
          <w:right w:w="15" w:type="dxa"/>
        </w:tblCellMar>
      </w:tblPr>
      <w:tblGrid>
        <w:gridCol w:w="1520"/>
        <w:gridCol w:w="1593"/>
        <w:gridCol w:w="1875"/>
        <w:gridCol w:w="6"/>
        <w:gridCol w:w="1265"/>
        <w:gridCol w:w="1881"/>
      </w:tblGrid>
      <w:tr>
        <w:tblPrEx>
          <w:tblLayout w:type="fixed"/>
          <w:tblCellMar>
            <w:top w:w="15" w:type="dxa"/>
            <w:left w:w="15" w:type="dxa"/>
            <w:bottom w:w="15" w:type="dxa"/>
            <w:right w:w="15" w:type="dxa"/>
          </w:tblCellMar>
        </w:tblPrEx>
        <w:trPr>
          <w:trHeight w:val="495" w:hRule="atLeast"/>
          <w:jc w:val="center"/>
        </w:trPr>
        <w:tc>
          <w:tcPr>
            <w:tcW w:w="8140" w:type="dxa"/>
            <w:gridSpan w:val="6"/>
            <w:tcBorders>
              <w:top w:val="single" w:color="auto" w:sz="8" w:space="0"/>
              <w:left w:val="single" w:color="auto" w:sz="8" w:space="0"/>
              <w:bottom w:val="single" w:color="auto" w:sz="8" w:space="0"/>
              <w:right w:val="single" w:color="auto" w:sz="8" w:space="0"/>
            </w:tcBorders>
            <w:shd w:val="clear" w:color="auto" w:fill="C6D9F1"/>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第二十条第（一）项</w:t>
            </w:r>
          </w:p>
        </w:tc>
      </w:tr>
      <w:tr>
        <w:tblPrEx>
          <w:tblLayout w:type="fixed"/>
          <w:tblCellMar>
            <w:top w:w="15" w:type="dxa"/>
            <w:left w:w="15" w:type="dxa"/>
            <w:bottom w:w="15" w:type="dxa"/>
            <w:right w:w="15" w:type="dxa"/>
          </w:tblCellMar>
        </w:tblPrEx>
        <w:trPr>
          <w:trHeight w:val="882" w:hRule="atLeast"/>
          <w:jc w:val="center"/>
        </w:trPr>
        <w:tc>
          <w:tcPr>
            <w:tcW w:w="3113" w:type="dxa"/>
            <w:gridSpan w:val="2"/>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信息内容</w:t>
            </w:r>
          </w:p>
        </w:tc>
        <w:tc>
          <w:tcPr>
            <w:tcW w:w="1875"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本年新</w:t>
            </w:r>
            <w:r>
              <w:rPr>
                <w:rFonts w:hint="eastAsia" w:ascii="宋体" w:hAnsi="宋体" w:cs="宋体"/>
                <w:color w:val="000000"/>
                <w:kern w:val="0"/>
                <w:sz w:val="20"/>
                <w:szCs w:val="20"/>
                <w:lang w:bidi="ar"/>
              </w:rPr>
              <w:br w:type="textWrapping"/>
            </w:r>
            <w:r>
              <w:rPr>
                <w:color w:val="000000"/>
                <w:kern w:val="0"/>
                <w:sz w:val="20"/>
                <w:szCs w:val="20"/>
                <w:lang w:bidi="ar"/>
              </w:rPr>
              <w:t>制作数量</w:t>
            </w:r>
          </w:p>
        </w:tc>
        <w:tc>
          <w:tcPr>
            <w:tcW w:w="1271" w:type="dxa"/>
            <w:gridSpan w:val="2"/>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本年新</w:t>
            </w:r>
            <w:r>
              <w:rPr>
                <w:rFonts w:hint="eastAsia" w:ascii="宋体" w:hAnsi="宋体" w:cs="宋体"/>
                <w:color w:val="000000"/>
                <w:kern w:val="0"/>
                <w:sz w:val="20"/>
                <w:szCs w:val="20"/>
                <w:lang w:bidi="ar"/>
              </w:rPr>
              <w:br w:type="textWrapping"/>
            </w:r>
            <w:r>
              <w:rPr>
                <w:color w:val="000000"/>
                <w:kern w:val="0"/>
                <w:sz w:val="20"/>
                <w:szCs w:val="20"/>
                <w:lang w:bidi="ar"/>
              </w:rPr>
              <w:t>公开数量</w:t>
            </w:r>
          </w:p>
        </w:tc>
        <w:tc>
          <w:tcPr>
            <w:tcW w:w="188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对外公开总数量</w:t>
            </w:r>
          </w:p>
        </w:tc>
      </w:tr>
      <w:tr>
        <w:tblPrEx>
          <w:tblLayout w:type="fixed"/>
          <w:tblCellMar>
            <w:top w:w="15" w:type="dxa"/>
            <w:left w:w="15" w:type="dxa"/>
            <w:bottom w:w="15" w:type="dxa"/>
            <w:right w:w="15" w:type="dxa"/>
          </w:tblCellMar>
        </w:tblPrEx>
        <w:trPr>
          <w:trHeight w:val="523" w:hRule="atLeast"/>
          <w:jc w:val="center"/>
        </w:trPr>
        <w:tc>
          <w:tcPr>
            <w:tcW w:w="3113" w:type="dxa"/>
            <w:gridSpan w:val="2"/>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color w:val="000000"/>
              </w:rPr>
            </w:pPr>
            <w:r>
              <w:rPr>
                <w:rFonts w:hint="eastAsia" w:ascii="宋体" w:hAnsi="宋体" w:cs="宋体"/>
                <w:color w:val="000000"/>
                <w:kern w:val="0"/>
                <w:sz w:val="20"/>
                <w:szCs w:val="20"/>
                <w:lang w:bidi="ar"/>
              </w:rPr>
              <w:t>规章</w:t>
            </w:r>
          </w:p>
        </w:tc>
        <w:tc>
          <w:tcPr>
            <w:tcW w:w="187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w:t>
            </w:r>
          </w:p>
        </w:tc>
        <w:tc>
          <w:tcPr>
            <w:tcW w:w="1271"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w:t>
            </w:r>
          </w:p>
        </w:tc>
        <w:tc>
          <w:tcPr>
            <w:tcW w:w="188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w:t>
            </w:r>
          </w:p>
        </w:tc>
      </w:tr>
      <w:tr>
        <w:tblPrEx>
          <w:tblLayout w:type="fixed"/>
          <w:tblCellMar>
            <w:top w:w="15" w:type="dxa"/>
            <w:left w:w="15" w:type="dxa"/>
            <w:bottom w:w="15" w:type="dxa"/>
            <w:right w:w="15" w:type="dxa"/>
          </w:tblCellMar>
        </w:tblPrEx>
        <w:trPr>
          <w:trHeight w:val="471" w:hRule="atLeast"/>
          <w:jc w:val="center"/>
        </w:trPr>
        <w:tc>
          <w:tcPr>
            <w:tcW w:w="3113" w:type="dxa"/>
            <w:gridSpan w:val="2"/>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color w:val="000000"/>
              </w:rPr>
            </w:pPr>
            <w:r>
              <w:rPr>
                <w:rFonts w:hint="eastAsia" w:ascii="宋体" w:hAnsi="宋体" w:cs="宋体"/>
                <w:color w:val="000000"/>
                <w:kern w:val="0"/>
                <w:sz w:val="20"/>
                <w:szCs w:val="20"/>
                <w:lang w:bidi="ar"/>
              </w:rPr>
              <w:t>规范性文件</w:t>
            </w:r>
          </w:p>
        </w:tc>
        <w:tc>
          <w:tcPr>
            <w:tcW w:w="187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w:t>
            </w:r>
          </w:p>
        </w:tc>
        <w:tc>
          <w:tcPr>
            <w:tcW w:w="1271"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w:t>
            </w:r>
          </w:p>
        </w:tc>
        <w:tc>
          <w:tcPr>
            <w:tcW w:w="188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w:t>
            </w:r>
          </w:p>
        </w:tc>
      </w:tr>
      <w:tr>
        <w:tblPrEx>
          <w:tblLayout w:type="fixed"/>
          <w:tblCellMar>
            <w:top w:w="15" w:type="dxa"/>
            <w:left w:w="15" w:type="dxa"/>
            <w:bottom w:w="15" w:type="dxa"/>
            <w:right w:w="15" w:type="dxa"/>
          </w:tblCellMar>
        </w:tblPrEx>
        <w:trPr>
          <w:trHeight w:val="480" w:hRule="atLeast"/>
          <w:jc w:val="center"/>
        </w:trPr>
        <w:tc>
          <w:tcPr>
            <w:tcW w:w="8140" w:type="dxa"/>
            <w:gridSpan w:val="6"/>
            <w:tcBorders>
              <w:top w:val="nil"/>
              <w:left w:val="single" w:color="auto" w:sz="8" w:space="0"/>
              <w:bottom w:val="single" w:color="auto" w:sz="8" w:space="0"/>
              <w:right w:val="single" w:color="auto" w:sz="8" w:space="0"/>
            </w:tcBorders>
            <w:shd w:val="clear" w:color="auto" w:fill="C6D9F1"/>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第二十条第（五）项</w:t>
            </w:r>
          </w:p>
        </w:tc>
      </w:tr>
      <w:tr>
        <w:tblPrEx>
          <w:tblLayout w:type="fixed"/>
          <w:tblCellMar>
            <w:top w:w="15" w:type="dxa"/>
            <w:left w:w="15" w:type="dxa"/>
            <w:bottom w:w="15" w:type="dxa"/>
            <w:right w:w="15" w:type="dxa"/>
          </w:tblCellMar>
        </w:tblPrEx>
        <w:trPr>
          <w:trHeight w:val="634" w:hRule="atLeast"/>
          <w:jc w:val="center"/>
        </w:trPr>
        <w:tc>
          <w:tcPr>
            <w:tcW w:w="3113" w:type="dxa"/>
            <w:gridSpan w:val="2"/>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信息内容</w:t>
            </w:r>
          </w:p>
        </w:tc>
        <w:tc>
          <w:tcPr>
            <w:tcW w:w="1875"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上一年项目数量</w:t>
            </w:r>
          </w:p>
        </w:tc>
        <w:tc>
          <w:tcPr>
            <w:tcW w:w="1271" w:type="dxa"/>
            <w:gridSpan w:val="2"/>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本年增/减</w:t>
            </w:r>
          </w:p>
        </w:tc>
        <w:tc>
          <w:tcPr>
            <w:tcW w:w="188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处理决定数量</w:t>
            </w:r>
          </w:p>
        </w:tc>
      </w:tr>
      <w:tr>
        <w:tblPrEx>
          <w:tblLayout w:type="fixed"/>
          <w:tblCellMar>
            <w:top w:w="15" w:type="dxa"/>
            <w:left w:w="15" w:type="dxa"/>
            <w:bottom w:w="15" w:type="dxa"/>
            <w:right w:w="15" w:type="dxa"/>
          </w:tblCellMar>
        </w:tblPrEx>
        <w:trPr>
          <w:trHeight w:val="528" w:hRule="atLeast"/>
          <w:jc w:val="center"/>
        </w:trPr>
        <w:tc>
          <w:tcPr>
            <w:tcW w:w="3113" w:type="dxa"/>
            <w:gridSpan w:val="2"/>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color w:val="000000"/>
              </w:rPr>
            </w:pPr>
            <w:r>
              <w:rPr>
                <w:rFonts w:hint="eastAsia" w:ascii="宋体" w:hAnsi="宋体" w:cs="宋体"/>
                <w:color w:val="000000"/>
                <w:kern w:val="0"/>
                <w:sz w:val="20"/>
                <w:szCs w:val="20"/>
                <w:lang w:bidi="ar"/>
              </w:rPr>
              <w:t>行政许可</w:t>
            </w:r>
          </w:p>
        </w:tc>
        <w:tc>
          <w:tcPr>
            <w:tcW w:w="1881"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eastAsiaTheme="minorEastAsia"/>
                <w:color w:val="000000"/>
                <w:lang w:val="en-US" w:eastAsia="zh-CN"/>
              </w:rPr>
            </w:pPr>
            <w:r>
              <w:rPr>
                <w:rFonts w:hint="eastAsia"/>
                <w:color w:val="000000"/>
                <w:lang w:val="en-US" w:eastAsia="zh-CN"/>
              </w:rPr>
              <w:t>0</w:t>
            </w:r>
          </w:p>
        </w:tc>
        <w:tc>
          <w:tcPr>
            <w:tcW w:w="12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eastAsiaTheme="minorEastAsia"/>
                <w:color w:val="000000"/>
                <w:lang w:val="en-US" w:eastAsia="zh-CN"/>
              </w:rPr>
            </w:pPr>
            <w:r>
              <w:rPr>
                <w:rFonts w:hint="eastAsia"/>
                <w:color w:val="000000"/>
                <w:lang w:val="en-US" w:eastAsia="zh-CN"/>
              </w:rPr>
              <w:t>+5</w:t>
            </w:r>
          </w:p>
        </w:tc>
        <w:tc>
          <w:tcPr>
            <w:tcW w:w="188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eastAsiaTheme="minorEastAsia"/>
                <w:color w:val="000000"/>
                <w:lang w:val="en-US" w:eastAsia="zh-CN"/>
              </w:rPr>
            </w:pPr>
            <w:r>
              <w:rPr>
                <w:rFonts w:hint="eastAsia"/>
                <w:color w:val="000000"/>
                <w:lang w:val="en-US" w:eastAsia="zh-CN"/>
              </w:rPr>
              <w:t>37</w:t>
            </w:r>
          </w:p>
        </w:tc>
      </w:tr>
      <w:tr>
        <w:tblPrEx>
          <w:tblLayout w:type="fixed"/>
          <w:tblCellMar>
            <w:top w:w="15" w:type="dxa"/>
            <w:left w:w="15" w:type="dxa"/>
            <w:bottom w:w="15" w:type="dxa"/>
            <w:right w:w="15" w:type="dxa"/>
          </w:tblCellMar>
        </w:tblPrEx>
        <w:trPr>
          <w:trHeight w:val="326" w:hRule="atLeast"/>
          <w:jc w:val="center"/>
        </w:trPr>
        <w:tc>
          <w:tcPr>
            <w:tcW w:w="1520" w:type="dxa"/>
            <w:vMerge w:val="restart"/>
            <w:tcBorders>
              <w:top w:val="nil"/>
              <w:left w:val="single" w:color="auto" w:sz="8" w:space="0"/>
              <w:right w:val="single" w:color="auto" w:sz="4"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其他对外管</w:t>
            </w:r>
          </w:p>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color w:val="000000"/>
              </w:rPr>
            </w:pPr>
            <w:r>
              <w:rPr>
                <w:rFonts w:hint="eastAsia" w:ascii="宋体" w:hAnsi="宋体" w:cs="宋体"/>
                <w:color w:val="000000"/>
                <w:kern w:val="0"/>
                <w:sz w:val="20"/>
                <w:szCs w:val="20"/>
                <w:lang w:bidi="ar"/>
              </w:rPr>
              <w:t>理服务事项</w:t>
            </w:r>
          </w:p>
        </w:tc>
        <w:tc>
          <w:tcPr>
            <w:tcW w:w="1593" w:type="dxa"/>
            <w:tcBorders>
              <w:top w:val="nil"/>
              <w:left w:val="single" w:color="auto" w:sz="4" w:space="0"/>
              <w:bottom w:val="single" w:color="auto" w:sz="4"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行政检查</w:t>
            </w:r>
          </w:p>
        </w:tc>
        <w:tc>
          <w:tcPr>
            <w:tcW w:w="1881" w:type="dxa"/>
            <w:gridSpan w:val="2"/>
            <w:tcBorders>
              <w:top w:val="nil"/>
              <w:left w:val="nil"/>
              <w:bottom w:val="single" w:color="auto" w:sz="4"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eastAsiaTheme="minorEastAsia"/>
                <w:color w:val="000000"/>
                <w:lang w:val="en-US" w:eastAsia="zh-CN"/>
              </w:rPr>
            </w:pPr>
            <w:r>
              <w:rPr>
                <w:rFonts w:hint="eastAsia"/>
                <w:color w:val="000000"/>
                <w:lang w:val="en-US" w:eastAsia="zh-CN"/>
              </w:rPr>
              <w:t>6</w:t>
            </w:r>
          </w:p>
        </w:tc>
        <w:tc>
          <w:tcPr>
            <w:tcW w:w="1265" w:type="dxa"/>
            <w:tcBorders>
              <w:top w:val="nil"/>
              <w:left w:val="nil"/>
              <w:bottom w:val="single" w:color="auto" w:sz="4"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eastAsiaTheme="minorEastAsia"/>
                <w:color w:val="000000"/>
                <w:lang w:val="en-US" w:eastAsia="zh-CN"/>
              </w:rPr>
            </w:pPr>
            <w:r>
              <w:rPr>
                <w:rFonts w:hint="eastAsia"/>
                <w:color w:val="000000"/>
                <w:lang w:val="en-US" w:eastAsia="zh-CN"/>
              </w:rPr>
              <w:t>-1</w:t>
            </w:r>
          </w:p>
        </w:tc>
        <w:tc>
          <w:tcPr>
            <w:tcW w:w="1881" w:type="dxa"/>
            <w:tcBorders>
              <w:top w:val="nil"/>
              <w:left w:val="nil"/>
              <w:bottom w:val="single" w:color="auto" w:sz="4"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eastAsiaTheme="minorEastAsia"/>
                <w:color w:val="000000"/>
                <w:lang w:val="en-US" w:eastAsia="zh-CN"/>
              </w:rPr>
            </w:pPr>
            <w:r>
              <w:rPr>
                <w:rFonts w:hint="eastAsia"/>
                <w:color w:val="000000"/>
                <w:lang w:val="en-US" w:eastAsia="zh-CN"/>
              </w:rPr>
              <w:t>513</w:t>
            </w:r>
          </w:p>
        </w:tc>
      </w:tr>
      <w:tr>
        <w:tblPrEx>
          <w:tblLayout w:type="fixed"/>
          <w:tblCellMar>
            <w:top w:w="15" w:type="dxa"/>
            <w:left w:w="15" w:type="dxa"/>
            <w:bottom w:w="15" w:type="dxa"/>
            <w:right w:w="15" w:type="dxa"/>
          </w:tblCellMar>
        </w:tblPrEx>
        <w:trPr>
          <w:trHeight w:val="318" w:hRule="atLeast"/>
          <w:jc w:val="center"/>
        </w:trPr>
        <w:tc>
          <w:tcPr>
            <w:tcW w:w="1520" w:type="dxa"/>
            <w:vMerge w:val="continue"/>
            <w:tcBorders>
              <w:left w:val="single" w:color="auto" w:sz="8" w:space="0"/>
              <w:bottom w:val="single" w:color="auto" w:sz="8" w:space="0"/>
              <w:right w:val="single" w:color="auto" w:sz="4"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rFonts w:hint="eastAsia" w:ascii="宋体" w:hAnsi="宋体" w:cs="宋体"/>
                <w:color w:val="000000"/>
                <w:kern w:val="0"/>
                <w:sz w:val="20"/>
                <w:szCs w:val="20"/>
                <w:lang w:bidi="ar"/>
              </w:rPr>
            </w:pPr>
          </w:p>
        </w:tc>
        <w:tc>
          <w:tcPr>
            <w:tcW w:w="1593" w:type="dxa"/>
            <w:tcBorders>
              <w:top w:val="single" w:color="auto" w:sz="4" w:space="0"/>
              <w:left w:val="single" w:color="auto" w:sz="4"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rFonts w:hint="eastAsia" w:ascii="宋体" w:hAnsi="宋体" w:cs="宋体" w:eastAsiaTheme="minorEastAsia"/>
                <w:color w:val="000000"/>
                <w:kern w:val="0"/>
                <w:sz w:val="20"/>
                <w:szCs w:val="20"/>
                <w:lang w:eastAsia="zh-CN" w:bidi="ar"/>
              </w:rPr>
            </w:pPr>
            <w:r>
              <w:rPr>
                <w:rFonts w:hint="eastAsia" w:ascii="宋体" w:hAnsi="宋体" w:cs="宋体"/>
                <w:color w:val="000000"/>
                <w:kern w:val="0"/>
                <w:sz w:val="20"/>
                <w:szCs w:val="20"/>
                <w:lang w:eastAsia="zh-CN" w:bidi="ar"/>
              </w:rPr>
              <w:t>行政确认</w:t>
            </w:r>
          </w:p>
        </w:tc>
        <w:tc>
          <w:tcPr>
            <w:tcW w:w="1881" w:type="dxa"/>
            <w:gridSpan w:val="2"/>
            <w:tcBorders>
              <w:top w:val="single" w:color="auto" w:sz="4"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w:t>
            </w:r>
          </w:p>
        </w:tc>
        <w:tc>
          <w:tcPr>
            <w:tcW w:w="1265" w:type="dxa"/>
            <w:tcBorders>
              <w:top w:val="single" w:color="auto" w:sz="4"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w:t>
            </w:r>
          </w:p>
        </w:tc>
        <w:tc>
          <w:tcPr>
            <w:tcW w:w="1881" w:type="dxa"/>
            <w:tcBorders>
              <w:top w:val="single" w:color="auto" w:sz="4"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w:t>
            </w:r>
          </w:p>
        </w:tc>
      </w:tr>
      <w:tr>
        <w:tblPrEx>
          <w:tblLayout w:type="fixed"/>
          <w:tblCellMar>
            <w:top w:w="15" w:type="dxa"/>
            <w:left w:w="15" w:type="dxa"/>
            <w:bottom w:w="15" w:type="dxa"/>
            <w:right w:w="15" w:type="dxa"/>
          </w:tblCellMar>
        </w:tblPrEx>
        <w:trPr>
          <w:trHeight w:val="406" w:hRule="atLeast"/>
          <w:jc w:val="center"/>
        </w:trPr>
        <w:tc>
          <w:tcPr>
            <w:tcW w:w="8140" w:type="dxa"/>
            <w:gridSpan w:val="6"/>
            <w:tcBorders>
              <w:top w:val="nil"/>
              <w:left w:val="single" w:color="auto" w:sz="8" w:space="0"/>
              <w:bottom w:val="single" w:color="auto" w:sz="8" w:space="0"/>
              <w:right w:val="single" w:color="auto" w:sz="8" w:space="0"/>
            </w:tcBorders>
            <w:shd w:val="clear" w:color="auto" w:fill="C6D9F1"/>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第二十条第（六）项</w:t>
            </w:r>
          </w:p>
        </w:tc>
      </w:tr>
      <w:tr>
        <w:tblPrEx>
          <w:tblLayout w:type="fixed"/>
          <w:tblCellMar>
            <w:top w:w="15" w:type="dxa"/>
            <w:left w:w="15" w:type="dxa"/>
            <w:bottom w:w="15" w:type="dxa"/>
            <w:right w:w="15" w:type="dxa"/>
          </w:tblCellMar>
        </w:tblPrEx>
        <w:trPr>
          <w:trHeight w:val="634" w:hRule="atLeast"/>
          <w:jc w:val="center"/>
        </w:trPr>
        <w:tc>
          <w:tcPr>
            <w:tcW w:w="3113" w:type="dxa"/>
            <w:gridSpan w:val="2"/>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信息内容</w:t>
            </w:r>
          </w:p>
        </w:tc>
        <w:tc>
          <w:tcPr>
            <w:tcW w:w="1875"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上一年项目数量</w:t>
            </w:r>
          </w:p>
        </w:tc>
        <w:tc>
          <w:tcPr>
            <w:tcW w:w="1271" w:type="dxa"/>
            <w:gridSpan w:val="2"/>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本年增/减</w:t>
            </w:r>
          </w:p>
        </w:tc>
        <w:tc>
          <w:tcPr>
            <w:tcW w:w="188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处理决定数量</w:t>
            </w:r>
          </w:p>
        </w:tc>
      </w:tr>
      <w:tr>
        <w:tblPrEx>
          <w:tblLayout w:type="fixed"/>
          <w:tblCellMar>
            <w:top w:w="15" w:type="dxa"/>
            <w:left w:w="15" w:type="dxa"/>
            <w:bottom w:w="15" w:type="dxa"/>
            <w:right w:w="15" w:type="dxa"/>
          </w:tblCellMar>
        </w:tblPrEx>
        <w:trPr>
          <w:trHeight w:val="430" w:hRule="atLeast"/>
          <w:jc w:val="center"/>
        </w:trPr>
        <w:tc>
          <w:tcPr>
            <w:tcW w:w="3113" w:type="dxa"/>
            <w:gridSpan w:val="2"/>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color w:val="000000"/>
              </w:rPr>
            </w:pPr>
            <w:r>
              <w:rPr>
                <w:rFonts w:hint="eastAsia" w:ascii="宋体" w:hAnsi="宋体" w:cs="宋体"/>
                <w:color w:val="000000"/>
                <w:kern w:val="0"/>
                <w:sz w:val="20"/>
                <w:szCs w:val="20"/>
                <w:lang w:bidi="ar"/>
              </w:rPr>
              <w:t>行政处罚</w:t>
            </w:r>
          </w:p>
        </w:tc>
        <w:tc>
          <w:tcPr>
            <w:tcW w:w="1881"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2</w:t>
            </w:r>
          </w:p>
        </w:tc>
        <w:tc>
          <w:tcPr>
            <w:tcW w:w="12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+66　</w:t>
            </w:r>
          </w:p>
        </w:tc>
        <w:tc>
          <w:tcPr>
            <w:tcW w:w="188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r>
      <w:tr>
        <w:tblPrEx>
          <w:tblLayout w:type="fixed"/>
          <w:tblCellMar>
            <w:top w:w="15" w:type="dxa"/>
            <w:left w:w="15" w:type="dxa"/>
            <w:bottom w:w="15" w:type="dxa"/>
            <w:right w:w="15" w:type="dxa"/>
          </w:tblCellMar>
        </w:tblPrEx>
        <w:trPr>
          <w:trHeight w:val="409" w:hRule="atLeast"/>
          <w:jc w:val="center"/>
        </w:trPr>
        <w:tc>
          <w:tcPr>
            <w:tcW w:w="3113" w:type="dxa"/>
            <w:gridSpan w:val="2"/>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color w:val="000000"/>
              </w:rPr>
            </w:pPr>
            <w:r>
              <w:rPr>
                <w:rFonts w:hint="eastAsia" w:ascii="宋体" w:hAnsi="宋体" w:cs="宋体"/>
                <w:color w:val="000000"/>
                <w:kern w:val="0"/>
                <w:sz w:val="20"/>
                <w:szCs w:val="20"/>
                <w:lang w:bidi="ar"/>
              </w:rPr>
              <w:t>行政强制</w:t>
            </w:r>
          </w:p>
        </w:tc>
        <w:tc>
          <w:tcPr>
            <w:tcW w:w="1881"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color w:val="000000"/>
                <w:lang w:val="en-US" w:eastAsia="zh-CN"/>
              </w:rPr>
              <w:t>0</w:t>
            </w:r>
          </w:p>
        </w:tc>
        <w:tc>
          <w:tcPr>
            <w:tcW w:w="12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color w:val="000000"/>
                <w:lang w:val="en-US" w:eastAsia="zh-CN"/>
              </w:rPr>
              <w:t>0</w:t>
            </w:r>
          </w:p>
        </w:tc>
        <w:tc>
          <w:tcPr>
            <w:tcW w:w="188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color w:val="000000"/>
                <w:lang w:val="en-US" w:eastAsia="zh-CN"/>
              </w:rPr>
              <w:t>0</w:t>
            </w:r>
          </w:p>
        </w:tc>
      </w:tr>
      <w:tr>
        <w:tblPrEx>
          <w:tblLayout w:type="fixed"/>
          <w:tblCellMar>
            <w:top w:w="15" w:type="dxa"/>
            <w:left w:w="15" w:type="dxa"/>
            <w:bottom w:w="15" w:type="dxa"/>
            <w:right w:w="15" w:type="dxa"/>
          </w:tblCellMar>
        </w:tblPrEx>
        <w:trPr>
          <w:trHeight w:val="474" w:hRule="atLeast"/>
          <w:jc w:val="center"/>
        </w:trPr>
        <w:tc>
          <w:tcPr>
            <w:tcW w:w="8140" w:type="dxa"/>
            <w:gridSpan w:val="6"/>
            <w:tcBorders>
              <w:top w:val="nil"/>
              <w:left w:val="single" w:color="auto" w:sz="8" w:space="0"/>
              <w:bottom w:val="single" w:color="auto" w:sz="8" w:space="0"/>
              <w:right w:val="single" w:color="auto" w:sz="8" w:space="0"/>
            </w:tcBorders>
            <w:shd w:val="clear" w:color="auto" w:fill="C6D9F1"/>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第二十条第（八）项</w:t>
            </w:r>
          </w:p>
        </w:tc>
      </w:tr>
      <w:tr>
        <w:tblPrEx>
          <w:tblLayout w:type="fixed"/>
          <w:tblCellMar>
            <w:top w:w="15" w:type="dxa"/>
            <w:left w:w="15" w:type="dxa"/>
            <w:bottom w:w="15" w:type="dxa"/>
            <w:right w:w="15" w:type="dxa"/>
          </w:tblCellMar>
        </w:tblPrEx>
        <w:trPr>
          <w:trHeight w:val="270" w:hRule="atLeast"/>
          <w:jc w:val="center"/>
        </w:trPr>
        <w:tc>
          <w:tcPr>
            <w:tcW w:w="3113" w:type="dxa"/>
            <w:gridSpan w:val="2"/>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信息内容</w:t>
            </w:r>
          </w:p>
        </w:tc>
        <w:tc>
          <w:tcPr>
            <w:tcW w:w="1881"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color w:val="000000"/>
              </w:rPr>
            </w:pPr>
            <w:r>
              <w:rPr>
                <w:rFonts w:hint="eastAsia" w:ascii="宋体" w:hAnsi="宋体" w:cs="宋体"/>
                <w:color w:val="000000"/>
                <w:kern w:val="0"/>
                <w:sz w:val="20"/>
                <w:szCs w:val="20"/>
                <w:lang w:bidi="ar"/>
              </w:rPr>
              <w:t>上一年项目数量</w:t>
            </w:r>
          </w:p>
        </w:tc>
        <w:tc>
          <w:tcPr>
            <w:tcW w:w="3146" w:type="dxa"/>
            <w:gridSpan w:val="2"/>
            <w:tcBorders>
              <w:top w:val="single" w:color="auto" w:sz="8" w:space="0"/>
              <w:left w:val="nil"/>
              <w:bottom w:val="single" w:color="auto" w:sz="8" w:space="0"/>
              <w:right w:val="single" w:color="000000"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本年增/减</w:t>
            </w:r>
          </w:p>
        </w:tc>
      </w:tr>
      <w:tr>
        <w:tblPrEx>
          <w:tblLayout w:type="fixed"/>
          <w:tblCellMar>
            <w:top w:w="15" w:type="dxa"/>
            <w:left w:w="15" w:type="dxa"/>
            <w:bottom w:w="15" w:type="dxa"/>
            <w:right w:w="15" w:type="dxa"/>
          </w:tblCellMar>
        </w:tblPrEx>
        <w:trPr>
          <w:trHeight w:val="551" w:hRule="atLeast"/>
          <w:jc w:val="center"/>
        </w:trPr>
        <w:tc>
          <w:tcPr>
            <w:tcW w:w="3113" w:type="dxa"/>
            <w:gridSpan w:val="2"/>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color w:val="000000"/>
              </w:rPr>
            </w:pPr>
            <w:r>
              <w:rPr>
                <w:rFonts w:hint="eastAsia" w:ascii="宋体" w:hAnsi="宋体" w:cs="宋体"/>
                <w:color w:val="000000"/>
                <w:kern w:val="0"/>
                <w:sz w:val="20"/>
                <w:szCs w:val="20"/>
                <w:lang w:bidi="ar"/>
              </w:rPr>
              <w:t>行政事业性收费</w:t>
            </w:r>
          </w:p>
        </w:tc>
        <w:tc>
          <w:tcPr>
            <w:tcW w:w="1881"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　0</w:t>
            </w:r>
          </w:p>
        </w:tc>
        <w:tc>
          <w:tcPr>
            <w:tcW w:w="3146" w:type="dxa"/>
            <w:gridSpan w:val="2"/>
            <w:tcBorders>
              <w:top w:val="nil"/>
              <w:left w:val="nil"/>
              <w:bottom w:val="single" w:color="auto" w:sz="8" w:space="0"/>
              <w:right w:val="single" w:color="000000"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r>
      <w:tr>
        <w:tblPrEx>
          <w:tblLayout w:type="fixed"/>
          <w:tblCellMar>
            <w:top w:w="15" w:type="dxa"/>
            <w:left w:w="15" w:type="dxa"/>
            <w:bottom w:w="15" w:type="dxa"/>
            <w:right w:w="15" w:type="dxa"/>
          </w:tblCellMar>
        </w:tblPrEx>
        <w:trPr>
          <w:trHeight w:val="476" w:hRule="atLeast"/>
          <w:jc w:val="center"/>
        </w:trPr>
        <w:tc>
          <w:tcPr>
            <w:tcW w:w="8140" w:type="dxa"/>
            <w:gridSpan w:val="6"/>
            <w:tcBorders>
              <w:top w:val="nil"/>
              <w:left w:val="single" w:color="auto" w:sz="8" w:space="0"/>
              <w:bottom w:val="single" w:color="auto" w:sz="8" w:space="0"/>
              <w:right w:val="single" w:color="auto" w:sz="8" w:space="0"/>
            </w:tcBorders>
            <w:shd w:val="clear" w:color="auto" w:fill="C6D9F1"/>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第二十条第（九）项</w:t>
            </w:r>
          </w:p>
        </w:tc>
      </w:tr>
      <w:tr>
        <w:tblPrEx>
          <w:tblLayout w:type="fixed"/>
          <w:tblCellMar>
            <w:top w:w="15" w:type="dxa"/>
            <w:left w:w="15" w:type="dxa"/>
            <w:bottom w:w="15" w:type="dxa"/>
            <w:right w:w="15" w:type="dxa"/>
          </w:tblCellMar>
        </w:tblPrEx>
        <w:trPr>
          <w:trHeight w:val="585" w:hRule="atLeast"/>
          <w:jc w:val="center"/>
        </w:trPr>
        <w:tc>
          <w:tcPr>
            <w:tcW w:w="3113" w:type="dxa"/>
            <w:gridSpan w:val="2"/>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信息内容</w:t>
            </w:r>
          </w:p>
        </w:tc>
        <w:tc>
          <w:tcPr>
            <w:tcW w:w="1881"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采购项目数量</w:t>
            </w:r>
          </w:p>
        </w:tc>
        <w:tc>
          <w:tcPr>
            <w:tcW w:w="3146" w:type="dxa"/>
            <w:gridSpan w:val="2"/>
            <w:tcBorders>
              <w:top w:val="single" w:color="auto" w:sz="8" w:space="0"/>
              <w:left w:val="nil"/>
              <w:bottom w:val="single" w:color="auto" w:sz="8" w:space="0"/>
              <w:right w:val="single" w:color="000000"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采购总金额</w:t>
            </w:r>
          </w:p>
        </w:tc>
      </w:tr>
      <w:tr>
        <w:tblPrEx>
          <w:tblLayout w:type="fixed"/>
          <w:tblCellMar>
            <w:top w:w="15" w:type="dxa"/>
            <w:left w:w="15" w:type="dxa"/>
            <w:bottom w:w="15" w:type="dxa"/>
            <w:right w:w="15" w:type="dxa"/>
          </w:tblCellMar>
        </w:tblPrEx>
        <w:trPr>
          <w:trHeight w:val="539" w:hRule="atLeast"/>
          <w:jc w:val="center"/>
        </w:trPr>
        <w:tc>
          <w:tcPr>
            <w:tcW w:w="3113" w:type="dxa"/>
            <w:gridSpan w:val="2"/>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color w:val="000000"/>
              </w:rPr>
            </w:pPr>
            <w:r>
              <w:rPr>
                <w:rFonts w:hint="eastAsia" w:ascii="宋体" w:hAnsi="宋体" w:cs="宋体"/>
                <w:color w:val="000000"/>
                <w:kern w:val="0"/>
                <w:sz w:val="20"/>
                <w:szCs w:val="20"/>
                <w:lang w:bidi="ar"/>
              </w:rPr>
              <w:t>政府集中采购</w:t>
            </w:r>
          </w:p>
        </w:tc>
        <w:tc>
          <w:tcPr>
            <w:tcW w:w="1881"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eastAsiaTheme="minorEastAsia"/>
                <w:color w:val="000000"/>
                <w:lang w:val="en-US" w:eastAsia="zh-CN"/>
              </w:rPr>
            </w:pPr>
            <w:r>
              <w:rPr>
                <w:rFonts w:hint="eastAsia" w:ascii="宋体" w:hAnsi="宋体" w:cs="宋体"/>
                <w:color w:val="000000"/>
                <w:kern w:val="0"/>
                <w:sz w:val="20"/>
                <w:szCs w:val="20"/>
                <w:lang w:val="en-US" w:eastAsia="zh-CN" w:bidi="ar"/>
              </w:rPr>
              <w:t>5</w:t>
            </w:r>
          </w:p>
        </w:tc>
        <w:tc>
          <w:tcPr>
            <w:tcW w:w="3146" w:type="dxa"/>
            <w:gridSpan w:val="2"/>
            <w:tcBorders>
              <w:top w:val="nil"/>
              <w:left w:val="nil"/>
              <w:bottom w:val="single" w:color="auto" w:sz="8" w:space="0"/>
              <w:right w:val="single" w:color="000000"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textAlignment w:val="auto"/>
              <w:rPr>
                <w:rFonts w:hint="eastAsia" w:ascii="宋体" w:eastAsiaTheme="minorEastAsia"/>
                <w:color w:val="000000"/>
                <w:sz w:val="24"/>
                <w:lang w:eastAsia="zh-CN"/>
              </w:rPr>
            </w:pPr>
            <w:r>
              <w:rPr>
                <w:rFonts w:hint="eastAsia" w:ascii="宋体"/>
                <w:color w:val="000000"/>
                <w:sz w:val="24"/>
              </w:rPr>
              <w:t>3</w:t>
            </w:r>
            <w:r>
              <w:rPr>
                <w:rFonts w:hint="eastAsia" w:ascii="宋体"/>
                <w:color w:val="000000"/>
                <w:sz w:val="24"/>
                <w:lang w:val="en-US" w:eastAsia="zh-CN"/>
              </w:rPr>
              <w:t>.</w:t>
            </w:r>
            <w:r>
              <w:rPr>
                <w:rFonts w:hint="eastAsia" w:ascii="宋体"/>
                <w:color w:val="000000"/>
                <w:sz w:val="24"/>
              </w:rPr>
              <w:t>5832</w:t>
            </w:r>
            <w:r>
              <w:rPr>
                <w:rFonts w:hint="eastAsia"/>
                <w:lang w:eastAsia="zh-CN"/>
              </w:rPr>
              <w:t>万元</w:t>
            </w:r>
          </w:p>
        </w:tc>
      </w:tr>
    </w:tbl>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lang w:eastAsia="zh-CN"/>
        </w:rPr>
        <w:t>三、收到和处理政府信息公开申请情况</w:t>
      </w:r>
    </w:p>
    <w:tbl>
      <w:tblPr>
        <w:tblStyle w:val="4"/>
        <w:tblW w:w="9071" w:type="dxa"/>
        <w:jc w:val="center"/>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618"/>
        <w:gridCol w:w="854"/>
        <w:gridCol w:w="2086"/>
        <w:gridCol w:w="814"/>
        <w:gridCol w:w="755"/>
        <w:gridCol w:w="755"/>
        <w:gridCol w:w="814"/>
        <w:gridCol w:w="974"/>
        <w:gridCol w:w="712"/>
        <w:gridCol w:w="68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3558" w:type="dxa"/>
            <w:gridSpan w:val="3"/>
            <w:vMerge w:val="restart"/>
            <w:tcBorders>
              <w:top w:val="single" w:color="auto" w:sz="8" w:space="0"/>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（本列数据的勾稽关系为：第一项加第二项之和，等于第三项加第四项之和）</w:t>
            </w:r>
          </w:p>
        </w:tc>
        <w:tc>
          <w:tcPr>
            <w:tcW w:w="5513" w:type="dxa"/>
            <w:gridSpan w:val="7"/>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3558" w:type="dxa"/>
            <w:gridSpan w:val="3"/>
            <w:vMerge w:val="continue"/>
            <w:tcBorders>
              <w:top w:val="single" w:color="auto" w:sz="8" w:space="0"/>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814" w:type="dxa"/>
            <w:vMerge w:val="restart"/>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自然人</w:t>
            </w:r>
          </w:p>
        </w:tc>
        <w:tc>
          <w:tcPr>
            <w:tcW w:w="4010" w:type="dxa"/>
            <w:gridSpan w:val="5"/>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法人或其他组织</w:t>
            </w:r>
          </w:p>
        </w:tc>
        <w:tc>
          <w:tcPr>
            <w:tcW w:w="689" w:type="dxa"/>
            <w:vMerge w:val="restart"/>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90" w:hRule="atLeast"/>
          <w:jc w:val="center"/>
        </w:trPr>
        <w:tc>
          <w:tcPr>
            <w:tcW w:w="3558" w:type="dxa"/>
            <w:gridSpan w:val="3"/>
            <w:vMerge w:val="continue"/>
            <w:tcBorders>
              <w:top w:val="single" w:color="auto" w:sz="8" w:space="0"/>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814" w:type="dxa"/>
            <w:vMerge w:val="continue"/>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商业企业</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科研机构</w:t>
            </w:r>
          </w:p>
        </w:tc>
        <w:tc>
          <w:tcPr>
            <w:tcW w:w="814"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社会公益组织</w:t>
            </w:r>
          </w:p>
        </w:tc>
        <w:tc>
          <w:tcPr>
            <w:tcW w:w="974"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法律服务机构</w:t>
            </w:r>
          </w:p>
        </w:tc>
        <w:tc>
          <w:tcPr>
            <w:tcW w:w="712"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其他</w:t>
            </w:r>
          </w:p>
        </w:tc>
        <w:tc>
          <w:tcPr>
            <w:tcW w:w="689" w:type="dxa"/>
            <w:vMerge w:val="continue"/>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3558" w:type="dxa"/>
            <w:gridSpan w:val="3"/>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color w:val="000000"/>
              </w:rPr>
            </w:pPr>
            <w:r>
              <w:rPr>
                <w:rFonts w:hint="eastAsia" w:ascii="宋体" w:hAnsi="宋体" w:cs="宋体"/>
                <w:color w:val="000000"/>
                <w:kern w:val="0"/>
                <w:sz w:val="20"/>
                <w:szCs w:val="20"/>
                <w:lang w:bidi="ar"/>
              </w:rPr>
              <w:t>一、本年新收政府信息公开申请数量</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 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3558" w:type="dxa"/>
            <w:gridSpan w:val="3"/>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color w:val="000000"/>
              </w:rPr>
            </w:pPr>
            <w:r>
              <w:rPr>
                <w:rFonts w:hint="eastAsia" w:ascii="宋体" w:hAnsi="宋体" w:cs="宋体"/>
                <w:color w:val="000000"/>
                <w:kern w:val="0"/>
                <w:sz w:val="20"/>
                <w:szCs w:val="20"/>
                <w:lang w:bidi="ar"/>
              </w:rPr>
              <w:t>二、上年结转政府信息公开申请数量</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 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restart"/>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三、本年度办理结果</w:t>
            </w:r>
          </w:p>
        </w:tc>
        <w:tc>
          <w:tcPr>
            <w:tcW w:w="2940"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color w:val="000000"/>
              </w:rPr>
            </w:pPr>
            <w:r>
              <w:rPr>
                <w:rFonts w:ascii="楷体" w:hAnsi="楷体" w:eastAsia="楷体" w:cs="楷体"/>
                <w:color w:val="000000"/>
                <w:kern w:val="0"/>
                <w:sz w:val="20"/>
                <w:szCs w:val="20"/>
                <w:lang w:bidi="ar"/>
              </w:rPr>
              <w:t>（一）予以公开</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 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689"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2940"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color w:val="000000"/>
              </w:rPr>
            </w:pPr>
            <w:r>
              <w:rPr>
                <w:rFonts w:hint="eastAsia" w:ascii="楷体" w:hAnsi="楷体" w:eastAsia="楷体" w:cs="楷体"/>
                <w:color w:val="000000"/>
                <w:kern w:val="0"/>
                <w:sz w:val="20"/>
                <w:szCs w:val="20"/>
                <w:lang w:bidi="ar"/>
              </w:rPr>
              <w:t>（二）部分公开（区分处理的，只计这一情形，不计其他情形）</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 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854" w:type="dxa"/>
            <w:vMerge w:val="restart"/>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color w:val="000000"/>
              </w:rPr>
            </w:pPr>
            <w:r>
              <w:rPr>
                <w:rFonts w:hint="eastAsia" w:ascii="楷体" w:hAnsi="楷体" w:eastAsia="楷体" w:cs="楷体"/>
                <w:color w:val="000000"/>
                <w:kern w:val="0"/>
                <w:sz w:val="20"/>
                <w:szCs w:val="20"/>
                <w:lang w:bidi="ar"/>
              </w:rPr>
              <w:t>（三）不予公开</w:t>
            </w: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color w:val="000000"/>
              </w:rPr>
            </w:pPr>
            <w:r>
              <w:rPr>
                <w:rFonts w:hint="eastAsia" w:ascii="楷体" w:hAnsi="楷体" w:eastAsia="楷体" w:cs="楷体"/>
                <w:color w:val="000000"/>
                <w:kern w:val="0"/>
                <w:sz w:val="20"/>
                <w:szCs w:val="20"/>
                <w:lang w:bidi="ar"/>
              </w:rPr>
              <w:t>1.属于国家秘密</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 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689"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854" w:type="dxa"/>
            <w:vMerge w:val="continue"/>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color w:val="000000"/>
              </w:rPr>
            </w:pPr>
            <w:r>
              <w:rPr>
                <w:rFonts w:hint="eastAsia" w:ascii="楷体" w:hAnsi="楷体" w:eastAsia="楷体" w:cs="楷体"/>
                <w:color w:val="000000"/>
                <w:kern w:val="0"/>
                <w:sz w:val="20"/>
                <w:szCs w:val="20"/>
                <w:lang w:bidi="ar"/>
              </w:rPr>
              <w:t>2.其他法律行政法规禁止公开</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 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854" w:type="dxa"/>
            <w:vMerge w:val="continue"/>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color w:val="000000"/>
              </w:rPr>
            </w:pPr>
            <w:r>
              <w:rPr>
                <w:rFonts w:hint="eastAsia" w:ascii="楷体" w:hAnsi="楷体" w:eastAsia="楷体" w:cs="楷体"/>
                <w:color w:val="000000"/>
                <w:kern w:val="0"/>
                <w:sz w:val="20"/>
                <w:szCs w:val="20"/>
                <w:lang w:bidi="ar"/>
              </w:rPr>
              <w:t>3.危及“三安全一稳定”</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 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854" w:type="dxa"/>
            <w:vMerge w:val="continue"/>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color w:val="000000"/>
              </w:rPr>
            </w:pPr>
            <w:r>
              <w:rPr>
                <w:rFonts w:hint="eastAsia" w:ascii="楷体" w:hAnsi="楷体" w:eastAsia="楷体" w:cs="楷体"/>
                <w:color w:val="000000"/>
                <w:kern w:val="0"/>
                <w:sz w:val="20"/>
                <w:szCs w:val="20"/>
                <w:lang w:bidi="ar"/>
              </w:rPr>
              <w:t>4.保护第三方合法权益</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 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854" w:type="dxa"/>
            <w:vMerge w:val="continue"/>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color w:val="000000"/>
              </w:rPr>
            </w:pPr>
            <w:r>
              <w:rPr>
                <w:rFonts w:hint="eastAsia" w:ascii="楷体" w:hAnsi="楷体" w:eastAsia="楷体" w:cs="楷体"/>
                <w:color w:val="000000"/>
                <w:kern w:val="0"/>
                <w:sz w:val="20"/>
                <w:szCs w:val="20"/>
                <w:lang w:bidi="ar"/>
              </w:rPr>
              <w:t>5.属于三类内部事务信息</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 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854" w:type="dxa"/>
            <w:vMerge w:val="continue"/>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color w:val="000000"/>
              </w:rPr>
            </w:pPr>
            <w:r>
              <w:rPr>
                <w:rFonts w:hint="eastAsia" w:ascii="楷体" w:hAnsi="楷体" w:eastAsia="楷体" w:cs="楷体"/>
                <w:color w:val="000000"/>
                <w:kern w:val="0"/>
                <w:sz w:val="20"/>
                <w:szCs w:val="20"/>
                <w:lang w:bidi="ar"/>
              </w:rPr>
              <w:t>6.属于四类过程性信息</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 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854" w:type="dxa"/>
            <w:vMerge w:val="continue"/>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color w:val="000000"/>
              </w:rPr>
            </w:pPr>
            <w:r>
              <w:rPr>
                <w:rFonts w:hint="eastAsia" w:ascii="楷体" w:hAnsi="楷体" w:eastAsia="楷体" w:cs="楷体"/>
                <w:color w:val="000000"/>
                <w:kern w:val="0"/>
                <w:sz w:val="20"/>
                <w:szCs w:val="20"/>
                <w:lang w:bidi="ar"/>
              </w:rPr>
              <w:t>7.属于行政执法案卷</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 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854" w:type="dxa"/>
            <w:vMerge w:val="continue"/>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color w:val="000000"/>
              </w:rPr>
            </w:pPr>
            <w:r>
              <w:rPr>
                <w:rFonts w:hint="eastAsia" w:ascii="楷体" w:hAnsi="楷体" w:eastAsia="楷体" w:cs="楷体"/>
                <w:color w:val="000000"/>
                <w:kern w:val="0"/>
                <w:sz w:val="20"/>
                <w:szCs w:val="20"/>
                <w:lang w:bidi="ar"/>
              </w:rPr>
              <w:t>8.属于行政查询事项</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 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854" w:type="dxa"/>
            <w:vMerge w:val="restart"/>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color w:val="000000"/>
              </w:rPr>
            </w:pPr>
            <w:r>
              <w:rPr>
                <w:rFonts w:hint="eastAsia" w:ascii="楷体" w:hAnsi="楷体" w:eastAsia="楷体" w:cs="楷体"/>
                <w:color w:val="000000"/>
                <w:kern w:val="0"/>
                <w:sz w:val="20"/>
                <w:szCs w:val="20"/>
                <w:lang w:bidi="ar"/>
              </w:rPr>
              <w:t>（四）无法提供</w:t>
            </w: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color w:val="000000"/>
              </w:rPr>
            </w:pPr>
            <w:r>
              <w:rPr>
                <w:rFonts w:hint="eastAsia" w:ascii="楷体" w:hAnsi="楷体" w:eastAsia="楷体" w:cs="楷体"/>
                <w:color w:val="000000"/>
                <w:kern w:val="0"/>
                <w:sz w:val="20"/>
                <w:szCs w:val="20"/>
                <w:lang w:bidi="ar"/>
              </w:rPr>
              <w:t>1.本机关不掌握相关政府信息</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 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854" w:type="dxa"/>
            <w:vMerge w:val="continue"/>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color w:val="000000"/>
              </w:rPr>
            </w:pPr>
            <w:r>
              <w:rPr>
                <w:rFonts w:hint="eastAsia" w:ascii="楷体" w:hAnsi="楷体" w:eastAsia="楷体" w:cs="楷体"/>
                <w:color w:val="000000"/>
                <w:kern w:val="0"/>
                <w:sz w:val="20"/>
                <w:szCs w:val="20"/>
                <w:lang w:bidi="ar"/>
              </w:rPr>
              <w:t>2.没有现成信息需要另行制作</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 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854" w:type="dxa"/>
            <w:vMerge w:val="continue"/>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color w:val="000000"/>
              </w:rPr>
            </w:pPr>
            <w:r>
              <w:rPr>
                <w:rFonts w:hint="eastAsia" w:ascii="楷体" w:hAnsi="楷体" w:eastAsia="楷体" w:cs="楷体"/>
                <w:color w:val="000000"/>
                <w:kern w:val="0"/>
                <w:sz w:val="20"/>
                <w:szCs w:val="20"/>
                <w:lang w:bidi="ar"/>
              </w:rPr>
              <w:t>3.补正后申请内容仍不明确</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 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854" w:type="dxa"/>
            <w:vMerge w:val="restart"/>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color w:val="000000"/>
              </w:rPr>
            </w:pPr>
            <w:r>
              <w:rPr>
                <w:rFonts w:hint="eastAsia" w:ascii="楷体" w:hAnsi="楷体" w:eastAsia="楷体" w:cs="楷体"/>
                <w:color w:val="000000"/>
                <w:kern w:val="0"/>
                <w:sz w:val="20"/>
                <w:szCs w:val="20"/>
                <w:lang w:bidi="ar"/>
              </w:rPr>
              <w:t>（五）不予处理</w:t>
            </w: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color w:val="000000"/>
              </w:rPr>
            </w:pPr>
            <w:r>
              <w:rPr>
                <w:rFonts w:hint="eastAsia" w:ascii="楷体" w:hAnsi="楷体" w:eastAsia="楷体" w:cs="楷体"/>
                <w:color w:val="000000"/>
                <w:kern w:val="0"/>
                <w:sz w:val="20"/>
                <w:szCs w:val="20"/>
                <w:lang w:bidi="ar"/>
              </w:rPr>
              <w:t>1.信访举报投诉类申请</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 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854" w:type="dxa"/>
            <w:vMerge w:val="continue"/>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color w:val="000000"/>
              </w:rPr>
            </w:pPr>
            <w:r>
              <w:rPr>
                <w:rFonts w:hint="eastAsia" w:ascii="楷体" w:hAnsi="楷体" w:eastAsia="楷体" w:cs="楷体"/>
                <w:color w:val="000000"/>
                <w:kern w:val="0"/>
                <w:sz w:val="20"/>
                <w:szCs w:val="20"/>
                <w:lang w:bidi="ar"/>
              </w:rPr>
              <w:t>2.重复申请</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 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854" w:type="dxa"/>
            <w:vMerge w:val="continue"/>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color w:val="000000"/>
              </w:rPr>
            </w:pPr>
            <w:r>
              <w:rPr>
                <w:rFonts w:hint="eastAsia" w:ascii="楷体" w:hAnsi="楷体" w:eastAsia="楷体" w:cs="楷体"/>
                <w:color w:val="000000"/>
                <w:kern w:val="0"/>
                <w:sz w:val="20"/>
                <w:szCs w:val="20"/>
                <w:lang w:bidi="ar"/>
              </w:rPr>
              <w:t>3.要求提供公开出版物</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 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854" w:type="dxa"/>
            <w:vMerge w:val="continue"/>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color w:val="000000"/>
              </w:rPr>
            </w:pPr>
            <w:r>
              <w:rPr>
                <w:rFonts w:hint="eastAsia" w:ascii="楷体" w:hAnsi="楷体" w:eastAsia="楷体" w:cs="楷体"/>
                <w:color w:val="000000"/>
                <w:kern w:val="0"/>
                <w:sz w:val="20"/>
                <w:szCs w:val="20"/>
                <w:lang w:bidi="ar"/>
              </w:rPr>
              <w:t>4.无正当理由大量反复申请</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 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854" w:type="dxa"/>
            <w:vMerge w:val="continue"/>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color w:val="000000"/>
              </w:rPr>
            </w:pPr>
            <w:r>
              <w:rPr>
                <w:rFonts w:hint="eastAsia" w:ascii="楷体" w:hAnsi="楷体" w:eastAsia="楷体" w:cs="楷体"/>
                <w:color w:val="000000"/>
                <w:kern w:val="0"/>
                <w:sz w:val="20"/>
                <w:szCs w:val="20"/>
                <w:lang w:bidi="ar"/>
              </w:rPr>
              <w:t>5.要求行政机关确认或重新出具已获取信息</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 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2940"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color w:val="000000"/>
              </w:rPr>
            </w:pPr>
            <w:r>
              <w:rPr>
                <w:rFonts w:hint="eastAsia" w:ascii="楷体" w:hAnsi="楷体" w:eastAsia="楷体" w:cs="楷体"/>
                <w:color w:val="000000"/>
                <w:kern w:val="0"/>
                <w:sz w:val="20"/>
                <w:szCs w:val="20"/>
                <w:lang w:bidi="ar"/>
              </w:rPr>
              <w:t>（六）其他处理</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 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2940"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color w:val="000000"/>
              </w:rPr>
            </w:pPr>
            <w:r>
              <w:rPr>
                <w:rFonts w:hint="eastAsia" w:ascii="楷体" w:hAnsi="楷体" w:eastAsia="楷体" w:cs="楷体"/>
                <w:color w:val="000000"/>
                <w:kern w:val="0"/>
                <w:sz w:val="20"/>
                <w:szCs w:val="20"/>
                <w:lang w:bidi="ar"/>
              </w:rPr>
              <w:t>（七）总计</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 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3558" w:type="dxa"/>
            <w:gridSpan w:val="3"/>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textAlignment w:val="auto"/>
              <w:rPr>
                <w:color w:val="000000"/>
              </w:rPr>
            </w:pPr>
            <w:r>
              <w:rPr>
                <w:rFonts w:hint="eastAsia" w:ascii="宋体" w:hAnsi="宋体" w:cs="宋体"/>
                <w:color w:val="000000"/>
                <w:kern w:val="0"/>
                <w:sz w:val="20"/>
                <w:szCs w:val="20"/>
                <w:lang w:bidi="ar"/>
              </w:rPr>
              <w:t>四、结转下年度继续办理</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 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r>
    </w:tbl>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rPr>
        <w:t>政府信息公开行政复议、行政诉讼情况</w:t>
      </w:r>
    </w:p>
    <w:tbl>
      <w:tblPr>
        <w:tblStyle w:val="4"/>
        <w:tblW w:w="9071" w:type="dxa"/>
        <w:jc w:val="center"/>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行政复议</w:t>
            </w:r>
          </w:p>
        </w:tc>
        <w:tc>
          <w:tcPr>
            <w:tcW w:w="5997" w:type="dxa"/>
            <w:gridSpan w:val="10"/>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04" w:type="dxa"/>
            <w:vMerge w:val="restart"/>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结果维持</w:t>
            </w:r>
          </w:p>
        </w:tc>
        <w:tc>
          <w:tcPr>
            <w:tcW w:w="604" w:type="dxa"/>
            <w:vMerge w:val="restart"/>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结果纠正</w:t>
            </w:r>
          </w:p>
        </w:tc>
        <w:tc>
          <w:tcPr>
            <w:tcW w:w="604" w:type="dxa"/>
            <w:vMerge w:val="restart"/>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其他结果</w:t>
            </w:r>
          </w:p>
        </w:tc>
        <w:tc>
          <w:tcPr>
            <w:tcW w:w="604" w:type="dxa"/>
            <w:vMerge w:val="restart"/>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尚未审结</w:t>
            </w:r>
          </w:p>
        </w:tc>
        <w:tc>
          <w:tcPr>
            <w:tcW w:w="658" w:type="dxa"/>
            <w:vMerge w:val="restart"/>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总计</w:t>
            </w:r>
          </w:p>
        </w:tc>
        <w:tc>
          <w:tcPr>
            <w:tcW w:w="2970" w:type="dxa"/>
            <w:gridSpan w:val="5"/>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未经复议直接起诉</w:t>
            </w:r>
          </w:p>
        </w:tc>
        <w:tc>
          <w:tcPr>
            <w:tcW w:w="3027" w:type="dxa"/>
            <w:gridSpan w:val="5"/>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04"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604" w:type="dxa"/>
            <w:vMerge w:val="continue"/>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604" w:type="dxa"/>
            <w:vMerge w:val="continue"/>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604" w:type="dxa"/>
            <w:vMerge w:val="continue"/>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658" w:type="dxa"/>
            <w:vMerge w:val="continue"/>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textAlignment w:val="auto"/>
              <w:rPr>
                <w:rFonts w:hint="eastAsia" w:ascii="宋体"/>
                <w:color w:val="000000"/>
                <w:sz w:val="24"/>
              </w:rPr>
            </w:pPr>
          </w:p>
        </w:tc>
        <w:tc>
          <w:tcPr>
            <w:tcW w:w="55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结果维持</w:t>
            </w:r>
          </w:p>
        </w:tc>
        <w:tc>
          <w:tcPr>
            <w:tcW w:w="60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结果纠正</w:t>
            </w:r>
          </w:p>
        </w:tc>
        <w:tc>
          <w:tcPr>
            <w:tcW w:w="605"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其他结果</w:t>
            </w:r>
          </w:p>
        </w:tc>
        <w:tc>
          <w:tcPr>
            <w:tcW w:w="605"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尚未审结</w:t>
            </w:r>
          </w:p>
        </w:tc>
        <w:tc>
          <w:tcPr>
            <w:tcW w:w="605"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总计</w:t>
            </w:r>
          </w:p>
        </w:tc>
        <w:tc>
          <w:tcPr>
            <w:tcW w:w="605"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结果维持</w:t>
            </w:r>
          </w:p>
        </w:tc>
        <w:tc>
          <w:tcPr>
            <w:tcW w:w="605"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结果纠正</w:t>
            </w:r>
          </w:p>
        </w:tc>
        <w:tc>
          <w:tcPr>
            <w:tcW w:w="605"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其他结果</w:t>
            </w:r>
          </w:p>
        </w:tc>
        <w:tc>
          <w:tcPr>
            <w:tcW w:w="606"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尚未审结</w:t>
            </w:r>
          </w:p>
        </w:tc>
        <w:tc>
          <w:tcPr>
            <w:tcW w:w="606"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color w:val="000000"/>
              </w:rPr>
            </w:pPr>
            <w:r>
              <w:rPr>
                <w:rFonts w:hint="eastAsia" w:ascii="宋体" w:hAnsi="宋体" w:cs="宋体"/>
                <w:color w:val="000000"/>
                <w:kern w:val="0"/>
                <w:sz w:val="20"/>
                <w:szCs w:val="20"/>
                <w:lang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04" w:type="dxa"/>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60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60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60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658"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55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60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60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60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60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60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60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60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60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0 </w:t>
            </w:r>
          </w:p>
        </w:tc>
        <w:tc>
          <w:tcPr>
            <w:tcW w:w="60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textAlignment w:val="auto"/>
              <w:rPr>
                <w:rFonts w:hint="eastAsia"/>
                <w:color w:val="000000"/>
                <w:lang w:val="en-US" w:eastAsia="zh-CN"/>
              </w:rPr>
            </w:pPr>
            <w:r>
              <w:rPr>
                <w:rFonts w:hint="eastAsia"/>
                <w:color w:val="000000"/>
                <w:lang w:val="en-US" w:eastAsia="zh-CN"/>
              </w:rPr>
              <w:t>0</w:t>
            </w:r>
          </w:p>
        </w:tc>
      </w:tr>
    </w:tbl>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黑体" w:hAnsi="黑体" w:eastAsia="黑体" w:cs="黑体"/>
          <w:sz w:val="32"/>
          <w:szCs w:val="32"/>
          <w:lang w:eastAsia="zh-CN"/>
        </w:rPr>
        <w:t>五、存在的主要问题及改进情况</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楷体_GB2312" w:hAnsi="楷体_GB2312" w:eastAsia="楷体_GB2312" w:cs="楷体_GB2312"/>
          <w:sz w:val="32"/>
          <w:szCs w:val="32"/>
          <w:lang w:eastAsia="zh-CN"/>
        </w:rPr>
        <w:t>（一）存在的主要问题</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一是进一步强化主动公开意识。对政府信息公开工作的重要性认识不够，认识有待深化，片面认为政府信息公开工作与本部门工作职责关系不大，影响信息公开的时效性、内容的完整性。</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二是进一步提高信息公开效率。由于政府信息公开工作力量较为薄弱，加之各项事务性工作繁多，导致更新政府信息不够及时。</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楷体_GB2312" w:hAnsi="楷体_GB2312" w:eastAsia="楷体_GB2312" w:cs="楷体_GB2312"/>
          <w:sz w:val="32"/>
          <w:szCs w:val="32"/>
          <w:lang w:eastAsia="zh-CN"/>
        </w:rPr>
        <w:t>（二）改进情况</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一是加大宣传教育力度。</w:t>
      </w:r>
      <w:r>
        <w:rPr>
          <w:rFonts w:hint="eastAsia" w:ascii="仿宋_GB2312" w:hAnsi="仿宋_GB2312" w:eastAsia="仿宋_GB2312" w:cs="仿宋_GB2312"/>
          <w:b w:val="0"/>
          <w:bCs w:val="0"/>
          <w:sz w:val="32"/>
          <w:szCs w:val="32"/>
        </w:rPr>
        <w:t>积极开展</w:t>
      </w:r>
      <w:r>
        <w:rPr>
          <w:rFonts w:hint="eastAsia" w:ascii="仿宋_GB2312" w:hAnsi="仿宋_GB2312" w:eastAsia="仿宋_GB2312" w:cs="仿宋_GB2312"/>
          <w:b w:val="0"/>
          <w:bCs w:val="0"/>
          <w:sz w:val="32"/>
          <w:szCs w:val="32"/>
          <w:lang w:eastAsia="zh-CN"/>
        </w:rPr>
        <w:t>针对</w:t>
      </w:r>
      <w:r>
        <w:rPr>
          <w:rFonts w:hint="eastAsia" w:ascii="仿宋_GB2312" w:hAnsi="仿宋_GB2312" w:eastAsia="仿宋_GB2312" w:cs="仿宋_GB2312"/>
          <w:b w:val="0"/>
          <w:bCs w:val="0"/>
          <w:sz w:val="32"/>
          <w:szCs w:val="32"/>
        </w:rPr>
        <w:t>全体</w:t>
      </w:r>
      <w:r>
        <w:rPr>
          <w:rFonts w:hint="eastAsia" w:ascii="仿宋_GB2312" w:hAnsi="仿宋_GB2312" w:eastAsia="仿宋_GB2312" w:cs="仿宋_GB2312"/>
          <w:b w:val="0"/>
          <w:bCs w:val="0"/>
          <w:sz w:val="32"/>
          <w:szCs w:val="32"/>
          <w:lang w:eastAsia="zh-CN"/>
        </w:rPr>
        <w:t>工作人员</w:t>
      </w:r>
      <w:r>
        <w:rPr>
          <w:rFonts w:hint="eastAsia" w:ascii="仿宋_GB2312" w:hAnsi="仿宋_GB2312" w:eastAsia="仿宋_GB2312" w:cs="仿宋_GB2312"/>
          <w:b w:val="0"/>
          <w:bCs w:val="0"/>
          <w:sz w:val="32"/>
          <w:szCs w:val="32"/>
        </w:rPr>
        <w:t>的</w:t>
      </w:r>
      <w:r>
        <w:rPr>
          <w:rFonts w:hint="eastAsia" w:ascii="仿宋_GB2312" w:hAnsi="仿宋_GB2312" w:eastAsia="仿宋_GB2312" w:cs="仿宋_GB2312"/>
          <w:b w:val="0"/>
          <w:bCs w:val="0"/>
          <w:sz w:val="32"/>
          <w:szCs w:val="32"/>
          <w:lang w:eastAsia="zh-CN"/>
        </w:rPr>
        <w:t>政府信息公开宣传</w:t>
      </w:r>
      <w:r>
        <w:rPr>
          <w:rFonts w:hint="eastAsia" w:ascii="仿宋_GB2312" w:hAnsi="仿宋_GB2312" w:eastAsia="仿宋_GB2312" w:cs="仿宋_GB2312"/>
          <w:b w:val="0"/>
          <w:bCs w:val="0"/>
          <w:sz w:val="32"/>
          <w:szCs w:val="32"/>
        </w:rPr>
        <w:t>教育</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充分利用</w:t>
      </w:r>
      <w:r>
        <w:rPr>
          <w:rFonts w:hint="eastAsia" w:ascii="仿宋_GB2312" w:hAnsi="仿宋_GB2312" w:eastAsia="仿宋_GB2312" w:cs="仿宋_GB2312"/>
          <w:b w:val="0"/>
          <w:bCs w:val="0"/>
          <w:sz w:val="32"/>
          <w:szCs w:val="32"/>
          <w:lang w:eastAsia="zh-CN"/>
        </w:rPr>
        <w:t>青年论坛</w:t>
      </w:r>
      <w:r>
        <w:rPr>
          <w:rFonts w:hint="eastAsia" w:ascii="仿宋_GB2312" w:hAnsi="仿宋_GB2312" w:eastAsia="仿宋_GB2312" w:cs="仿宋_GB2312"/>
          <w:b w:val="0"/>
          <w:bCs w:val="0"/>
          <w:sz w:val="32"/>
          <w:szCs w:val="32"/>
        </w:rPr>
        <w:t>等载体，对</w:t>
      </w:r>
      <w:r>
        <w:rPr>
          <w:rFonts w:hint="eastAsia" w:ascii="仿宋_GB2312" w:hAnsi="仿宋_GB2312" w:eastAsia="仿宋_GB2312" w:cs="仿宋_GB2312"/>
          <w:b w:val="0"/>
          <w:bCs w:val="0"/>
          <w:sz w:val="32"/>
          <w:szCs w:val="32"/>
          <w:lang w:eastAsia="zh-CN"/>
        </w:rPr>
        <w:t>工作人员进行培训</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eastAsia="zh-CN"/>
        </w:rPr>
        <w:t>提高对政府信息公开工作重要性和必要性的认识，自觉支持、参与推进政府信息公开工作。</w:t>
      </w:r>
      <w:r>
        <w:rPr>
          <w:rFonts w:hint="eastAsia" w:ascii="仿宋_GB2312" w:hAnsi="仿宋_GB2312" w:eastAsia="仿宋_GB2312" w:cs="仿宋_GB2312"/>
          <w:b w:val="0"/>
          <w:bCs w:val="0"/>
          <w:sz w:val="32"/>
          <w:szCs w:val="32"/>
        </w:rPr>
        <w:t>同时将</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sz w:val="32"/>
          <w:szCs w:val="32"/>
        </w:rPr>
        <w:t>中华人民共和国政府信息公开条例</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纳入</w:t>
      </w:r>
      <w:r>
        <w:rPr>
          <w:rFonts w:hint="eastAsia" w:ascii="仿宋_GB2312" w:hAnsi="仿宋_GB2312" w:eastAsia="仿宋_GB2312" w:cs="仿宋_GB2312"/>
          <w:b w:val="0"/>
          <w:bCs w:val="0"/>
          <w:sz w:val="32"/>
          <w:szCs w:val="32"/>
          <w:lang w:eastAsia="zh-CN"/>
        </w:rPr>
        <w:t>工作人员</w:t>
      </w:r>
      <w:r>
        <w:rPr>
          <w:rFonts w:hint="eastAsia" w:ascii="仿宋_GB2312" w:hAnsi="仿宋_GB2312" w:eastAsia="仿宋_GB2312" w:cs="仿宋_GB2312"/>
          <w:b w:val="0"/>
          <w:bCs w:val="0"/>
          <w:sz w:val="32"/>
          <w:szCs w:val="32"/>
        </w:rPr>
        <w:t>学习内容，</w:t>
      </w:r>
      <w:r>
        <w:rPr>
          <w:rFonts w:hint="eastAsia" w:ascii="仿宋_GB2312" w:hAnsi="仿宋_GB2312" w:eastAsia="仿宋_GB2312" w:cs="仿宋_GB2312"/>
          <w:b w:val="0"/>
          <w:bCs w:val="0"/>
          <w:sz w:val="32"/>
          <w:szCs w:val="32"/>
          <w:lang w:eastAsia="zh-CN"/>
        </w:rPr>
        <w:t>实现政府信息公开</w:t>
      </w:r>
      <w:r>
        <w:rPr>
          <w:rFonts w:hint="eastAsia" w:ascii="仿宋_GB2312" w:hAnsi="仿宋_GB2312" w:eastAsia="仿宋_GB2312" w:cs="仿宋_GB2312"/>
          <w:b w:val="0"/>
          <w:bCs w:val="0"/>
          <w:sz w:val="32"/>
          <w:szCs w:val="32"/>
        </w:rPr>
        <w:t>教育制度化、经常化。</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是健全完善政府信息公开工作机制。严格按照政府信息公开工作有关要求，提高信息公开质量，把群众最关心、需求最迫切的事项作为政府信息公开的主要内容，及时通过门户网站、政务新媒体发布信息，主动回应社会关切，通过及时公开信息，推动政府工作法治化水平。</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lang w:eastAsia="zh-CN"/>
        </w:rPr>
        <w:t>六、其他需要报告的事项</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如需了解更多信息，请登录http://www.bjmtg.gov.cn查询。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0C5A0C"/>
    <w:multiLevelType w:val="singleLevel"/>
    <w:tmpl w:val="1C0C5A0C"/>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C170A0"/>
    <w:rsid w:val="06784BB0"/>
    <w:rsid w:val="06A12D8D"/>
    <w:rsid w:val="1D4A11F2"/>
    <w:rsid w:val="22BD61F3"/>
    <w:rsid w:val="2AB543B6"/>
    <w:rsid w:val="2C105306"/>
    <w:rsid w:val="32A72F04"/>
    <w:rsid w:val="36C170A0"/>
    <w:rsid w:val="423114CB"/>
    <w:rsid w:val="42E53DC5"/>
    <w:rsid w:val="4A9A7B33"/>
    <w:rsid w:val="4AC040E4"/>
    <w:rsid w:val="53977796"/>
    <w:rsid w:val="540A7131"/>
    <w:rsid w:val="549F4105"/>
    <w:rsid w:val="54DD3723"/>
    <w:rsid w:val="75D43B26"/>
    <w:rsid w:val="76260654"/>
    <w:rsid w:val="771561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annotation text"/>
    <w:basedOn w:val="1"/>
    <w:uiPriority w:val="0"/>
    <w:pPr>
      <w:jc w:val="left"/>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2021-01-04T09:04:00Z</dcterms:created>
  <dc:creator>user</dc:creator>
  <cp:lastModifiedBy>MRX</cp:lastModifiedBy>
  <cp:lastPrinted>2021-01-05T06:25:00Z</cp:lastPrinted>
  <dcterms:modified xsi:type="dcterms:W3CDTF">2021-01-19T03:51:01Z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