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312" w:lineRule="auto"/>
        <w:outlineLvl w:val="1"/>
        <w:rPr>
          <w:rFonts w:cs="Times New Roman" w:asciiTheme="majorEastAsia" w:hAnsiTheme="majorEastAsia" w:eastAsiaTheme="majorEastAsia"/>
          <w:b/>
          <w:bCs/>
          <w:sz w:val="28"/>
          <w:szCs w:val="28"/>
        </w:rPr>
      </w:pPr>
      <w:r>
        <w:rPr>
          <w:rFonts w:hint="eastAsia" w:cs="Times New Roman" w:asciiTheme="majorEastAsia" w:hAnsiTheme="majorEastAsia" w:eastAsiaTheme="majorEastAsia"/>
          <w:b/>
          <w:bCs/>
          <w:sz w:val="28"/>
          <w:szCs w:val="28"/>
        </w:rPr>
        <w:t>附件1-3</w:t>
      </w:r>
    </w:p>
    <w:p>
      <w:pPr>
        <w:widowControl/>
        <w:spacing w:line="560" w:lineRule="exact"/>
        <w:ind w:firstLine="716" w:firstLineChars="200"/>
        <w:jc w:val="center"/>
        <w:rPr>
          <w:rFonts w:ascii="宋体" w:hAnsi="宋体" w:eastAsia="宋体" w:cs="宋体"/>
          <w:b/>
          <w:sz w:val="36"/>
          <w:szCs w:val="36"/>
        </w:rPr>
      </w:pPr>
      <w:r>
        <w:rPr>
          <w:rFonts w:hint="eastAsia" w:ascii="宋体" w:hAnsi="宋体" w:eastAsia="宋体" w:cs="宋体"/>
          <w:b/>
          <w:sz w:val="36"/>
          <w:szCs w:val="36"/>
          <w:lang w:eastAsia="zh-CN"/>
        </w:rPr>
        <w:t>门头沟区司法局</w:t>
      </w:r>
      <w:r>
        <w:rPr>
          <w:rFonts w:hint="eastAsia" w:ascii="宋体" w:hAnsi="宋体" w:eastAsia="宋体" w:cs="宋体"/>
          <w:b/>
          <w:sz w:val="36"/>
          <w:szCs w:val="36"/>
        </w:rPr>
        <w:t>部门</w:t>
      </w:r>
      <w:r>
        <w:rPr>
          <w:rFonts w:ascii="宋体" w:hAnsi="宋体" w:eastAsia="宋体" w:cs="宋体"/>
          <w:b/>
          <w:sz w:val="36"/>
          <w:szCs w:val="36"/>
        </w:rPr>
        <w:t>2024</w:t>
      </w:r>
      <w:r>
        <w:rPr>
          <w:rFonts w:hint="eastAsia" w:ascii="宋体" w:hAnsi="宋体" w:eastAsia="宋体" w:cs="宋体"/>
          <w:b/>
          <w:sz w:val="36"/>
          <w:szCs w:val="36"/>
        </w:rPr>
        <w:t>年度部门整体支出绩效自评报告</w:t>
      </w:r>
    </w:p>
    <w:p>
      <w:pPr>
        <w:widowControl/>
        <w:spacing w:line="560" w:lineRule="exact"/>
        <w:ind w:firstLine="636" w:firstLineChars="200"/>
        <w:rPr>
          <w:rFonts w:ascii="黑体" w:hAnsi="黑体" w:eastAsia="黑体" w:cs="宋体"/>
          <w:sz w:val="32"/>
          <w:szCs w:val="32"/>
        </w:rPr>
      </w:pPr>
    </w:p>
    <w:p>
      <w:pPr>
        <w:widowControl/>
        <w:adjustRightInd w:val="0"/>
        <w:snapToGrid w:val="0"/>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一、部门概况</w:t>
      </w:r>
    </w:p>
    <w:p>
      <w:pPr>
        <w:adjustRightInd w:val="0"/>
        <w:snapToGrid w:val="0"/>
        <w:spacing w:line="520" w:lineRule="exact"/>
        <w:ind w:firstLine="636" w:firstLineChars="200"/>
        <w:rPr>
          <w:rFonts w:ascii="楷体_GB2312" w:hAnsi="仿宋" w:eastAsia="楷体_GB2312" w:cs="Times New Roman"/>
          <w:b/>
          <w:sz w:val="32"/>
          <w:szCs w:val="32"/>
        </w:rPr>
      </w:pPr>
      <w:bookmarkStart w:id="0" w:name="_Toc268005755"/>
      <w:r>
        <w:rPr>
          <w:rFonts w:hint="eastAsia" w:ascii="楷体_GB2312" w:hAnsi="仿宋" w:eastAsia="楷体_GB2312" w:cs="Times New Roman"/>
          <w:b/>
          <w:sz w:val="32"/>
          <w:szCs w:val="32"/>
        </w:rPr>
        <w:t>（一）部门职责情况</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1.承担全面依法治区重大问题的政策研究，协调有关方面提出全面依法治区中长期规划建议，负责有关重大决策部署督察工作。</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承担以区政府或者区政府办名义执法的规范性文件、报请区政府会议审议和区政府审批的涉及法律问题的有关文件或者事项的合法性审核工作。协助市级部门做好区政府和区政府办公室制定的规范性文件的备案审查工作。</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3.承担统筹推进本区法治政府建设的责任。指导、监督区政府各部门和乡镇政府依法行政工作。负责综合协调行政执法，承担推进行政执法体制改革有关工作，推进严格规范公正文明执法。指导、监督全区行政复议和行政应诉工作，负责行政复议、行政赔偿案件办理工作。承办区政府行政诉讼的应诉代理工作。承办由市政府裁决的区政府行政复议案件的有关工作。</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4.承担统筹规划本区法治社会建设的责任。负责拟定法治宣传教育规划，组织实施普法宣传工作。推动人民参与和促进法治建设。指导依法治理和法治创建工作。指导调解工作和人民陪审员、人民监督员选任管理工作，推进司法所建设。</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5.指导、监督本区社区矫正工作和刑满释放人员安置帮教工作。</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6.负责拟订本区公共法律服务体系建设规划并组织实施，统筹和布局城乡、区域法律服务资源。指导、监督律师、法律援助、司法鉴定、公证和基层法律服务管理工作。</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7.负责组织本区国家统一法律资格考试的考务等工作。</w:t>
      </w:r>
    </w:p>
    <w:p>
      <w:pPr>
        <w:snapToGrid w:val="0"/>
        <w:spacing w:line="520" w:lineRule="exact"/>
        <w:ind w:firstLine="636"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8.规划、协调、指导本区法治人才队伍建设相关工作，指导、监督本系统队伍建设。</w:t>
      </w:r>
    </w:p>
    <w:p>
      <w:pPr>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9.完成区委、区政府交办的其他任务。</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（二）部门机构设置情况</w:t>
      </w:r>
    </w:p>
    <w:p>
      <w:pPr>
        <w:snapToGrid w:val="0"/>
        <w:spacing w:line="520" w:lineRule="exact"/>
        <w:ind w:firstLine="636" w:firstLineChars="200"/>
        <w:rPr>
          <w:rFonts w:ascii="仿宋_GB2312" w:eastAsia="仿宋_GB2312"/>
          <w:sz w:val="28"/>
          <w:szCs w:val="32"/>
        </w:rPr>
      </w:pPr>
      <w:r>
        <w:rPr>
          <w:rFonts w:hint="eastAsia" w:ascii="仿宋_GB2312" w:hAnsi="仿宋" w:eastAsia="仿宋_GB2312" w:cs="Times New Roman"/>
          <w:sz w:val="32"/>
          <w:szCs w:val="32"/>
        </w:rPr>
        <w:t>本部门共设</w:t>
      </w:r>
      <w:r>
        <w:rPr>
          <w:rFonts w:hint="eastAsia" w:ascii="仿宋_GB2312" w:hAnsi="仿宋" w:eastAsia="仿宋_GB2312" w:cs="Times New Roman"/>
          <w:sz w:val="32"/>
          <w:szCs w:val="32"/>
          <w:lang w:val="en-US" w:eastAsia="zh-CN"/>
        </w:rPr>
        <w:t>8</w:t>
      </w:r>
      <w:r>
        <w:rPr>
          <w:rFonts w:hint="eastAsia" w:ascii="仿宋_GB2312" w:hAnsi="仿宋" w:eastAsia="仿宋_GB2312" w:cs="Times New Roman"/>
          <w:sz w:val="32"/>
          <w:szCs w:val="32"/>
        </w:rPr>
        <w:t>个内设机构</w:t>
      </w:r>
      <w:r>
        <w:rPr>
          <w:rFonts w:hint="eastAsia" w:ascii="仿宋_GB2312" w:hAnsi="仿宋" w:eastAsia="仿宋_GB2312" w:cs="Times New Roman"/>
          <w:sz w:val="32"/>
          <w:szCs w:val="32"/>
          <w:lang w:eastAsia="zh-CN"/>
        </w:rPr>
        <w:t>和</w:t>
      </w:r>
      <w:r>
        <w:rPr>
          <w:rFonts w:hint="eastAsia" w:ascii="仿宋_GB2312" w:hAnsi="仿宋" w:eastAsia="仿宋_GB2312" w:cs="Times New Roman"/>
          <w:sz w:val="32"/>
          <w:szCs w:val="32"/>
          <w:lang w:val="en-US" w:eastAsia="zh-CN"/>
        </w:rPr>
        <w:t>3个全额拨款事业单位</w:t>
      </w:r>
      <w:r>
        <w:rPr>
          <w:rFonts w:hint="eastAsia" w:ascii="仿宋_GB2312" w:hAnsi="仿宋" w:eastAsia="仿宋_GB2312" w:cs="Times New Roman"/>
          <w:sz w:val="32"/>
          <w:szCs w:val="32"/>
        </w:rPr>
        <w:t>，</w:t>
      </w:r>
      <w:r>
        <w:rPr>
          <w:rFonts w:hint="eastAsia" w:ascii="仿宋_GB2312" w:hAnsi="仿宋" w:eastAsia="仿宋_GB2312" w:cs="Times New Roman"/>
          <w:sz w:val="32"/>
          <w:szCs w:val="32"/>
          <w:lang w:val="en-US" w:eastAsia="zh-CN"/>
        </w:rPr>
        <w:t>8个内设机构</w:t>
      </w:r>
      <w:r>
        <w:rPr>
          <w:rFonts w:hint="eastAsia" w:ascii="仿宋_GB2312" w:hAnsi="仿宋" w:eastAsia="仿宋_GB2312" w:cs="Times New Roman"/>
          <w:sz w:val="32"/>
          <w:szCs w:val="32"/>
          <w:lang w:eastAsia="zh-CN"/>
        </w:rPr>
        <w:t>分别为：办公室、行政复议应诉科、法治审核监督科、基层建设和矫正帮教科、普法和公共法律服务科、法律服务监督管理科、依法治区办秘书科、政工科。</w:t>
      </w:r>
      <w:r>
        <w:rPr>
          <w:rFonts w:hint="eastAsia" w:ascii="仿宋_GB2312" w:hAnsi="仿宋" w:eastAsia="仿宋_GB2312" w:cs="Times New Roman"/>
          <w:sz w:val="32"/>
          <w:szCs w:val="32"/>
          <w:lang w:val="en-US" w:eastAsia="zh-CN"/>
        </w:rPr>
        <w:t>3个全额拨款事业单位分别为：</w:t>
      </w:r>
      <w:r>
        <w:rPr>
          <w:rFonts w:hint="eastAsia" w:ascii="仿宋_GB2312" w:hAnsi="仿宋" w:eastAsia="仿宋_GB2312" w:cs="Times New Roman"/>
          <w:sz w:val="32"/>
          <w:szCs w:val="32"/>
          <w:lang w:eastAsia="zh-CN"/>
        </w:rPr>
        <w:t>北京市门头沟区阳光中途之家、北京市门头沟区法律援助中心、北京市门头沟区行政复议调解事务中心。</w:t>
      </w:r>
      <w:r>
        <w:rPr>
          <w:rFonts w:ascii="仿宋_GB2312" w:eastAsia="仿宋_GB2312"/>
          <w:sz w:val="28"/>
          <w:szCs w:val="32"/>
        </w:rPr>
        <w:t xml:space="preserve"> </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w:t>
      </w:r>
      <w:r>
        <w:rPr>
          <w:rFonts w:ascii="楷体_GB2312" w:hAnsi="仿宋" w:eastAsia="楷体_GB2312" w:cs="Times New Roman"/>
          <w:b/>
          <w:sz w:val="32"/>
          <w:szCs w:val="32"/>
        </w:rPr>
        <w:t>2024</w:t>
      </w:r>
      <w:r>
        <w:rPr>
          <w:rFonts w:hint="eastAsia" w:ascii="楷体_GB2312" w:hAnsi="仿宋" w:eastAsia="楷体_GB2312" w:cs="Times New Roman"/>
          <w:b/>
          <w:sz w:val="32"/>
          <w:szCs w:val="32"/>
        </w:rPr>
        <w:t>年主要工作任务</w:t>
      </w:r>
    </w:p>
    <w:bookmarkEnd w:id="0"/>
    <w:p>
      <w:pPr>
        <w:widowControl/>
        <w:adjustRightInd w:val="0"/>
        <w:snapToGrid w:val="0"/>
        <w:spacing w:line="520" w:lineRule="exact"/>
        <w:ind w:firstLine="636" w:firstLineChars="200"/>
        <w:rPr>
          <w:rFonts w:hint="eastAsia" w:ascii="仿宋_GB2312" w:hAnsi="仿宋" w:eastAsia="仿宋_GB2312" w:cs="Times New Roman"/>
          <w:sz w:val="32"/>
          <w:szCs w:val="32"/>
        </w:rPr>
      </w:pPr>
      <w:bookmarkStart w:id="1" w:name="_Toc268005759"/>
      <w:bookmarkStart w:id="2" w:name="_Toc263686375"/>
      <w:r>
        <w:rPr>
          <w:rFonts w:hint="eastAsia" w:ascii="仿宋_GB2312" w:hAnsi="仿宋" w:eastAsia="仿宋_GB2312" w:cs="Times New Roman"/>
          <w:sz w:val="32"/>
          <w:szCs w:val="32"/>
        </w:rPr>
        <w:t>重点阐述部门年度市区政府重点工作任务、部门履职重点任务等。可以文字表述，也可以表格形式展示。</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highlight w:val="none"/>
          <w:lang w:val="en-US" w:eastAsia="zh-CN"/>
        </w:rPr>
        <w:t>（一）</w:t>
      </w:r>
      <w:r>
        <w:rPr>
          <w:rFonts w:hint="eastAsia" w:ascii="楷体_GB2312" w:hAnsi="楷体_GB2312" w:eastAsia="楷体_GB2312" w:cs="楷体_GB2312"/>
          <w:sz w:val="32"/>
          <w:szCs w:val="32"/>
          <w:lang w:val="en-US" w:eastAsia="zh-CN"/>
        </w:rPr>
        <w:t>坚持</w:t>
      </w:r>
      <w:r>
        <w:rPr>
          <w:rFonts w:hint="eastAsia" w:ascii="楷体_GB2312" w:hAnsi="楷体_GB2312" w:eastAsia="楷体_GB2312" w:cs="楷体_GB2312"/>
          <w:sz w:val="32"/>
          <w:szCs w:val="32"/>
        </w:rPr>
        <w:t>政治引领，持续加强司法行政铁军建设</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color w:val="auto"/>
          <w:sz w:val="32"/>
          <w:szCs w:val="32"/>
          <w:highlight w:val="none"/>
          <w:shd w:val="clear" w:color="auto" w:fill="auto"/>
          <w:lang w:val="en-US" w:eastAsia="zh-CN" w:bidi="ar"/>
        </w:rPr>
        <w:t>一是推进模范机关创建。</w:t>
      </w:r>
      <w:r>
        <w:rPr>
          <w:rFonts w:hint="eastAsia" w:ascii="仿宋_GB2312" w:hAnsi="仿宋_GB2312" w:eastAsia="仿宋_GB2312" w:cs="仿宋_GB2312"/>
          <w:color w:val="auto"/>
          <w:sz w:val="32"/>
          <w:szCs w:val="32"/>
          <w:highlight w:val="none"/>
          <w:shd w:val="clear" w:color="auto" w:fill="auto"/>
          <w:lang w:eastAsia="zh-CN" w:bidi="ar"/>
        </w:rPr>
        <w:t>制发《门头沟区司法局关于以机关党建高质量发展引领模范机关建设的实施方案》，以机关党建高质量发展引领模范机关建设，互动互融推进模范机关建设，</w:t>
      </w:r>
      <w:r>
        <w:rPr>
          <w:rFonts w:hint="eastAsia" w:ascii="仿宋_GB2312" w:hAnsi="仿宋_GB2312" w:eastAsia="仿宋_GB2312" w:cs="仿宋_GB2312"/>
          <w:spacing w:val="0"/>
          <w:sz w:val="32"/>
          <w:szCs w:val="32"/>
          <w:lang w:val="en-US" w:eastAsia="zh-CN"/>
        </w:rPr>
        <w:t>初步形成“5248”工作法构建模范机关建设新格局工作经验</w:t>
      </w:r>
      <w:r>
        <w:rPr>
          <w:rFonts w:hint="eastAsia" w:ascii="仿宋_GB2312" w:hAnsi="仿宋_GB2312" w:eastAsia="仿宋_GB2312" w:cs="仿宋_GB2312"/>
          <w:color w:val="auto"/>
          <w:sz w:val="32"/>
          <w:szCs w:val="32"/>
          <w:highlight w:val="none"/>
          <w:shd w:val="clear" w:color="auto" w:fill="auto"/>
          <w:lang w:eastAsia="zh-CN" w:bidi="ar"/>
        </w:rPr>
        <w:t>。</w:t>
      </w:r>
      <w:r>
        <w:rPr>
          <w:rFonts w:hint="eastAsia" w:ascii="仿宋_GB2312" w:hAnsi="仿宋_GB2312" w:eastAsia="仿宋_GB2312" w:cs="仿宋_GB2312"/>
          <w:b/>
          <w:bCs/>
          <w:color w:val="auto"/>
          <w:sz w:val="32"/>
          <w:szCs w:val="32"/>
          <w:highlight w:val="none"/>
          <w:shd w:val="clear" w:color="auto" w:fill="auto"/>
          <w:lang w:val="en-US" w:eastAsia="zh-CN" w:bidi="ar"/>
        </w:rPr>
        <w:t>二是深化党建业务融合。</w:t>
      </w:r>
      <w:r>
        <w:rPr>
          <w:rFonts w:hint="eastAsia" w:ascii="仿宋_GB2312" w:hAnsi="仿宋_GB2312" w:eastAsia="仿宋_GB2312" w:cs="仿宋_GB2312"/>
          <w:color w:val="auto"/>
          <w:sz w:val="32"/>
          <w:szCs w:val="32"/>
          <w:highlight w:val="none"/>
          <w:shd w:val="clear" w:color="auto" w:fill="auto"/>
          <w:lang w:eastAsia="zh-CN" w:bidi="ar"/>
        </w:rPr>
        <w:t>擦亮</w:t>
      </w:r>
      <w:r>
        <w:rPr>
          <w:rFonts w:hint="eastAsia" w:ascii="仿宋_GB2312" w:hAnsi="仿宋_GB2312" w:eastAsia="仿宋_GB2312" w:cs="仿宋_GB2312"/>
          <w:color w:val="auto"/>
          <w:sz w:val="32"/>
          <w:szCs w:val="32"/>
          <w:highlight w:val="none"/>
          <w:shd w:val="clear" w:color="auto" w:fill="auto"/>
          <w:lang w:val="en-US" w:eastAsia="zh-CN" w:bidi="ar"/>
        </w:rPr>
        <w:t>“司·享·汇”干部学习品牌，</w:t>
      </w:r>
      <w:r>
        <w:rPr>
          <w:rFonts w:hint="eastAsia" w:ascii="仿宋_GB2312" w:hAnsi="仿宋_GB2312" w:eastAsia="仿宋_GB2312" w:cs="仿宋_GB2312"/>
          <w:color w:val="auto"/>
          <w:sz w:val="32"/>
          <w:szCs w:val="32"/>
          <w:highlight w:val="none"/>
          <w:shd w:val="clear" w:color="auto" w:fill="auto"/>
          <w:lang w:eastAsia="zh-CN" w:bidi="ar"/>
        </w:rPr>
        <w:t>创新</w:t>
      </w:r>
      <w:r>
        <w:rPr>
          <w:rFonts w:hint="eastAsia" w:ascii="仿宋_GB2312" w:hAnsi="仿宋_GB2312" w:eastAsia="仿宋_GB2312" w:cs="仿宋_GB2312"/>
          <w:color w:val="auto"/>
          <w:sz w:val="32"/>
          <w:szCs w:val="32"/>
          <w:highlight w:val="none"/>
          <w:shd w:val="clear" w:color="auto" w:fill="auto"/>
          <w:lang w:val="en-US" w:eastAsia="zh-CN" w:bidi="ar"/>
        </w:rPr>
        <w:t>开展共建联学</w:t>
      </w:r>
      <w:r>
        <w:rPr>
          <w:rFonts w:hint="eastAsia" w:ascii="仿宋_GB2312" w:hAnsi="仿宋_GB2312" w:eastAsia="仿宋_GB2312" w:cs="仿宋_GB2312"/>
          <w:color w:val="auto"/>
          <w:sz w:val="32"/>
          <w:szCs w:val="32"/>
          <w:highlight w:val="none"/>
          <w:shd w:val="clear" w:color="auto" w:fill="auto"/>
          <w:lang w:bidi="ar"/>
        </w:rPr>
        <w:t>同堂培训</w:t>
      </w:r>
      <w:r>
        <w:rPr>
          <w:rFonts w:hint="eastAsia" w:ascii="仿宋_GB2312" w:hAnsi="仿宋_GB2312" w:eastAsia="仿宋_GB2312" w:cs="仿宋_GB2312"/>
          <w:color w:val="auto"/>
          <w:sz w:val="32"/>
          <w:szCs w:val="32"/>
          <w:highlight w:val="none"/>
          <w:shd w:val="clear" w:color="auto" w:fill="auto"/>
          <w:lang w:eastAsia="zh-CN" w:bidi="ar"/>
        </w:rPr>
        <w:t>、“</w:t>
      </w:r>
      <w:r>
        <w:rPr>
          <w:rFonts w:hint="eastAsia" w:ascii="仿宋_GB2312" w:hAnsi="仿宋_GB2312" w:eastAsia="仿宋_GB2312" w:cs="仿宋_GB2312"/>
          <w:color w:val="auto"/>
          <w:sz w:val="32"/>
          <w:szCs w:val="32"/>
          <w:highlight w:val="none"/>
          <w:shd w:val="clear" w:color="auto" w:fill="auto"/>
          <w:lang w:val="en-US" w:eastAsia="zh-CN" w:bidi="ar"/>
        </w:rPr>
        <w:t>青年干警说</w:t>
      </w:r>
      <w:r>
        <w:rPr>
          <w:rFonts w:hint="eastAsia" w:ascii="仿宋_GB2312" w:hAnsi="仿宋_GB2312" w:eastAsia="仿宋_GB2312" w:cs="仿宋_GB2312"/>
          <w:color w:val="auto"/>
          <w:sz w:val="32"/>
          <w:szCs w:val="32"/>
          <w:highlight w:val="none"/>
          <w:shd w:val="clear" w:color="auto" w:fill="auto"/>
          <w:lang w:eastAsia="zh-CN" w:bidi="ar"/>
        </w:rPr>
        <w:t>”、外派干部分享会、</w:t>
      </w:r>
      <w:r>
        <w:rPr>
          <w:rFonts w:hint="eastAsia" w:ascii="仿宋_GB2312" w:hAnsi="仿宋_GB2312" w:eastAsia="仿宋_GB2312" w:cs="仿宋_GB2312"/>
          <w:color w:val="auto"/>
          <w:sz w:val="32"/>
          <w:szCs w:val="32"/>
          <w:highlight w:val="none"/>
          <w:shd w:val="clear" w:color="auto" w:fill="auto"/>
          <w:lang w:val="en-US" w:eastAsia="zh-CN" w:bidi="ar"/>
        </w:rPr>
        <w:t>专题党纪学习教育</w:t>
      </w:r>
      <w:r>
        <w:rPr>
          <w:rFonts w:hint="eastAsia" w:ascii="仿宋_GB2312" w:hAnsi="仿宋_GB2312" w:eastAsia="仿宋_GB2312" w:cs="仿宋_GB2312"/>
          <w:color w:val="auto"/>
          <w:sz w:val="32"/>
          <w:szCs w:val="32"/>
          <w:highlight w:val="none"/>
          <w:shd w:val="clear" w:color="auto" w:fill="auto"/>
          <w:lang w:eastAsia="zh-CN" w:bidi="ar"/>
        </w:rPr>
        <w:t>等特色学习活动，</w:t>
      </w:r>
      <w:r>
        <w:rPr>
          <w:rFonts w:hint="eastAsia" w:ascii="仿宋_GB2312" w:hAnsi="仿宋_GB2312" w:eastAsia="仿宋_GB2312" w:cs="仿宋_GB2312"/>
          <w:color w:val="auto"/>
          <w:sz w:val="32"/>
          <w:szCs w:val="32"/>
          <w:highlight w:val="none"/>
          <w:shd w:val="clear" w:color="auto" w:fill="auto"/>
          <w:lang w:val="en-US" w:eastAsia="zh-CN" w:bidi="ar"/>
        </w:rPr>
        <w:t>通过系统学习、思想碰撞、以知促行；拓展窗口“益先锋”党建品牌内涵</w:t>
      </w:r>
      <w:r>
        <w:rPr>
          <w:rFonts w:hint="eastAsia" w:ascii="仿宋_GB2312" w:hAnsi="仿宋_GB2312" w:eastAsia="仿宋_GB2312" w:cs="仿宋_GB2312"/>
          <w:color w:val="auto"/>
          <w:sz w:val="32"/>
          <w:szCs w:val="32"/>
          <w:highlight w:val="none"/>
          <w:shd w:val="clear" w:color="auto" w:fill="auto"/>
          <w:lang w:eastAsia="zh-CN" w:bidi="ar"/>
        </w:rPr>
        <w:t>，深入开展“亮身份、践承诺”等实践活动，</w:t>
      </w:r>
      <w:r>
        <w:rPr>
          <w:rFonts w:hint="eastAsia" w:ascii="仿宋_GB2312" w:hAnsi="仿宋_GB2312" w:eastAsia="仿宋_GB2312" w:cs="仿宋_GB2312"/>
          <w:color w:val="auto"/>
          <w:sz w:val="32"/>
          <w:szCs w:val="32"/>
          <w:highlight w:val="none"/>
          <w:shd w:val="clear" w:color="auto" w:fill="auto"/>
          <w:lang w:val="en-US" w:eastAsia="zh-CN" w:bidi="ar"/>
        </w:rPr>
        <w:t>用小窗口织密公共法律服务网，深化干部为民服务意识，提升群众工作能力。</w:t>
      </w:r>
      <w:r>
        <w:rPr>
          <w:rFonts w:hint="eastAsia" w:ascii="仿宋_GB2312" w:hAnsi="仿宋_GB2312" w:eastAsia="仿宋_GB2312" w:cs="仿宋_GB2312"/>
          <w:b w:val="0"/>
          <w:bCs w:val="0"/>
          <w:sz w:val="32"/>
          <w:szCs w:val="32"/>
          <w:lang w:val="en-US" w:eastAsia="zh-CN"/>
        </w:rPr>
        <w:t>该品牌</w:t>
      </w:r>
      <w:r>
        <w:rPr>
          <w:rFonts w:hint="eastAsia" w:ascii="仿宋_GB2312" w:hAnsi="仿宋_GB2312" w:eastAsia="仿宋_GB2312" w:cs="仿宋_GB2312"/>
          <w:sz w:val="32"/>
          <w:szCs w:val="32"/>
          <w:lang w:val="en-US" w:eastAsia="zh-CN"/>
        </w:rPr>
        <w:t>获市委政法委“微创新·强党建”专栏推介。</w:t>
      </w:r>
      <w:r>
        <w:rPr>
          <w:rFonts w:hint="eastAsia" w:ascii="仿宋_GB2312" w:hAnsi="仿宋_GB2312" w:eastAsia="仿宋_GB2312" w:cs="仿宋_GB2312"/>
          <w:b/>
          <w:bCs/>
          <w:color w:val="auto"/>
          <w:sz w:val="32"/>
          <w:szCs w:val="32"/>
          <w:highlight w:val="none"/>
          <w:shd w:val="clear" w:color="auto" w:fill="auto"/>
          <w:lang w:eastAsia="zh-CN" w:bidi="ar"/>
        </w:rPr>
        <w:t>三</w:t>
      </w:r>
      <w:r>
        <w:rPr>
          <w:rFonts w:hint="eastAsia" w:ascii="仿宋_GB2312" w:hAnsi="仿宋_GB2312" w:eastAsia="仿宋_GB2312" w:cs="仿宋_GB2312"/>
          <w:b/>
          <w:bCs/>
          <w:color w:val="auto"/>
          <w:sz w:val="32"/>
          <w:szCs w:val="32"/>
          <w:highlight w:val="none"/>
          <w:shd w:val="clear" w:color="auto" w:fill="auto"/>
          <w:lang w:val="en-US" w:eastAsia="zh-CN" w:bidi="ar"/>
        </w:rPr>
        <w:t>是激发干部内生动力。</w:t>
      </w:r>
      <w:r>
        <w:rPr>
          <w:rFonts w:hint="eastAsia" w:ascii="仿宋_GB2312" w:hAnsi="仿宋_GB2312" w:eastAsia="仿宋_GB2312" w:cs="仿宋_GB2312"/>
          <w:color w:val="auto"/>
          <w:sz w:val="32"/>
          <w:szCs w:val="32"/>
          <w:highlight w:val="none"/>
          <w:shd w:val="clear" w:color="auto" w:fill="auto"/>
          <w:lang w:val="en-US" w:eastAsia="zh-CN" w:bidi="ar"/>
        </w:rPr>
        <w:t>用好“选育管用”“揭榜挂帅”“</w:t>
      </w:r>
      <w:r>
        <w:rPr>
          <w:rFonts w:hint="eastAsia" w:ascii="仿宋_GB2312" w:hAnsi="仿宋_GB2312" w:eastAsia="仿宋_GB2312" w:cs="仿宋_GB2312"/>
          <w:color w:val="auto"/>
          <w:sz w:val="32"/>
          <w:szCs w:val="32"/>
          <w:highlight w:val="none"/>
          <w:shd w:val="clear" w:color="auto" w:fill="auto"/>
          <w:lang w:bidi="ar"/>
        </w:rPr>
        <w:t>查防预治</w:t>
      </w:r>
      <w:r>
        <w:rPr>
          <w:rFonts w:hint="eastAsia" w:ascii="仿宋_GB2312" w:hAnsi="仿宋_GB2312" w:eastAsia="仿宋_GB2312" w:cs="仿宋_GB2312"/>
          <w:color w:val="auto"/>
          <w:sz w:val="32"/>
          <w:szCs w:val="32"/>
          <w:highlight w:val="none"/>
          <w:shd w:val="clear" w:color="auto" w:fill="auto"/>
          <w:lang w:val="en-US" w:eastAsia="zh-CN" w:bidi="ar"/>
        </w:rPr>
        <w:t>”“党员承诺”四项机制，</w:t>
      </w:r>
      <w:r>
        <w:rPr>
          <w:rFonts w:hint="eastAsia" w:ascii="仿宋_GB2312" w:hAnsi="仿宋_GB2312" w:eastAsia="仿宋_GB2312" w:cs="仿宋_GB2312"/>
          <w:color w:val="auto"/>
          <w:sz w:val="32"/>
          <w:szCs w:val="32"/>
          <w:highlight w:val="none"/>
          <w:shd w:val="clear" w:color="auto" w:fill="auto"/>
          <w:lang w:bidi="ar"/>
        </w:rPr>
        <w:t>高标准开展处科长上讲台</w:t>
      </w:r>
      <w:r>
        <w:rPr>
          <w:rFonts w:hint="eastAsia" w:ascii="仿宋_GB2312" w:hAnsi="仿宋_GB2312" w:eastAsia="仿宋_GB2312" w:cs="仿宋_GB2312"/>
          <w:color w:val="auto"/>
          <w:sz w:val="32"/>
          <w:szCs w:val="32"/>
          <w:highlight w:val="none"/>
          <w:shd w:val="clear" w:color="auto" w:fill="auto"/>
          <w:lang w:eastAsia="zh-CN" w:bidi="ar"/>
        </w:rPr>
        <w:t>、</w:t>
      </w:r>
      <w:r>
        <w:rPr>
          <w:rFonts w:hint="eastAsia" w:ascii="仿宋_GB2312" w:hAnsi="仿宋_GB2312" w:eastAsia="仿宋_GB2312" w:cs="仿宋_GB2312"/>
          <w:color w:val="auto"/>
          <w:sz w:val="32"/>
          <w:szCs w:val="32"/>
          <w:highlight w:val="none"/>
          <w:shd w:val="clear" w:color="auto" w:fill="auto"/>
          <w:lang w:bidi="ar"/>
        </w:rPr>
        <w:t>中层干部半年述职“擂台赛”</w:t>
      </w:r>
      <w:r>
        <w:rPr>
          <w:rFonts w:hint="eastAsia" w:ascii="仿宋_GB2312" w:hAnsi="仿宋_GB2312" w:eastAsia="仿宋_GB2312" w:cs="仿宋_GB2312"/>
          <w:color w:val="auto"/>
          <w:sz w:val="32"/>
          <w:szCs w:val="32"/>
          <w:highlight w:val="none"/>
          <w:shd w:val="clear" w:color="auto" w:fill="auto"/>
          <w:lang w:val="en-US" w:eastAsia="zh-CN" w:bidi="ar"/>
        </w:rPr>
        <w:t>、“揭榜挂帅”工作，不断提升干部创业干事能力。年内，开展干部选拔任用、职级晋升3批15人次，在全局树立鲜明的选人用人导向。</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（二）加强统筹协调，全面推进依法治区工作</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bidi="ar"/>
        </w:rPr>
      </w:pPr>
      <w:r>
        <w:rPr>
          <w:rFonts w:hint="eastAsia" w:ascii="仿宋_GB2312" w:hAnsi="仿宋_GB2312" w:eastAsia="仿宋_GB2312" w:cs="仿宋_GB2312"/>
          <w:b/>
          <w:bCs/>
          <w:color w:val="auto"/>
          <w:sz w:val="32"/>
          <w:szCs w:val="32"/>
          <w:highlight w:val="none"/>
          <w:shd w:val="clear" w:color="auto" w:fill="auto"/>
          <w:lang w:val="en-US" w:eastAsia="zh-CN" w:bidi="ar"/>
        </w:rPr>
        <w:t>一是下活“一盘棋”，统筹推进依法治区工作。</w:t>
      </w:r>
      <w:r>
        <w:rPr>
          <w:rFonts w:hint="eastAsia" w:ascii="仿宋_GB2312" w:hAnsi="仿宋_GB2312" w:eastAsia="仿宋_GB2312" w:cs="仿宋_GB2312"/>
          <w:color w:val="auto"/>
          <w:sz w:val="32"/>
          <w:szCs w:val="32"/>
          <w:highlight w:val="none"/>
          <w:shd w:val="clear" w:color="auto" w:fill="auto"/>
          <w:lang w:val="en-US" w:eastAsia="zh-CN" w:bidi="ar"/>
        </w:rPr>
        <w:t>召开区委全面依法治区委员会、区推进依法行政领导小组会，对年度重点工作进行部署；调整区委全面依法治区委员会组成，修订完善相关议事规则，优化依法行政考核指标；压实法治建设责任，通过书面述法等形式实现党政主要负责人述法全覆盖。</w:t>
      </w:r>
      <w:r>
        <w:rPr>
          <w:rFonts w:hint="eastAsia" w:ascii="仿宋_GB2312" w:hAnsi="仿宋_GB2312" w:eastAsia="仿宋_GB2312" w:cs="仿宋_GB2312"/>
          <w:b/>
          <w:bCs/>
          <w:color w:val="auto"/>
          <w:sz w:val="32"/>
          <w:szCs w:val="32"/>
          <w:highlight w:val="none"/>
          <w:shd w:val="clear" w:color="auto" w:fill="auto"/>
          <w:lang w:val="en-US" w:eastAsia="zh-CN" w:bidi="ar"/>
        </w:rPr>
        <w:t>二是卯足“一股劲”，全力推进法治政府建设。</w:t>
      </w:r>
      <w:r>
        <w:rPr>
          <w:rFonts w:hint="eastAsia" w:ascii="仿宋_GB2312" w:hAnsi="仿宋_GB2312" w:eastAsia="仿宋_GB2312" w:cs="仿宋_GB2312"/>
          <w:color w:val="auto"/>
          <w:sz w:val="32"/>
          <w:szCs w:val="32"/>
          <w:highlight w:val="none"/>
          <w:shd w:val="clear" w:color="auto" w:fill="auto"/>
          <w:lang w:val="en-US" w:eastAsia="zh-CN" w:bidi="ar"/>
        </w:rPr>
        <w:t>进一步补短板、强弱项，实施“八大专项行动”，夯实法治政府建设基础；协同区委宣传部将习近平法治思想纳入区委理论学习中心组学习内容，联合区政府办开展区政府常务会会前学法，组织门头沟区领导干部依法行政专题研讨班2期，邀请区委常委、常务副区长杨建海，副区长王垚分别作专题授课，着力提升领导干部依法行政意识；健全完善“府检联动”系列制度，通过召开联席会议、联动开展执法案卷评查等，推深做实“府检联动”运行机制，全力备战全国法治政府建设示范单项创建。</w:t>
      </w:r>
      <w:r>
        <w:rPr>
          <w:rFonts w:hint="eastAsia" w:ascii="仿宋_GB2312" w:hAnsi="仿宋_GB2312" w:eastAsia="仿宋_GB2312" w:cs="仿宋_GB2312"/>
          <w:b/>
          <w:bCs/>
          <w:color w:val="auto"/>
          <w:sz w:val="32"/>
          <w:szCs w:val="32"/>
          <w:highlight w:val="none"/>
          <w:shd w:val="clear" w:color="auto" w:fill="auto"/>
          <w:lang w:val="en-US" w:eastAsia="zh-CN" w:bidi="ar"/>
        </w:rPr>
        <w:t>三是</w:t>
      </w:r>
      <w:r>
        <w:rPr>
          <w:rFonts w:hint="eastAsia" w:ascii="仿宋_GB2312" w:hAnsi="仿宋_GB2312" w:eastAsia="仿宋_GB2312" w:cs="仿宋_GB2312"/>
          <w:b/>
          <w:bCs/>
          <w:sz w:val="32"/>
          <w:szCs w:val="32"/>
          <w:lang w:val="en-US" w:eastAsia="zh-CN"/>
        </w:rPr>
        <w:t>拧成</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lang w:val="en-US" w:eastAsia="zh-CN"/>
        </w:rPr>
        <w:t>股绳</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color w:val="auto"/>
          <w:sz w:val="32"/>
          <w:szCs w:val="32"/>
          <w:highlight w:val="none"/>
          <w:shd w:val="clear" w:color="auto" w:fill="auto"/>
          <w:lang w:val="en-US" w:eastAsia="zh-CN" w:bidi="ar"/>
        </w:rPr>
        <w:t>集成多元监督力量。</w:t>
      </w:r>
      <w:r>
        <w:rPr>
          <w:rFonts w:hint="eastAsia" w:ascii="仿宋_GB2312" w:hAnsi="仿宋_GB2312" w:eastAsia="仿宋_GB2312" w:cs="仿宋_GB2312"/>
          <w:color w:val="auto"/>
          <w:sz w:val="32"/>
          <w:szCs w:val="32"/>
          <w:highlight w:val="none"/>
          <w:shd w:val="clear" w:color="auto" w:fill="auto"/>
          <w:lang w:val="en-US" w:eastAsia="zh-CN" w:bidi="ar"/>
        </w:rPr>
        <w:t>推动法治督察与区委巡察、人大监督等协调联动，形成法治督察与政府督查、检察监督、人大监督等同向发力的新局面；通过业务骨干入驻巡察单位查阅档案资料等方式，对8个区属单位开展联合巡察；区人大主任带队就13个镇街的基层综合执法及执法监督工作、司法所规范化建设等情况进行监督调研，助力基层依法行政能力提升；在推进行政执法、行刑双向衔接等方面靶向发力，通过信息共享、案件共商等，推动行政执法监督与检察监督有效衔接。</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（三）立足服务大局，护航营商环境优化</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bidi="ar"/>
        </w:rPr>
      </w:pPr>
      <w:r>
        <w:rPr>
          <w:rFonts w:hint="eastAsia" w:ascii="仿宋_GB2312" w:hAnsi="仿宋_GB2312" w:eastAsia="仿宋_GB2312" w:cs="仿宋_GB2312"/>
          <w:b/>
          <w:bCs/>
          <w:color w:val="auto"/>
          <w:sz w:val="32"/>
          <w:szCs w:val="32"/>
          <w:highlight w:val="none"/>
          <w:shd w:val="clear" w:color="auto" w:fill="auto"/>
          <w:lang w:val="en-US" w:eastAsia="zh-CN" w:bidi="ar"/>
        </w:rPr>
        <w:t>一是</w:t>
      </w:r>
      <w:r>
        <w:rPr>
          <w:rFonts w:hint="eastAsia" w:ascii="仿宋_GB2312" w:hAnsi="仿宋_GB2312" w:eastAsia="仿宋_GB2312" w:cs="仿宋_GB2312"/>
          <w:color w:val="auto"/>
          <w:sz w:val="32"/>
          <w:szCs w:val="32"/>
          <w:highlight w:val="none"/>
          <w:shd w:val="clear" w:color="auto" w:fill="auto"/>
          <w:lang w:val="en-US" w:eastAsia="zh-CN" w:bidi="ar"/>
        </w:rPr>
        <w:t>成立跨行政区划、跨服务领域的法律服务团队“京西法律智谷”，常态化为“专精特新”、中小微、国有资产企业提供精准的公益法律服务；与区工商联联合为会员企业提供合规审查等“法治体检”。截至目前，“法治体检”已覆盖区国有企业和区工商联民宿旅游、咨询服务、水务工程等会员企业，“法治体检”固根本、防风险的作用初显，“受检”企业已堵漏补缺、提升整改、内生动力，踏入稳健发展的“新赛道”。法律风险防范内训会49次；邀请中国中小商业企业协会副监事长葛磊“坐诊”“京西智谷大讲堂”，定制专家精讲套餐，提升企业法律素养和风险防范能力；实现门头沟区所有一级、二级国有企业法律服务全覆盖，组织10个律师团队采取“揭榜挂帅”模式“一对一”为9家区属国有企业高效服务，“各个击破”解决企业难题。</w:t>
      </w:r>
      <w:r>
        <w:rPr>
          <w:rFonts w:hint="eastAsia" w:ascii="仿宋_GB2312" w:hAnsi="仿宋_GB2312" w:eastAsia="仿宋_GB2312" w:cs="仿宋_GB2312"/>
          <w:b/>
          <w:bCs/>
          <w:color w:val="auto"/>
          <w:sz w:val="32"/>
          <w:szCs w:val="32"/>
          <w:highlight w:val="none"/>
          <w:shd w:val="clear" w:color="auto" w:fill="auto"/>
          <w:lang w:val="en-US" w:eastAsia="zh-CN" w:bidi="ar"/>
        </w:rPr>
        <w:t>二是</w:t>
      </w:r>
      <w:r>
        <w:rPr>
          <w:rFonts w:hint="eastAsia" w:ascii="仿宋_GB2312" w:hAnsi="仿宋_GB2312" w:eastAsia="仿宋_GB2312" w:cs="仿宋_GB2312"/>
          <w:color w:val="auto"/>
          <w:sz w:val="32"/>
          <w:szCs w:val="32"/>
          <w:highlight w:val="none"/>
          <w:shd w:val="clear" w:color="auto" w:fill="auto"/>
          <w:lang w:val="en-US" w:eastAsia="zh-CN" w:bidi="ar"/>
        </w:rPr>
        <w:t>充分发挥中关村园区门头沟园律师公证工作站平台优势，开通中小微企业公证服务“绿色通道”，容缺受理、优先受理，坚持推行中小微企业主体身份告知承诺制，截至目前共为10家企业办理公证，解决企业需求。</w:t>
      </w:r>
      <w:r>
        <w:rPr>
          <w:rFonts w:hint="eastAsia" w:ascii="仿宋_GB2312" w:hAnsi="仿宋_GB2312" w:eastAsia="仿宋_GB2312" w:cs="仿宋_GB2312"/>
          <w:b/>
          <w:bCs/>
          <w:color w:val="auto"/>
          <w:sz w:val="32"/>
          <w:szCs w:val="32"/>
          <w:highlight w:val="none"/>
          <w:shd w:val="clear" w:color="auto" w:fill="auto"/>
          <w:lang w:val="en-US" w:eastAsia="zh-CN" w:bidi="ar"/>
        </w:rPr>
        <w:t>三是</w:t>
      </w:r>
      <w:r>
        <w:rPr>
          <w:rFonts w:hint="eastAsia" w:ascii="仿宋_GB2312" w:hAnsi="仿宋_GB2312" w:eastAsia="仿宋_GB2312" w:cs="仿宋_GB2312"/>
          <w:b w:val="0"/>
          <w:bCs w:val="0"/>
          <w:color w:val="auto"/>
          <w:sz w:val="32"/>
          <w:szCs w:val="32"/>
          <w:highlight w:val="none"/>
          <w:shd w:val="clear" w:color="auto" w:fill="auto"/>
          <w:lang w:val="en-US" w:eastAsia="zh-CN" w:bidi="ar"/>
        </w:rPr>
        <w:t>成立中关村科技园门头沟园知识产权纠纷调解委员会，</w:t>
      </w:r>
      <w:r>
        <w:rPr>
          <w:rFonts w:hint="eastAsia" w:ascii="仿宋_GB2312" w:hAnsi="仿宋_GB2312" w:eastAsia="仿宋_GB2312" w:cs="仿宋_GB2312"/>
          <w:sz w:val="32"/>
          <w:szCs w:val="32"/>
          <w:lang w:val="en-US" w:eastAsia="zh-CN"/>
        </w:rPr>
        <w:t>高效整合律师、公证、司法等各方资源力量，加强对知识产权纠纷风险防范、纠纷化解的全链条保护</w:t>
      </w:r>
      <w:r>
        <w:rPr>
          <w:rFonts w:hint="eastAsia" w:ascii="仿宋_GB2312" w:hAnsi="仿宋_GB2312" w:eastAsia="仿宋_GB2312" w:cs="仿宋_GB2312"/>
          <w:color w:val="auto"/>
          <w:sz w:val="32"/>
          <w:szCs w:val="32"/>
          <w:highlight w:val="none"/>
          <w:shd w:val="clear" w:color="auto" w:fill="auto"/>
          <w:lang w:val="en-US" w:eastAsia="zh-CN" w:bidi="ar"/>
        </w:rPr>
        <w:t>，以优质高效的法律服务护航企业创新发展。</w:t>
      </w:r>
      <w:r>
        <w:rPr>
          <w:rFonts w:hint="eastAsia" w:ascii="仿宋_GB2312" w:hAnsi="仿宋_GB2312" w:eastAsia="仿宋_GB2312" w:cs="仿宋_GB2312"/>
          <w:b/>
          <w:bCs/>
          <w:color w:val="auto"/>
          <w:sz w:val="32"/>
          <w:szCs w:val="32"/>
          <w:highlight w:val="none"/>
          <w:shd w:val="clear" w:color="auto" w:fill="auto"/>
          <w:lang w:val="en-US" w:eastAsia="zh-CN" w:bidi="ar"/>
        </w:rPr>
        <w:t>四是</w:t>
      </w:r>
      <w:r>
        <w:rPr>
          <w:rFonts w:hint="eastAsia" w:ascii="仿宋_GB2312" w:hAnsi="仿宋_GB2312" w:eastAsia="仿宋_GB2312" w:cs="仿宋_GB2312"/>
          <w:color w:val="auto"/>
          <w:sz w:val="32"/>
          <w:szCs w:val="32"/>
          <w:highlight w:val="none"/>
          <w:shd w:val="clear" w:color="auto" w:fill="auto"/>
          <w:lang w:val="en-US" w:eastAsia="zh-CN" w:bidi="ar"/>
        </w:rPr>
        <w:t>推动优化园区法治化营商环境改革，通过企业问卷调查、召开优化执法环境座谈会等方式开展调研，形成《关于优化中关村科技园区门头沟园法治化营商环境的改革方案》，该方案已经区委十三届十次全会审议通过，为法治化营商环境改革奠定基础。</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val="0"/>
        <w:snapToGrid w:val="0"/>
        <w:spacing w:line="560" w:lineRule="exact"/>
        <w:ind w:firstLine="636" w:firstLineChars="200"/>
        <w:jc w:val="both"/>
        <w:textAlignment w:val="auto"/>
        <w:outlineLvl w:val="9"/>
        <w:rPr>
          <w:rFonts w:hint="eastAsia" w:ascii="黑体" w:hAnsi="黑体" w:eastAsia="黑体" w:cs="黑体"/>
          <w:b w:val="0"/>
          <w:bCs w:val="0"/>
          <w:i w:val="0"/>
          <w:iCs w:val="0"/>
          <w:color w:val="auto"/>
          <w:kern w:val="0"/>
          <w:sz w:val="32"/>
          <w:szCs w:val="32"/>
          <w:highlight w:val="none"/>
          <w:shd w:val="clear" w:color="auto" w:fill="FFFFFF"/>
          <w:lang w:val="en-US" w:eastAsia="zh-CN" w:bidi="ar"/>
        </w:rPr>
      </w:pPr>
      <w:r>
        <w:rPr>
          <w:rFonts w:hint="eastAsia" w:ascii="楷体_GB2312" w:hAnsi="楷体_GB2312" w:eastAsia="楷体_GB2312" w:cs="楷体_GB2312"/>
          <w:sz w:val="32"/>
          <w:szCs w:val="32"/>
          <w:highlight w:val="none"/>
          <w:lang w:val="en" w:eastAsia="zh-CN"/>
        </w:rPr>
        <w:t>（</w:t>
      </w:r>
      <w:r>
        <w:rPr>
          <w:rFonts w:hint="eastAsia" w:ascii="楷体_GB2312" w:hAnsi="楷体_GB2312" w:eastAsia="楷体_GB2312" w:cs="楷体_GB2312"/>
          <w:sz w:val="32"/>
          <w:szCs w:val="32"/>
          <w:highlight w:val="none"/>
          <w:lang w:val="en-US" w:eastAsia="zh-CN"/>
        </w:rPr>
        <w:t>四</w:t>
      </w:r>
      <w:r>
        <w:rPr>
          <w:rFonts w:hint="eastAsia" w:ascii="楷体_GB2312" w:hAnsi="楷体_GB2312" w:eastAsia="楷体_GB2312" w:cs="楷体_GB2312"/>
          <w:sz w:val="32"/>
          <w:szCs w:val="32"/>
          <w:highlight w:val="none"/>
          <w:lang w:val="en" w:eastAsia="zh-CN"/>
        </w:rPr>
        <w:t>）</w:t>
      </w:r>
      <w:r>
        <w:rPr>
          <w:rFonts w:hint="eastAsia" w:ascii="楷体_GB2312" w:hAnsi="楷体_GB2312" w:eastAsia="楷体_GB2312" w:cs="楷体_GB2312"/>
          <w:sz w:val="32"/>
          <w:szCs w:val="32"/>
          <w:highlight w:val="none"/>
          <w:lang w:val="en-US" w:eastAsia="zh"/>
        </w:rPr>
        <w:t>强化法治供给，</w:t>
      </w:r>
      <w:r>
        <w:rPr>
          <w:rFonts w:hint="eastAsia" w:ascii="楷体_GB2312" w:hAnsi="楷体_GB2312" w:eastAsia="楷体_GB2312" w:cs="楷体_GB2312"/>
          <w:sz w:val="32"/>
          <w:szCs w:val="32"/>
          <w:highlight w:val="none"/>
          <w:lang w:val="en-US" w:eastAsia="zh-CN"/>
        </w:rPr>
        <w:t>服务保障区域绿色高质量发展</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right="0" w:rightChars="0" w:firstLine="636"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bidi="ar"/>
        </w:rPr>
      </w:pPr>
      <w:r>
        <w:rPr>
          <w:rFonts w:hint="eastAsia" w:ascii="仿宋_GB2312" w:hAnsi="仿宋_GB2312" w:eastAsia="仿宋_GB2312" w:cs="仿宋_GB2312"/>
          <w:b/>
          <w:bCs/>
          <w:color w:val="auto"/>
          <w:sz w:val="32"/>
          <w:szCs w:val="32"/>
          <w:highlight w:val="none"/>
          <w:shd w:val="clear" w:color="auto" w:fill="auto"/>
          <w:lang w:val="en-US" w:eastAsia="zh-CN" w:bidi="ar"/>
        </w:rPr>
        <w:t>一是加强法治领域问题研究。</w:t>
      </w:r>
      <w:r>
        <w:rPr>
          <w:rFonts w:hint="eastAsia" w:ascii="仿宋_GB2312" w:hAnsi="仿宋_GB2312" w:eastAsia="仿宋_GB2312" w:cs="仿宋_GB2312"/>
          <w:b w:val="0"/>
          <w:bCs w:val="0"/>
          <w:sz w:val="32"/>
          <w:szCs w:val="32"/>
          <w:highlight w:val="none"/>
          <w:lang w:val="en-US" w:eastAsia="zh-CN"/>
        </w:rPr>
        <w:t>针对“驴友”违规户外探险有</w:t>
      </w:r>
      <w:r>
        <w:rPr>
          <w:rFonts w:hint="eastAsia" w:ascii="仿宋_GB2312" w:hAnsi="仿宋_GB2312" w:eastAsia="仿宋_GB2312" w:cs="仿宋_GB2312"/>
          <w:b w:val="0"/>
          <w:bCs w:val="0"/>
          <w:sz w:val="32"/>
          <w:szCs w:val="32"/>
          <w:lang w:val="en-US" w:eastAsia="zh-CN"/>
        </w:rPr>
        <w:t>偿救援、数据产业发展等难点、热点问题研提专业意见；服务数据资产服务中心和算法登记服务中心建设，形成数据产业相关法律问题分析及风险提示情况专报获区主要领导肯定批示</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bCs/>
          <w:color w:val="auto"/>
          <w:sz w:val="32"/>
          <w:szCs w:val="32"/>
          <w:highlight w:val="none"/>
          <w:shd w:val="clear" w:color="auto" w:fill="auto"/>
          <w:lang w:val="en-US" w:eastAsia="zh-CN" w:bidi="ar"/>
        </w:rPr>
        <w:t>二是依法推进合法性审查。</w:t>
      </w:r>
      <w:r>
        <w:rPr>
          <w:rFonts w:hint="eastAsia" w:ascii="仿宋_GB2312" w:hAnsi="仿宋_GB2312" w:eastAsia="仿宋_GB2312" w:cs="仿宋_GB2312"/>
          <w:color w:val="auto"/>
          <w:sz w:val="32"/>
          <w:szCs w:val="32"/>
          <w:highlight w:val="none"/>
          <w:shd w:val="clear" w:color="auto" w:fill="auto"/>
          <w:lang w:val="en-US" w:eastAsia="zh-CN" w:bidi="ar"/>
        </w:rPr>
        <w:t>区级规范性文件、重大行政决策、政府协议等出具合法性审核意见71件，提出意见建议103条；审核区政府会议议题事项并出具反馈意见80余件；向市政府备案区政府规范性文件5件；备案审查各部门规范性文件9件。</w:t>
      </w:r>
      <w:r>
        <w:rPr>
          <w:rFonts w:hint="eastAsia" w:ascii="仿宋_GB2312" w:hAnsi="仿宋_GB2312" w:eastAsia="仿宋_GB2312" w:cs="仿宋_GB2312"/>
          <w:b/>
          <w:bCs/>
          <w:color w:val="auto"/>
          <w:sz w:val="32"/>
          <w:szCs w:val="32"/>
          <w:highlight w:val="none"/>
          <w:shd w:val="clear" w:color="auto" w:fill="auto"/>
          <w:lang w:val="en-US" w:eastAsia="zh-CN" w:bidi="ar"/>
        </w:rPr>
        <w:t>三是规范落实重大行政决策。</w:t>
      </w:r>
      <w:r>
        <w:rPr>
          <w:rFonts w:hint="eastAsia" w:ascii="仿宋_GB2312" w:hAnsi="仿宋_GB2312" w:eastAsia="仿宋_GB2312" w:cs="仿宋_GB2312"/>
          <w:color w:val="auto"/>
          <w:sz w:val="32"/>
          <w:szCs w:val="32"/>
          <w:highlight w:val="none"/>
          <w:shd w:val="clear" w:color="auto" w:fill="auto"/>
          <w:lang w:val="en-US" w:eastAsia="zh-CN" w:bidi="ar"/>
        </w:rPr>
        <w:t>组织多次重大行政决策事项推进会，并邀请专家顾问予以指导；研究起草《门头沟区重大行政决策事项目录管理办法（试行）》和《门头沟区重大行政决策档案管理办法》。</w:t>
      </w:r>
      <w:r>
        <w:rPr>
          <w:rFonts w:hint="eastAsia" w:ascii="仿宋_GB2312" w:hAnsi="仿宋_GB2312" w:eastAsia="仿宋_GB2312" w:cs="仿宋_GB2312"/>
          <w:b/>
          <w:bCs/>
          <w:color w:val="auto"/>
          <w:sz w:val="32"/>
          <w:szCs w:val="32"/>
          <w:highlight w:val="none"/>
          <w:shd w:val="clear" w:color="auto" w:fill="auto"/>
          <w:lang w:val="en-US" w:eastAsia="zh-CN" w:bidi="ar"/>
        </w:rPr>
        <w:t>四是强化行政执法监督工作。</w:t>
      </w:r>
      <w:r>
        <w:rPr>
          <w:rFonts w:hint="eastAsia" w:ascii="仿宋_GB2312" w:hAnsi="仿宋_GB2312" w:eastAsia="仿宋_GB2312" w:cs="仿宋_GB2312"/>
          <w:color w:val="auto"/>
          <w:sz w:val="32"/>
          <w:szCs w:val="32"/>
          <w:highlight w:val="none"/>
          <w:shd w:val="clear" w:color="auto" w:fill="auto"/>
          <w:lang w:val="en-US" w:eastAsia="zh-CN" w:bidi="ar"/>
        </w:rPr>
        <w:t>制发《门头沟区行政执法人员行为规范》，规范行政执法“三项制度”落实；组织开展行政执法案卷评查3批次，评查行政处罚案卷98卷；</w:t>
      </w:r>
      <w:r>
        <w:rPr>
          <w:rFonts w:hint="eastAsia" w:ascii="仿宋_GB2312" w:hAnsi="仿宋_GB2312" w:eastAsia="仿宋_GB2312" w:cs="仿宋_GB2312"/>
          <w:color w:val="auto"/>
          <w:sz w:val="32"/>
          <w:szCs w:val="32"/>
          <w:highlight w:val="none"/>
          <w:lang w:eastAsia="zh-CN"/>
        </w:rPr>
        <w:t>组织我区2024年度五个批次行政执法资格预考和正式考试，参加考试的区属执法单位人员</w:t>
      </w:r>
      <w:r>
        <w:rPr>
          <w:rFonts w:hint="eastAsia" w:ascii="仿宋_GB2312" w:hAnsi="仿宋_GB2312" w:eastAsia="仿宋_GB2312" w:cs="仿宋_GB2312"/>
          <w:color w:val="auto"/>
          <w:sz w:val="32"/>
          <w:szCs w:val="32"/>
          <w:highlight w:val="none"/>
          <w:lang w:val="en-US" w:eastAsia="zh-CN"/>
        </w:rPr>
        <w:t>108人，通过105人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bCs/>
          <w:color w:val="auto"/>
          <w:sz w:val="32"/>
          <w:szCs w:val="32"/>
          <w:highlight w:val="none"/>
          <w:shd w:val="clear" w:color="auto" w:fill="auto"/>
          <w:lang w:val="en-US" w:eastAsia="zh-CN" w:bidi="ar"/>
        </w:rPr>
        <w:t>五是优化</w:t>
      </w:r>
      <w:r>
        <w:rPr>
          <w:rFonts w:hint="eastAsia" w:ascii="仿宋_GB2312" w:hAnsi="仿宋_GB2312" w:eastAsia="仿宋_GB2312" w:cs="仿宋_GB2312"/>
          <w:b/>
          <w:bCs/>
          <w:sz w:val="32"/>
          <w:szCs w:val="32"/>
          <w:lang w:val="en-US" w:eastAsia="zh-CN"/>
        </w:rPr>
        <w:t>调整法律顾问团，</w:t>
      </w:r>
      <w:r>
        <w:rPr>
          <w:rFonts w:hint="eastAsia" w:ascii="仿宋_GB2312" w:hAnsi="仿宋_GB2312" w:eastAsia="仿宋_GB2312" w:cs="仿宋_GB2312"/>
          <w:b w:val="0"/>
          <w:bCs w:val="0"/>
          <w:sz w:val="32"/>
          <w:szCs w:val="32"/>
          <w:lang w:val="en-US" w:eastAsia="zh-CN"/>
        </w:rPr>
        <w:t>结合我区区域发展需求，优化法律顾问团队，将行政复议、知识产权等领域专家学者及律师事务所纳入顾问团队，</w:t>
      </w:r>
      <w:r>
        <w:rPr>
          <w:rFonts w:hint="eastAsia" w:ascii="仿宋_GB2312" w:hAnsi="仿宋_GB2312" w:eastAsia="仿宋_GB2312" w:cs="仿宋_GB2312"/>
          <w:b w:val="0"/>
          <w:bCs w:val="0"/>
          <w:sz w:val="32"/>
          <w:szCs w:val="32"/>
          <w:highlight w:val="none"/>
          <w:lang w:val="en-US" w:eastAsia="zh-CN"/>
        </w:rPr>
        <w:t>为区委、区政府及其组成部门共60家单位提供常态化、精准化法律服务。</w:t>
      </w:r>
      <w:r>
        <w:rPr>
          <w:rFonts w:hint="eastAsia" w:ascii="仿宋_GB2312" w:hAnsi="仿宋_GB2312" w:eastAsia="仿宋_GB2312" w:cs="仿宋_GB2312"/>
          <w:b/>
          <w:bCs/>
          <w:sz w:val="32"/>
          <w:szCs w:val="32"/>
          <w:highlight w:val="none"/>
          <w:lang w:val="en-US" w:eastAsia="zh-CN"/>
        </w:rPr>
        <w:t>六是推动历史遗留问题解决。</w:t>
      </w:r>
      <w:r>
        <w:rPr>
          <w:rFonts w:hint="eastAsia" w:ascii="仿宋_GB2312" w:hAnsi="仿宋_GB2312" w:eastAsia="仿宋_GB2312" w:cs="仿宋_GB2312"/>
          <w:b w:val="0"/>
          <w:bCs w:val="0"/>
          <w:sz w:val="32"/>
          <w:szCs w:val="32"/>
          <w:highlight w:val="none"/>
          <w:lang w:val="en-US" w:eastAsia="zh-CN"/>
        </w:rPr>
        <w:t>在</w:t>
      </w:r>
      <w:r>
        <w:rPr>
          <w:rFonts w:hint="eastAsia" w:ascii="仿宋_GB2312" w:hAnsi="仿宋_GB2312" w:eastAsia="仿宋_GB2312" w:cs="仿宋_GB2312"/>
          <w:b w:val="0"/>
          <w:bCs w:val="0"/>
          <w:sz w:val="32"/>
          <w:szCs w:val="32"/>
          <w:lang w:val="en-US" w:eastAsia="zh-CN"/>
        </w:rPr>
        <w:t>农村土地承包合同调整、整体拆迁、招商引资过程中合同订立、信访法治化、“办证难”等问题上建言献策，提供可行性的法律路径，做好法治保障。</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color w:val="auto"/>
          <w:sz w:val="32"/>
          <w:szCs w:val="32"/>
          <w:highlight w:val="none"/>
          <w:shd w:val="clear" w:color="auto" w:fill="auto"/>
          <w:lang w:val="en-US" w:eastAsia="zh-CN" w:bidi="ar"/>
        </w:rPr>
        <w:t>是深化行政复议体制改革。</w:t>
      </w:r>
      <w:r>
        <w:rPr>
          <w:rFonts w:hint="eastAsia" w:ascii="仿宋_GB2312" w:hAnsi="仿宋_GB2312" w:eastAsia="仿宋_GB2312" w:cs="仿宋_GB2312"/>
          <w:color w:val="auto"/>
          <w:sz w:val="32"/>
          <w:szCs w:val="32"/>
          <w:highlight w:val="none"/>
          <w:shd w:val="clear" w:color="auto" w:fill="auto"/>
          <w:lang w:val="en-US" w:eastAsia="zh-CN" w:bidi="ar"/>
        </w:rPr>
        <w:t>推动成立行政复议委员会，充分发挥其作为常设议事协调组织的作用；健全和完善行政调解工作体制机制，探索成立公安交通行政争议调处中心、知识产权调解委员会，促进公安交通领域、知识产权领域矛盾纠纷源头治理。</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right="0" w:rightChars="0" w:firstLine="636"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bidi="ar"/>
        </w:rPr>
      </w:pPr>
      <w:r>
        <w:rPr>
          <w:rFonts w:hint="eastAsia" w:ascii="仿宋_GB2312" w:hAnsi="仿宋_GB2312" w:eastAsia="仿宋_GB2312" w:cs="仿宋_GB2312"/>
          <w:color w:val="auto"/>
          <w:sz w:val="32"/>
          <w:szCs w:val="32"/>
          <w:highlight w:val="none"/>
          <w:shd w:val="clear" w:color="auto" w:fill="auto"/>
          <w:lang w:val="en-US" w:eastAsia="zh-CN" w:bidi="ar"/>
        </w:rPr>
        <w:t>截至11月底，共受理行政复议案件261件，审结212件，法定期限结案率100%，直接纠错率达11%，间接纠错率达32.5%，对涉案行政机关制发意见书1件、建议书5件；办理行政诉讼案件103件。</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left="0" w:leftChars="0" w:right="0" w:rightChars="0" w:firstLine="636" w:firstLineChars="200"/>
        <w:jc w:val="both"/>
        <w:textAlignment w:val="auto"/>
        <w:outlineLvl w:val="9"/>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 w:eastAsia="zh-CN"/>
        </w:rPr>
        <w:t>（</w:t>
      </w:r>
      <w:r>
        <w:rPr>
          <w:rFonts w:hint="eastAsia" w:ascii="楷体_GB2312" w:hAnsi="楷体_GB2312" w:eastAsia="楷体_GB2312" w:cs="楷体_GB2312"/>
          <w:sz w:val="32"/>
          <w:szCs w:val="32"/>
          <w:highlight w:val="none"/>
          <w:lang w:val="en-US" w:eastAsia="zh-CN"/>
        </w:rPr>
        <w:t>五</w:t>
      </w:r>
      <w:r>
        <w:rPr>
          <w:rFonts w:hint="eastAsia" w:ascii="楷体_GB2312" w:hAnsi="楷体_GB2312" w:eastAsia="楷体_GB2312" w:cs="楷体_GB2312"/>
          <w:sz w:val="32"/>
          <w:szCs w:val="32"/>
          <w:highlight w:val="none"/>
          <w:lang w:val="en" w:eastAsia="zh-CN"/>
        </w:rPr>
        <w:t>）</w:t>
      </w:r>
      <w:r>
        <w:rPr>
          <w:rFonts w:hint="eastAsia" w:ascii="楷体_GB2312" w:hAnsi="楷体_GB2312" w:eastAsia="楷体_GB2312" w:cs="楷体_GB2312"/>
          <w:sz w:val="32"/>
          <w:szCs w:val="32"/>
          <w:highlight w:val="none"/>
          <w:lang w:val="en-US" w:eastAsia="zh-CN"/>
        </w:rPr>
        <w:t>回应</w:t>
      </w:r>
      <w:r>
        <w:rPr>
          <w:rFonts w:hint="eastAsia" w:ascii="楷体_GB2312" w:hAnsi="楷体_GB2312" w:eastAsia="楷体_GB2312" w:cs="楷体_GB2312"/>
          <w:sz w:val="32"/>
          <w:szCs w:val="32"/>
          <w:highlight w:val="none"/>
          <w:lang w:val="en" w:eastAsia="zh"/>
        </w:rPr>
        <w:t>民心所盼</w:t>
      </w:r>
      <w:r>
        <w:rPr>
          <w:rFonts w:hint="eastAsia" w:ascii="楷体_GB2312" w:hAnsi="楷体_GB2312" w:eastAsia="楷体_GB2312" w:cs="楷体_GB2312"/>
          <w:sz w:val="32"/>
          <w:szCs w:val="32"/>
          <w:highlight w:val="none"/>
          <w:lang w:val="en" w:eastAsia="zh-CN"/>
        </w:rPr>
        <w:t>，公共法律服务</w:t>
      </w:r>
      <w:r>
        <w:rPr>
          <w:rFonts w:hint="eastAsia" w:ascii="楷体_GB2312" w:hAnsi="楷体_GB2312" w:eastAsia="楷体_GB2312" w:cs="楷体_GB2312"/>
          <w:sz w:val="32"/>
          <w:szCs w:val="32"/>
          <w:highlight w:val="none"/>
          <w:lang w:val="en-US" w:eastAsia="zh-CN"/>
        </w:rPr>
        <w:t xml:space="preserve">保障能力提质增速   </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left="0" w:leftChars="0" w:right="0" w:rightChars="0" w:firstLine="636"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bidi="ar"/>
        </w:rPr>
      </w:pPr>
      <w:r>
        <w:rPr>
          <w:rFonts w:hint="eastAsia" w:ascii="仿宋_GB2312" w:hAnsi="仿宋_GB2312" w:eastAsia="仿宋_GB2312" w:cs="仿宋_GB2312"/>
          <w:b/>
          <w:bCs/>
          <w:color w:val="auto"/>
          <w:sz w:val="32"/>
          <w:szCs w:val="32"/>
          <w:highlight w:val="none"/>
          <w:shd w:val="clear" w:color="auto" w:fill="auto"/>
          <w:lang w:val="en-US" w:eastAsia="zh-CN" w:bidi="ar"/>
        </w:rPr>
        <w:t>一是聚焦法治乡村建设</w:t>
      </w:r>
      <w:r>
        <w:rPr>
          <w:rFonts w:hint="eastAsia" w:ascii="仿宋_GB2312" w:hAnsi="仿宋_GB2312" w:eastAsia="仿宋_GB2312" w:cs="仿宋_GB2312"/>
          <w:color w:val="auto"/>
          <w:sz w:val="32"/>
          <w:szCs w:val="32"/>
          <w:highlight w:val="none"/>
          <w:shd w:val="clear" w:color="auto" w:fill="auto"/>
          <w:lang w:val="en-US" w:eastAsia="zh-CN" w:bidi="ar"/>
        </w:rPr>
        <w:t>。对标全国民主法治示范村，培育灾后重建民主法治乡村典型样板村沿河口法治文化阵地。市司法局、区司法局联合在沿河口村开设“法治大集”，为村民送上“打包”式法律服务；扎实开展“法律明白人”培育工作，</w:t>
      </w:r>
      <w:r>
        <w:rPr>
          <w:rFonts w:hint="eastAsia" w:ascii="仿宋_GB2312" w:hAnsi="仿宋_GB2312" w:eastAsia="仿宋_GB2312" w:cs="仿宋_GB2312"/>
          <w:color w:val="auto"/>
          <w:kern w:val="2"/>
          <w:sz w:val="32"/>
          <w:szCs w:val="32"/>
          <w:highlight w:val="none"/>
          <w:shd w:val="clear" w:color="auto" w:fill="auto"/>
          <w:lang w:val="en-US" w:eastAsia="zh-CN" w:bidi="ar"/>
        </w:rPr>
        <w:t>不断拓宽法律知识的传播渠道，精准提升学员的法律素养，为法治社会建设提供有力支撑</w:t>
      </w:r>
      <w:r>
        <w:rPr>
          <w:rFonts w:hint="eastAsia" w:ascii="仿宋_GB2312" w:hAnsi="仿宋_GB2312" w:eastAsia="仿宋_GB2312" w:cs="仿宋_GB2312"/>
          <w:color w:val="auto"/>
          <w:sz w:val="32"/>
          <w:szCs w:val="32"/>
          <w:highlight w:val="none"/>
          <w:shd w:val="clear" w:color="auto" w:fill="auto"/>
          <w:lang w:val="en-US" w:eastAsia="zh-CN" w:bidi="ar"/>
        </w:rPr>
        <w:t>；</w:t>
      </w:r>
      <w:r>
        <w:rPr>
          <w:rFonts w:hint="eastAsia" w:ascii="仿宋_GB2312" w:hAnsi="仿宋_GB2312" w:eastAsia="仿宋_GB2312" w:cs="仿宋_GB2312"/>
          <w:b/>
          <w:bCs/>
          <w:color w:val="auto"/>
          <w:sz w:val="32"/>
          <w:szCs w:val="32"/>
          <w:highlight w:val="none"/>
          <w:shd w:val="clear" w:color="auto" w:fill="auto"/>
          <w:lang w:val="en-US" w:eastAsia="zh-CN" w:bidi="ar"/>
        </w:rPr>
        <w:t>二是积极打造“红益+”律师党建品牌。</w:t>
      </w:r>
      <w:r>
        <w:rPr>
          <w:rFonts w:hint="eastAsia" w:ascii="仿宋_GB2312" w:hAnsi="仿宋_GB2312" w:eastAsia="仿宋_GB2312" w:cs="仿宋_GB2312"/>
          <w:color w:val="auto"/>
          <w:sz w:val="32"/>
          <w:szCs w:val="32"/>
          <w:highlight w:val="none"/>
          <w:shd w:val="clear" w:color="auto" w:fill="auto"/>
          <w:lang w:val="en-US" w:eastAsia="zh-CN" w:bidi="ar"/>
        </w:rPr>
        <w:t>构建“1+3+N”律师公益性服务体系，打造以“一网”“三站”“多项服务”为内容的公益性法律服务品牌，以党建引领促行业发展，引导我区律师特别是党员律师积极参与各项公益法律服务活动,在政府合同审核把关、历史遗留问题解决、各镇街产权交易项目上免费提供法律服务，为村民提供法律咨询、讲座、纠纷调处等法律服务；持续深化开展“党和人民满意的好律师”活动，为群众干实事、办好事，全年提供各类法律服务6548次。</w:t>
      </w:r>
      <w:r>
        <w:rPr>
          <w:rFonts w:hint="eastAsia" w:ascii="仿宋_GB2312" w:hAnsi="仿宋_GB2312" w:eastAsia="仿宋_GB2312" w:cs="仿宋_GB2312"/>
          <w:b/>
          <w:bCs/>
          <w:color w:val="auto"/>
          <w:sz w:val="32"/>
          <w:szCs w:val="32"/>
          <w:highlight w:val="none"/>
          <w:shd w:val="clear" w:color="auto" w:fill="auto"/>
          <w:lang w:val="en-US" w:eastAsia="zh-CN" w:bidi="ar"/>
        </w:rPr>
        <w:t>三是服务区级重点工作。</w:t>
      </w:r>
      <w:r>
        <w:rPr>
          <w:rFonts w:hint="eastAsia" w:ascii="仿宋_GB2312" w:hAnsi="仿宋_GB2312" w:eastAsia="仿宋_GB2312" w:cs="仿宋_GB2312"/>
          <w:color w:val="auto"/>
          <w:sz w:val="32"/>
          <w:szCs w:val="32"/>
          <w:highlight w:val="none"/>
          <w:shd w:val="clear" w:color="auto" w:fill="auto"/>
          <w:lang w:val="en-US" w:eastAsia="zh-CN" w:bidi="ar"/>
        </w:rPr>
        <w:t>为潭柘寺镇东村、鲁家滩村占地转非抓阄办理现场监督公证；为潭柘寺镇北村、东村、鲁家滩村及永定镇曹各庄村村民办理农转工自谋职业协议公证，为村民自谋职业之路提供有力的法律支持。</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right="0" w:rightChars="0" w:firstLine="636" w:firstLineChars="200"/>
        <w:jc w:val="both"/>
        <w:textAlignment w:val="auto"/>
        <w:outlineLvl w:val="9"/>
        <w:rPr>
          <w:rFonts w:hint="eastAsia"/>
          <w:lang w:val="en-US" w:eastAsia="zh-CN"/>
        </w:rPr>
      </w:pPr>
      <w:r>
        <w:rPr>
          <w:rFonts w:hint="eastAsia" w:ascii="仿宋_GB2312" w:hAnsi="仿宋_GB2312" w:eastAsia="仿宋_GB2312" w:cs="仿宋_GB2312"/>
          <w:b w:val="0"/>
          <w:bCs w:val="0"/>
          <w:color w:val="auto"/>
          <w:sz w:val="32"/>
          <w:szCs w:val="32"/>
          <w:lang w:val="en-US" w:eastAsia="zh-CN"/>
        </w:rPr>
        <w:t>年内共</w:t>
      </w:r>
      <w:r>
        <w:rPr>
          <w:rFonts w:hint="eastAsia" w:ascii="仿宋_GB2312" w:hAnsi="仿宋_GB2312" w:eastAsia="仿宋_GB2312" w:cs="仿宋_GB2312"/>
          <w:b w:val="0"/>
          <w:bCs w:val="0"/>
          <w:color w:val="auto"/>
          <w:sz w:val="32"/>
          <w:szCs w:val="32"/>
          <w:lang w:eastAsia="zh-CN"/>
        </w:rPr>
        <w:t>受理法律援助案件</w:t>
      </w:r>
      <w:r>
        <w:rPr>
          <w:rFonts w:hint="eastAsia" w:ascii="仿宋_GB2312" w:hAnsi="仿宋_GB2312" w:eastAsia="仿宋_GB2312" w:cs="仿宋_GB2312"/>
          <w:b w:val="0"/>
          <w:bCs w:val="0"/>
          <w:color w:val="auto"/>
          <w:sz w:val="32"/>
          <w:szCs w:val="32"/>
          <w:lang w:val="en-US" w:eastAsia="zh-CN"/>
        </w:rPr>
        <w:t>419</w:t>
      </w:r>
      <w:r>
        <w:rPr>
          <w:rFonts w:hint="eastAsia" w:ascii="仿宋_GB2312" w:hAnsi="仿宋_GB2312" w:eastAsia="仿宋_GB2312" w:cs="仿宋_GB2312"/>
          <w:b w:val="0"/>
          <w:bCs w:val="0"/>
          <w:color w:val="auto"/>
          <w:sz w:val="32"/>
          <w:szCs w:val="32"/>
          <w:lang w:eastAsia="zh-CN"/>
        </w:rPr>
        <w:t>件（刑事</w:t>
      </w:r>
      <w:r>
        <w:rPr>
          <w:rFonts w:hint="eastAsia" w:ascii="仿宋_GB2312" w:hAnsi="仿宋_GB2312" w:eastAsia="仿宋_GB2312" w:cs="仿宋_GB2312"/>
          <w:b w:val="0"/>
          <w:bCs w:val="0"/>
          <w:color w:val="auto"/>
          <w:sz w:val="32"/>
          <w:szCs w:val="32"/>
          <w:lang w:val="en-US" w:eastAsia="zh-CN"/>
        </w:rPr>
        <w:t>133</w:t>
      </w:r>
      <w:r>
        <w:rPr>
          <w:rFonts w:hint="eastAsia" w:ascii="仿宋_GB2312" w:hAnsi="仿宋_GB2312" w:eastAsia="仿宋_GB2312" w:cs="仿宋_GB2312"/>
          <w:b w:val="0"/>
          <w:bCs w:val="0"/>
          <w:color w:val="auto"/>
          <w:sz w:val="32"/>
          <w:szCs w:val="32"/>
          <w:lang w:eastAsia="zh-CN"/>
        </w:rPr>
        <w:t>件，民事</w:t>
      </w:r>
      <w:r>
        <w:rPr>
          <w:rFonts w:hint="eastAsia" w:ascii="仿宋_GB2312" w:hAnsi="仿宋_GB2312" w:eastAsia="仿宋_GB2312" w:cs="仿宋_GB2312"/>
          <w:b w:val="0"/>
          <w:bCs w:val="0"/>
          <w:color w:val="auto"/>
          <w:sz w:val="32"/>
          <w:szCs w:val="32"/>
          <w:lang w:val="en-US" w:eastAsia="zh-CN"/>
        </w:rPr>
        <w:t>286</w:t>
      </w:r>
      <w:r>
        <w:rPr>
          <w:rFonts w:hint="eastAsia" w:ascii="仿宋_GB2312" w:hAnsi="仿宋_GB2312" w:eastAsia="仿宋_GB2312" w:cs="仿宋_GB2312"/>
          <w:b w:val="0"/>
          <w:bCs w:val="0"/>
          <w:color w:val="auto"/>
          <w:sz w:val="32"/>
          <w:szCs w:val="32"/>
          <w:lang w:eastAsia="zh-CN"/>
        </w:rPr>
        <w:t>件），</w:t>
      </w:r>
      <w:r>
        <w:rPr>
          <w:rFonts w:hint="eastAsia" w:ascii="仿宋_GB2312" w:hAnsi="仿宋_GB2312" w:eastAsia="仿宋_GB2312" w:cs="仿宋_GB2312"/>
          <w:b w:val="0"/>
          <w:bCs w:val="0"/>
          <w:color w:val="auto"/>
          <w:sz w:val="32"/>
          <w:szCs w:val="32"/>
          <w:lang w:val="en-US" w:eastAsia="zh-CN"/>
        </w:rPr>
        <w:t>群体案件6起累计65余人次(系农民工追索劳务费)</w:t>
      </w:r>
      <w:r>
        <w:rPr>
          <w:rFonts w:hint="eastAsia" w:ascii="仿宋_GB2312" w:hAnsi="仿宋_GB2312" w:eastAsia="仿宋_GB2312" w:cs="仿宋_GB2312"/>
          <w:b w:val="0"/>
          <w:bCs w:val="0"/>
          <w:color w:val="auto"/>
          <w:sz w:val="32"/>
          <w:szCs w:val="32"/>
          <w:lang w:eastAsia="zh-CN"/>
        </w:rPr>
        <w:t>。</w:t>
      </w:r>
      <w:r>
        <w:rPr>
          <w:rFonts w:hint="eastAsia" w:ascii="华文仿宋" w:hAnsi="华文仿宋" w:eastAsia="华文仿宋" w:cs="华文仿宋"/>
          <w:b w:val="0"/>
          <w:bCs w:val="0"/>
          <w:color w:val="auto"/>
          <w:sz w:val="32"/>
          <w:szCs w:val="32"/>
          <w:lang w:eastAsia="zh-CN"/>
        </w:rPr>
        <w:t>结案</w:t>
      </w:r>
      <w:r>
        <w:rPr>
          <w:rFonts w:hint="eastAsia" w:ascii="华文仿宋" w:hAnsi="华文仿宋" w:eastAsia="华文仿宋" w:cs="华文仿宋"/>
          <w:b w:val="0"/>
          <w:bCs w:val="0"/>
          <w:color w:val="auto"/>
          <w:sz w:val="32"/>
          <w:szCs w:val="32"/>
          <w:lang w:val="en-US" w:eastAsia="zh-CN"/>
        </w:rPr>
        <w:t>284</w:t>
      </w:r>
      <w:r>
        <w:rPr>
          <w:rFonts w:hint="eastAsia" w:ascii="华文仿宋" w:hAnsi="华文仿宋" w:eastAsia="华文仿宋" w:cs="华文仿宋"/>
          <w:b w:val="0"/>
          <w:bCs w:val="0"/>
          <w:color w:val="auto"/>
          <w:sz w:val="32"/>
          <w:szCs w:val="32"/>
          <w:lang w:eastAsia="zh-CN"/>
        </w:rPr>
        <w:t>件，挽回经济损失</w:t>
      </w:r>
      <w:r>
        <w:rPr>
          <w:rFonts w:hint="eastAsia" w:ascii="华文仿宋" w:hAnsi="华文仿宋" w:eastAsia="华文仿宋" w:cs="华文仿宋"/>
          <w:b w:val="0"/>
          <w:bCs w:val="0"/>
          <w:color w:val="auto"/>
          <w:sz w:val="32"/>
          <w:szCs w:val="32"/>
          <w:lang w:val="en-US" w:eastAsia="zh-CN"/>
        </w:rPr>
        <w:t>720.15万</w:t>
      </w:r>
      <w:r>
        <w:rPr>
          <w:rFonts w:hint="eastAsia" w:ascii="华文仿宋" w:hAnsi="华文仿宋" w:eastAsia="华文仿宋" w:cs="华文仿宋"/>
          <w:b w:val="0"/>
          <w:bCs w:val="0"/>
          <w:color w:val="auto"/>
          <w:sz w:val="32"/>
          <w:szCs w:val="32"/>
          <w:lang w:eastAsia="zh-CN"/>
        </w:rPr>
        <w:t>元。</w:t>
      </w:r>
      <w:r>
        <w:rPr>
          <w:rFonts w:hint="eastAsia" w:ascii="仿宋_GB2312" w:hAnsi="仿宋_GB2312" w:eastAsia="仿宋_GB2312" w:cs="仿宋_GB2312"/>
          <w:sz w:val="32"/>
          <w:szCs w:val="32"/>
        </w:rPr>
        <w:t>受理公证案件1337件，接待来访来电咨询8400余人次</w:t>
      </w:r>
      <w:r>
        <w:rPr>
          <w:rFonts w:hint="eastAsia" w:ascii="仿宋_GB2312" w:hAnsi="仿宋_GB2312" w:eastAsia="仿宋_GB2312" w:cs="仿宋_GB2312"/>
          <w:sz w:val="32"/>
          <w:szCs w:val="32"/>
          <w:lang w:eastAsia="zh-CN"/>
        </w:rPr>
        <w:t>，获评“全国法律援助先进集体”，收获群众锦旗</w:t>
      </w:r>
      <w:r>
        <w:rPr>
          <w:rFonts w:hint="eastAsia" w:ascii="仿宋_GB2312" w:hAnsi="仿宋_GB2312" w:eastAsia="仿宋_GB2312" w:cs="仿宋_GB2312"/>
          <w:sz w:val="32"/>
          <w:szCs w:val="32"/>
          <w:lang w:val="en-US" w:eastAsia="zh-CN"/>
        </w:rPr>
        <w:t>8面、</w:t>
      </w:r>
      <w:r>
        <w:rPr>
          <w:rFonts w:hint="eastAsia" w:ascii="仿宋_GB2312" w:hAnsi="仿宋_GB2312" w:eastAsia="仿宋_GB2312" w:cs="仿宋_GB2312"/>
          <w:sz w:val="32"/>
          <w:szCs w:val="32"/>
        </w:rPr>
        <w:t>感谢信1封</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1"/>
        </w:numPr>
        <w:pBdr>
          <w:bottom w:val="single" w:color="FFFFFF" w:sz="4" w:space="31"/>
        </w:pBdr>
        <w:shd w:val="clear" w:color="auto" w:fill="auto"/>
        <w:kinsoku/>
        <w:wordWrap/>
        <w:overflowPunct/>
        <w:topLinePunct/>
        <w:autoSpaceDE/>
        <w:autoSpaceDN/>
        <w:bidi w:val="0"/>
        <w:adjustRightInd w:val="0"/>
        <w:snapToGrid/>
        <w:spacing w:line="560" w:lineRule="exact"/>
        <w:ind w:leftChars="0" w:right="0" w:rightChars="0" w:firstLine="636" w:firstLineChars="200"/>
        <w:jc w:val="both"/>
        <w:textAlignment w:val="auto"/>
        <w:outlineLvl w:val="9"/>
        <w:rPr>
          <w:rFonts w:hint="eastAsia" w:ascii="楷体_GB2312" w:hAnsi="楷体_GB2312" w:eastAsia="楷体_GB2312" w:cs="楷体_GB2312"/>
          <w:sz w:val="32"/>
          <w:szCs w:val="32"/>
          <w:highlight w:val="none"/>
          <w:lang w:val="en" w:eastAsia="zh-CN"/>
        </w:rPr>
      </w:pPr>
      <w:r>
        <w:rPr>
          <w:rFonts w:hint="eastAsia" w:ascii="楷体_GB2312" w:hAnsi="楷体_GB2312" w:eastAsia="楷体_GB2312" w:cs="楷体_GB2312"/>
          <w:sz w:val="32"/>
          <w:szCs w:val="32"/>
          <w:highlight w:val="none"/>
          <w:lang w:val="en" w:eastAsia="zh"/>
        </w:rPr>
        <w:t>强化服务保障</w:t>
      </w:r>
      <w:r>
        <w:rPr>
          <w:rFonts w:hint="eastAsia" w:ascii="楷体_GB2312" w:hAnsi="楷体_GB2312" w:eastAsia="楷体_GB2312" w:cs="楷体_GB2312"/>
          <w:sz w:val="32"/>
          <w:szCs w:val="32"/>
          <w:highlight w:val="none"/>
          <w:lang w:val="en" w:eastAsia="zh-CN"/>
        </w:rPr>
        <w:t>，助力维护区域安全稳定</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left="0" w:leftChars="0" w:right="0" w:rightChars="0" w:firstLine="636"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bidi="ar"/>
        </w:rPr>
      </w:pPr>
      <w:r>
        <w:rPr>
          <w:rFonts w:hint="eastAsia" w:ascii="仿宋_GB2312" w:hAnsi="仿宋_GB2312" w:eastAsia="仿宋_GB2312" w:cs="仿宋_GB2312"/>
          <w:b/>
          <w:bCs/>
          <w:sz w:val="32"/>
          <w:szCs w:val="32"/>
        </w:rPr>
        <w:t>一是</w:t>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"http://www.baidu.com/link?url=tB0b5azmhZhBqlFJU40HRzAwpwNE6DEvcHdWvrk0GES6JKkPAF8bzUwwrf58Ml8HQf8sy2J5eChJJLAd-iOYhgBZUgc3yzCDncxRQLqNJd6DCCUMrwjqbECxKX3VwxLe" \t "/home/sugon/Documents\\x/_blank"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抓好</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lang w:val="en-US" w:eastAsia="zh-CN"/>
        </w:rPr>
        <w:t>律师</w:t>
      </w:r>
      <w:r>
        <w:rPr>
          <w:rFonts w:hint="eastAsia" w:ascii="仿宋_GB2312" w:hAnsi="仿宋_GB2312" w:eastAsia="仿宋_GB2312" w:cs="仿宋_GB2312"/>
          <w:b/>
          <w:bCs/>
          <w:sz w:val="32"/>
          <w:szCs w:val="32"/>
        </w:rPr>
        <w:t>队伍建设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组织律师参与信访案（事）件工作，在区公安分局、区信访办定期接访，共同研究疑难复杂案件及重大突发事件现场调处，为信访案件提供法律支持，共参与区公安分局、区信访办现场值班</w:t>
      </w:r>
      <w:r>
        <w:rPr>
          <w:rFonts w:hint="eastAsia" w:ascii="仿宋_GB2312" w:hAnsi="仿宋_GB2312" w:eastAsia="仿宋_GB2312" w:cs="仿宋_GB2312"/>
          <w:sz w:val="32"/>
          <w:szCs w:val="32"/>
          <w:lang w:val="en-US" w:eastAsia="zh-CN"/>
        </w:rPr>
        <w:t>78</w:t>
      </w:r>
      <w:r>
        <w:rPr>
          <w:rFonts w:hint="eastAsia" w:ascii="仿宋_GB2312" w:hAnsi="仿宋_GB2312" w:eastAsia="仿宋_GB2312" w:cs="仿宋_GB2312"/>
          <w:sz w:val="32"/>
          <w:szCs w:val="32"/>
        </w:rPr>
        <w:t>天。</w:t>
      </w:r>
      <w:r>
        <w:rPr>
          <w:rFonts w:hint="eastAsia" w:ascii="仿宋_GB2312" w:hAnsi="仿宋_GB2312" w:eastAsia="仿宋_GB2312" w:cs="仿宋_GB2312"/>
          <w:b/>
          <w:bCs/>
          <w:sz w:val="32"/>
          <w:szCs w:val="32"/>
        </w:rPr>
        <w:t>二是提升社区矫正工作质量。</w:t>
      </w:r>
      <w:r>
        <w:rPr>
          <w:rFonts w:hint="eastAsia" w:ascii="仿宋_GB2312" w:hAnsi="仿宋_GB2312" w:eastAsia="仿宋_GB2312" w:cs="仿宋_GB2312"/>
          <w:sz w:val="32"/>
          <w:szCs w:val="32"/>
        </w:rPr>
        <w:t>加强与法院、检察院、公安分局等部门协作配合，细化委托调查评估、人员交付接收、提请收监执行等工作程序，推动各成员单位依法履职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逐案</w:t>
      </w:r>
      <w:r>
        <w:rPr>
          <w:rFonts w:hint="eastAsia" w:ascii="仿宋_GB2312" w:hAnsi="仿宋_GB2312" w:eastAsia="仿宋_GB2312" w:cs="仿宋_GB2312"/>
          <w:b w:val="0"/>
          <w:bCs w:val="0"/>
          <w:color w:val="000000"/>
          <w:kern w:val="2"/>
          <w:sz w:val="32"/>
          <w:szCs w:val="32"/>
          <w:lang w:val="en-US" w:eastAsia="zh-CN"/>
        </w:rPr>
        <w:t>分析重新犯罪人员及案件情况，深挖重新犯罪原因，</w:t>
      </w:r>
      <w:r>
        <w:rPr>
          <w:rFonts w:hint="eastAsia" w:ascii="仿宋_GB2312" w:hAnsi="仿宋_GB2312" w:eastAsia="仿宋_GB2312" w:cs="仿宋_GB2312"/>
          <w:b w:val="0"/>
          <w:bCs w:val="0"/>
          <w:color w:val="000000"/>
          <w:kern w:val="2"/>
          <w:sz w:val="32"/>
          <w:szCs w:val="32"/>
          <w:lang w:eastAsia="zh-CN"/>
        </w:rPr>
        <w:t>抓实抓细社区矫正</w:t>
      </w:r>
      <w:r>
        <w:rPr>
          <w:rFonts w:hint="eastAsia" w:ascii="仿宋_GB2312" w:hAnsi="仿宋_GB2312" w:eastAsia="仿宋_GB2312" w:cs="仿宋_GB2312"/>
          <w:b w:val="0"/>
          <w:bCs w:val="0"/>
          <w:color w:val="000000"/>
          <w:kern w:val="2"/>
          <w:sz w:val="32"/>
          <w:szCs w:val="32"/>
          <w:lang w:val="en-US" w:eastAsia="zh-CN"/>
        </w:rPr>
        <w:t>对象管理</w:t>
      </w:r>
      <w:r>
        <w:rPr>
          <w:rFonts w:hint="eastAsia" w:ascii="仿宋_GB2312" w:hAnsi="仿宋_GB2312" w:eastAsia="仿宋_GB2312" w:cs="仿宋_GB2312"/>
          <w:b w:val="0"/>
          <w:bCs w:val="0"/>
          <w:color w:val="000000"/>
          <w:kern w:val="2"/>
          <w:sz w:val="32"/>
          <w:szCs w:val="32"/>
          <w:lang w:eastAsia="zh-CN"/>
        </w:rPr>
        <w:t>工作。</w:t>
      </w:r>
      <w:r>
        <w:rPr>
          <w:rFonts w:hint="eastAsia" w:ascii="仿宋_GB2312" w:hAnsi="仿宋_GB2312" w:eastAsia="仿宋_GB2312" w:cs="仿宋_GB2312"/>
          <w:b w:val="0"/>
          <w:bCs w:val="0"/>
          <w:color w:val="000000"/>
          <w:kern w:val="2"/>
          <w:sz w:val="32"/>
          <w:szCs w:val="32"/>
          <w:lang w:val="en-US" w:eastAsia="zh-CN"/>
        </w:rPr>
        <w:t>特别是针对</w:t>
      </w:r>
      <w:r>
        <w:rPr>
          <w:rFonts w:hint="eastAsia" w:ascii="仿宋_GB2312" w:hAnsi="仿宋_GB2312" w:eastAsia="仿宋_GB2312" w:cs="仿宋_GB2312"/>
          <w:sz w:val="32"/>
          <w:szCs w:val="32"/>
          <w:lang w:eastAsia="zh-CN"/>
        </w:rPr>
        <w:t>涉邪教社区矫正对象</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特点，</w:t>
      </w:r>
      <w:r>
        <w:rPr>
          <w:rFonts w:hint="eastAsia" w:ascii="仿宋_GB2312" w:hAnsi="仿宋_GB2312" w:eastAsia="仿宋_GB2312" w:cs="仿宋_GB2312"/>
          <w:sz w:val="32"/>
          <w:szCs w:val="32"/>
          <w:lang w:val="en-US" w:eastAsia="zh-CN"/>
        </w:rPr>
        <w:t>动态</w:t>
      </w:r>
      <w:r>
        <w:rPr>
          <w:rFonts w:hint="eastAsia" w:ascii="仿宋_GB2312" w:hAnsi="仿宋_GB2312" w:eastAsia="仿宋_GB2312" w:cs="仿宋_GB2312"/>
          <w:sz w:val="32"/>
          <w:szCs w:val="32"/>
          <w:lang w:eastAsia="zh-CN"/>
        </w:rPr>
        <w:t>掌握</w:t>
      </w:r>
      <w:r>
        <w:rPr>
          <w:rFonts w:hint="eastAsia" w:ascii="仿宋_GB2312" w:hAnsi="仿宋_GB2312" w:eastAsia="仿宋_GB2312" w:cs="仿宋_GB2312"/>
          <w:sz w:val="32"/>
          <w:szCs w:val="32"/>
          <w:lang w:val="en-US" w:eastAsia="zh-CN"/>
        </w:rPr>
        <w:t>其</w:t>
      </w:r>
      <w:r>
        <w:rPr>
          <w:rFonts w:hint="eastAsia" w:ascii="仿宋_GB2312" w:hAnsi="仿宋_GB2312" w:eastAsia="仿宋_GB2312" w:cs="仿宋_GB2312"/>
          <w:sz w:val="32"/>
          <w:szCs w:val="32"/>
          <w:lang w:eastAsia="zh-CN"/>
        </w:rPr>
        <w:t>思想动态、工作生活情况，</w:t>
      </w:r>
      <w:r>
        <w:rPr>
          <w:rFonts w:hint="eastAsia" w:ascii="仿宋_GB2312" w:hAnsi="仿宋_GB2312" w:eastAsia="仿宋_GB2312" w:cs="仿宋_GB2312"/>
          <w:sz w:val="32"/>
          <w:szCs w:val="32"/>
          <w:lang w:val="en-US" w:eastAsia="zh-CN"/>
        </w:rPr>
        <w:t>筑牢维稳思想基础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年内，共</w:t>
      </w:r>
      <w:r>
        <w:rPr>
          <w:rFonts w:hint="eastAsia" w:ascii="仿宋_GB2312" w:hAnsi="仿宋_GB2312" w:eastAsia="仿宋_GB2312" w:cs="仿宋_GB2312"/>
          <w:sz w:val="32"/>
          <w:szCs w:val="32"/>
        </w:rPr>
        <w:t>开展各类</w:t>
      </w:r>
      <w:r>
        <w:rPr>
          <w:rFonts w:hint="eastAsia" w:ascii="仿宋_GB2312" w:hAnsi="仿宋_GB2312" w:eastAsia="仿宋_GB2312" w:cs="仿宋_GB2312"/>
          <w:sz w:val="32"/>
          <w:szCs w:val="32"/>
          <w:lang w:val="en-US" w:eastAsia="zh-CN"/>
        </w:rPr>
        <w:t>教育活动</w:t>
      </w:r>
      <w:r>
        <w:rPr>
          <w:rFonts w:hint="default" w:ascii="仿宋_GB2312" w:hAnsi="仿宋_GB2312" w:eastAsia="仿宋_GB2312" w:cs="仿宋_GB2312"/>
          <w:sz w:val="32"/>
          <w:szCs w:val="32"/>
          <w:lang w:val="en" w:eastAsia="zh-CN"/>
        </w:rPr>
        <w:t>30</w:t>
      </w:r>
      <w:r>
        <w:rPr>
          <w:rFonts w:hint="eastAsia" w:ascii="仿宋_GB2312" w:hAnsi="仿宋_GB2312" w:eastAsia="仿宋_GB2312" w:cs="仿宋_GB2312"/>
          <w:sz w:val="32"/>
          <w:szCs w:val="32"/>
        </w:rPr>
        <w:t>场，推送教育信息</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rPr>
        <w:t>心理筛查</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 w:eastAsia="zh-CN"/>
        </w:rPr>
        <w:t>79</w:t>
      </w:r>
      <w:r>
        <w:rPr>
          <w:rFonts w:hint="eastAsia" w:ascii="仿宋_GB2312" w:hAnsi="仿宋_GB2312" w:eastAsia="仿宋_GB2312" w:cs="仿宋_GB2312"/>
          <w:sz w:val="32"/>
          <w:szCs w:val="32"/>
        </w:rPr>
        <w:t>人次，发出心理异常提示</w:t>
      </w:r>
      <w:r>
        <w:rPr>
          <w:rFonts w:hint="default" w:ascii="仿宋_GB2312" w:hAnsi="仿宋_GB2312" w:eastAsia="仿宋_GB2312" w:cs="仿宋_GB2312"/>
          <w:sz w:val="32"/>
          <w:szCs w:val="32"/>
          <w:lang w:val="en" w:eastAsia="zh-CN"/>
        </w:rPr>
        <w:t>101</w:t>
      </w:r>
      <w:r>
        <w:rPr>
          <w:rFonts w:hint="eastAsia" w:ascii="仿宋_GB2312" w:hAnsi="仿宋_GB2312" w:eastAsia="仿宋_GB2312" w:cs="仿宋_GB2312"/>
          <w:sz w:val="32"/>
          <w:szCs w:val="32"/>
        </w:rPr>
        <w:t>人次，心理个案辅导1人次</w:t>
      </w:r>
      <w:r>
        <w:rPr>
          <w:rFonts w:hint="eastAsia" w:ascii="仿宋_GB2312" w:hAnsi="仿宋_GB2312" w:eastAsia="仿宋_GB2312" w:cs="仿宋_GB2312"/>
          <w:sz w:val="32"/>
          <w:szCs w:val="32"/>
          <w:lang w:eastAsia="zh-CN"/>
        </w:rPr>
        <w:t>；向“两类”人员推送就业招聘岗位信息1</w:t>
      </w:r>
      <w:r>
        <w:rPr>
          <w:rFonts w:hint="default" w:ascii="仿宋_GB2312" w:hAnsi="仿宋_GB2312" w:eastAsia="仿宋_GB2312" w:cs="仿宋_GB2312"/>
          <w:sz w:val="32"/>
          <w:szCs w:val="32"/>
          <w:lang w:val="en" w:eastAsia="zh-CN"/>
        </w:rPr>
        <w:t>59</w:t>
      </w:r>
      <w:r>
        <w:rPr>
          <w:rFonts w:hint="eastAsia" w:ascii="仿宋_GB2312" w:hAnsi="仿宋_GB2312" w:eastAsia="仿宋_GB2312" w:cs="仿宋_GB2312"/>
          <w:sz w:val="32"/>
          <w:szCs w:val="32"/>
          <w:lang w:eastAsia="zh-CN"/>
        </w:rPr>
        <w:t>条。</w:t>
      </w:r>
      <w:r>
        <w:rPr>
          <w:rFonts w:hint="eastAsia" w:ascii="仿宋_GB2312" w:hAnsi="仿宋_GB2312" w:eastAsia="仿宋_GB2312" w:cs="仿宋_GB2312"/>
          <w:b/>
          <w:bCs/>
          <w:sz w:val="32"/>
          <w:szCs w:val="32"/>
        </w:rPr>
        <w:t>三是发挥人民调解工作优势。</w:t>
      </w:r>
      <w:r>
        <w:rPr>
          <w:rFonts w:hint="eastAsia" w:ascii="仿宋_GB2312" w:hAnsi="仿宋_GB2312" w:eastAsia="仿宋_GB2312" w:cs="仿宋_GB2312"/>
          <w:sz w:val="32"/>
          <w:szCs w:val="32"/>
        </w:rPr>
        <w:t>持续擦亮“和为贵”“一家亲”“潭柘寺和美”“辛连心”</w:t>
      </w:r>
      <w:r>
        <w:rPr>
          <w:rFonts w:hint="eastAsia" w:ascii="仿宋_GB2312" w:hAnsi="仿宋_GB2312" w:eastAsia="仿宋_GB2312" w:cs="仿宋_GB2312"/>
          <w:color w:val="auto"/>
          <w:sz w:val="32"/>
          <w:szCs w:val="32"/>
          <w:highlight w:val="none"/>
          <w:shd w:val="clear" w:color="auto" w:fill="auto"/>
          <w:lang w:val="en-US" w:eastAsia="zh-CN" w:bidi="ar"/>
        </w:rPr>
        <w:t>“红雁枫桥”</w:t>
      </w:r>
      <w:r>
        <w:rPr>
          <w:rFonts w:hint="eastAsia" w:ascii="仿宋_GB2312" w:hAnsi="仿宋_GB2312" w:eastAsia="仿宋_GB2312" w:cs="仿宋_GB2312"/>
          <w:sz w:val="32"/>
          <w:szCs w:val="32"/>
        </w:rPr>
        <w:t>等调解品牌，</w:t>
      </w:r>
      <w:r>
        <w:rPr>
          <w:rFonts w:hint="eastAsia" w:ascii="仿宋_GB2312" w:hAnsi="仿宋_GB2312" w:eastAsia="仿宋_GB2312" w:cs="仿宋_GB2312"/>
          <w:sz w:val="32"/>
          <w:szCs w:val="32"/>
          <w:lang w:val="en-US" w:eastAsia="zh-CN"/>
        </w:rPr>
        <w:t>同时抓好人民调解员队伍建设，</w:t>
      </w:r>
      <w:r>
        <w:rPr>
          <w:rFonts w:hint="eastAsia" w:ascii="仿宋_GB2312" w:hAnsi="仿宋_GB2312" w:eastAsia="仿宋_GB2312" w:cs="仿宋_GB2312"/>
          <w:color w:val="auto"/>
          <w:sz w:val="32"/>
          <w:szCs w:val="32"/>
          <w:highlight w:val="none"/>
          <w:shd w:val="clear" w:color="auto" w:fill="auto"/>
          <w:lang w:val="en-US" w:eastAsia="zh-CN" w:bidi="ar"/>
        </w:rPr>
        <w:t>邀请资深律师、法官、优秀调解员等分享调解方法和技巧，提升调解员</w:t>
      </w:r>
      <w:r>
        <w:rPr>
          <w:rFonts w:hint="eastAsia" w:ascii="仿宋_GB2312" w:hAnsi="仿宋_GB2312" w:eastAsia="仿宋_GB2312" w:cs="仿宋_GB2312"/>
          <w:sz w:val="32"/>
          <w:szCs w:val="32"/>
        </w:rPr>
        <w:t>专业</w:t>
      </w:r>
      <w:r>
        <w:rPr>
          <w:rFonts w:hint="eastAsia" w:ascii="仿宋_GB2312" w:hAnsi="仿宋_GB2312" w:eastAsia="仿宋_GB2312" w:cs="仿宋_GB2312"/>
          <w:color w:val="auto"/>
          <w:sz w:val="32"/>
          <w:szCs w:val="32"/>
          <w:highlight w:val="none"/>
          <w:shd w:val="clear" w:color="auto" w:fill="auto"/>
          <w:lang w:val="en-US" w:eastAsia="zh-CN" w:bidi="ar"/>
        </w:rPr>
        <w:t>素养。</w:t>
      </w:r>
      <w:r>
        <w:rPr>
          <w:rFonts w:hint="eastAsia" w:ascii="仿宋_GB2312" w:hAnsi="仿宋_GB2312" w:eastAsia="仿宋_GB2312" w:cs="仿宋_GB2312"/>
          <w:sz w:val="32"/>
          <w:szCs w:val="32"/>
          <w:lang w:val="en-US" w:eastAsia="zh-CN"/>
        </w:rPr>
        <w:t>年内，</w:t>
      </w:r>
      <w:r>
        <w:rPr>
          <w:rFonts w:hint="eastAsia" w:ascii="仿宋_GB2312" w:hAnsi="仿宋_GB2312" w:eastAsia="仿宋_GB2312" w:cs="仿宋_GB2312"/>
          <w:b w:val="0"/>
          <w:bCs w:val="0"/>
          <w:sz w:val="32"/>
          <w:szCs w:val="32"/>
          <w:lang w:val="en-US" w:eastAsia="zh-CN"/>
        </w:rPr>
        <w:t>《北京市门头沟区推动大调解创新发展》被中共中央政法委主办2024年第2期《长安》杂志（总第368期）刊载，我区推送的18篇典型调解案例多次被</w:t>
      </w:r>
      <w:r>
        <w:rPr>
          <w:rFonts w:hint="eastAsia" w:ascii="仿宋_GB2312" w:hAnsi="仿宋_GB2312" w:eastAsia="仿宋_GB2312" w:cs="仿宋_GB2312"/>
          <w:color w:val="auto"/>
          <w:sz w:val="32"/>
          <w:szCs w:val="32"/>
          <w:highlight w:val="none"/>
          <w:shd w:val="clear" w:color="auto" w:fill="auto"/>
          <w:lang w:val="en-US" w:eastAsia="zh-CN" w:bidi="ar"/>
        </w:rPr>
        <w:t>“京司观澜”及“北京政法”转载。成立中关村科技园区门头沟园知识产权纠纷调解委员会，为门头沟区优化法治化营商环境、打造首都营商环境“新高地”提供更强助力。</w:t>
      </w:r>
    </w:p>
    <w:p>
      <w:pPr>
        <w:keepNext w:val="0"/>
        <w:keepLines w:val="0"/>
        <w:pageBreakBefore w:val="0"/>
        <w:widowControl w:val="0"/>
        <w:numPr>
          <w:ilvl w:val="0"/>
          <w:numId w:val="0"/>
        </w:numPr>
        <w:pBdr>
          <w:bottom w:val="single" w:color="FFFFFF" w:sz="4" w:space="31"/>
        </w:pBdr>
        <w:shd w:val="clear" w:color="auto" w:fill="auto"/>
        <w:kinsoku/>
        <w:wordWrap/>
        <w:overflowPunct/>
        <w:topLinePunct/>
        <w:autoSpaceDE/>
        <w:autoSpaceDN/>
        <w:bidi w:val="0"/>
        <w:adjustRightInd w:val="0"/>
        <w:snapToGrid/>
        <w:spacing w:line="560" w:lineRule="exact"/>
        <w:ind w:left="0" w:leftChars="0" w:right="0" w:rightChars="0" w:firstLine="636" w:firstLineChars="200"/>
        <w:jc w:val="both"/>
        <w:textAlignment w:val="auto"/>
        <w:outlineLvl w:val="9"/>
        <w:rPr>
          <w:rFonts w:ascii="楷体_GB2312" w:hAnsi="仿宋" w:eastAsia="楷体_GB2312" w:cs="Times New Roman"/>
          <w:b/>
          <w:sz w:val="32"/>
          <w:szCs w:val="32"/>
        </w:rPr>
      </w:pPr>
      <w:r>
        <w:rPr>
          <w:rFonts w:hint="eastAsia" w:ascii="楷体_GB2312" w:hAnsi="仿宋" w:eastAsia="楷体_GB2312" w:cs="Times New Roman"/>
          <w:b/>
          <w:sz w:val="32"/>
          <w:szCs w:val="32"/>
        </w:rPr>
        <w:t>（四）部门</w:t>
      </w:r>
      <w:bookmarkEnd w:id="1"/>
      <w:r>
        <w:rPr>
          <w:rFonts w:hint="eastAsia" w:ascii="楷体_GB2312" w:hAnsi="仿宋" w:eastAsia="楷体_GB2312" w:cs="Times New Roman"/>
          <w:b/>
          <w:sz w:val="32"/>
          <w:szCs w:val="32"/>
        </w:rPr>
        <w:t>整体绩效目标设立情况</w:t>
      </w:r>
    </w:p>
    <w:tbl>
      <w:tblPr>
        <w:tblStyle w:val="6"/>
        <w:tblW w:w="10564" w:type="dxa"/>
        <w:tblInd w:w="-617" w:type="dxa"/>
        <w:tblLayout w:type="fixed"/>
        <w:tblCellMar>
          <w:top w:w="0" w:type="dxa"/>
          <w:left w:w="108" w:type="dxa"/>
          <w:bottom w:w="0" w:type="dxa"/>
          <w:right w:w="108" w:type="dxa"/>
        </w:tblCellMar>
      </w:tblPr>
      <w:tblGrid>
        <w:gridCol w:w="793"/>
        <w:gridCol w:w="3654"/>
        <w:gridCol w:w="1627"/>
        <w:gridCol w:w="1628"/>
        <w:gridCol w:w="1448"/>
        <w:gridCol w:w="1414"/>
      </w:tblGrid>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序号</w:t>
            </w:r>
          </w:p>
        </w:tc>
        <w:tc>
          <w:tcPr>
            <w:tcW w:w="3654"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三级指标</w:t>
            </w:r>
          </w:p>
        </w:tc>
        <w:tc>
          <w:tcPr>
            <w:tcW w:w="1627"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指标性质</w:t>
            </w:r>
          </w:p>
        </w:tc>
        <w:tc>
          <w:tcPr>
            <w:tcW w:w="1628"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指标值</w:t>
            </w:r>
          </w:p>
        </w:tc>
        <w:tc>
          <w:tcPr>
            <w:tcW w:w="1448" w:type="dxa"/>
            <w:tcBorders>
              <w:top w:val="single" w:color="auto" w:sz="4" w:space="0"/>
              <w:left w:val="nil"/>
              <w:bottom w:val="single" w:color="auto" w:sz="4" w:space="0"/>
              <w:right w:val="single" w:color="auto" w:sz="4" w:space="0"/>
            </w:tcBorders>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度量单位</w:t>
            </w:r>
          </w:p>
        </w:tc>
        <w:tc>
          <w:tcPr>
            <w:tcW w:w="1414" w:type="dxa"/>
            <w:tcBorders>
              <w:top w:val="single" w:color="auto" w:sz="4" w:space="0"/>
              <w:left w:val="nil"/>
              <w:bottom w:val="single" w:color="auto" w:sz="4" w:space="0"/>
              <w:right w:val="single" w:color="auto" w:sz="4" w:space="0"/>
            </w:tcBorders>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指标权重</w:t>
            </w:r>
          </w:p>
        </w:tc>
      </w:tr>
      <w:tr>
        <w:tblPrEx>
          <w:tblCellMar>
            <w:top w:w="0" w:type="dxa"/>
            <w:left w:w="108" w:type="dxa"/>
            <w:bottom w:w="0" w:type="dxa"/>
            <w:right w:w="108" w:type="dxa"/>
          </w:tblCellMar>
        </w:tblPrEx>
        <w:trPr>
          <w:trHeight w:val="275" w:hRule="atLeast"/>
        </w:trPr>
        <w:tc>
          <w:tcPr>
            <w:tcW w:w="793" w:type="dxa"/>
            <w:tcBorders>
              <w:top w:val="nil"/>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3654" w:type="dxa"/>
            <w:tcBorders>
              <w:top w:val="nil"/>
              <w:left w:val="nil"/>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12</w:t>
            </w:r>
            <w:r>
              <w:rPr>
                <w:rFonts w:hint="eastAsia" w:ascii="微软雅黑" w:hAnsi="微软雅黑" w:eastAsia="微软雅黑" w:cs="微软雅黑"/>
                <w:sz w:val="21"/>
                <w:szCs w:val="21"/>
                <w:lang w:val="en-US" w:eastAsia="zh-CN"/>
              </w:rPr>
              <w:t>·</w:t>
            </w:r>
            <w:r>
              <w:rPr>
                <w:rFonts w:hint="eastAsia" w:ascii="仿宋_GB2312" w:hAnsi="仿宋" w:eastAsia="仿宋_GB2312" w:cs="Times New Roman"/>
                <w:sz w:val="21"/>
                <w:szCs w:val="21"/>
                <w:lang w:val="en-US" w:eastAsia="zh-CN"/>
              </w:rPr>
              <w:t>4国家宪法日法治宣传活动质量要求</w:t>
            </w:r>
          </w:p>
        </w:tc>
        <w:tc>
          <w:tcPr>
            <w:tcW w:w="1627" w:type="dxa"/>
            <w:tcBorders>
              <w:top w:val="nil"/>
              <w:left w:val="nil"/>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定性</w:t>
            </w:r>
          </w:p>
        </w:tc>
        <w:tc>
          <w:tcPr>
            <w:tcW w:w="1628" w:type="dxa"/>
            <w:tcBorders>
              <w:top w:val="nil"/>
              <w:left w:val="nil"/>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优良</w:t>
            </w:r>
          </w:p>
        </w:tc>
        <w:tc>
          <w:tcPr>
            <w:tcW w:w="1448" w:type="dxa"/>
            <w:tcBorders>
              <w:top w:val="nil"/>
              <w:left w:val="nil"/>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p>
        </w:tc>
        <w:tc>
          <w:tcPr>
            <w:tcW w:w="1414" w:type="dxa"/>
            <w:tcBorders>
              <w:top w:val="nil"/>
              <w:left w:val="nil"/>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w:t>
            </w:r>
          </w:p>
        </w:tc>
        <w:tc>
          <w:tcPr>
            <w:tcW w:w="3654"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通过对全区弱势群体法律宣传和法律服务，使得弱势群体得到法律援助保障。</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优良</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民事案件</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w:t>
            </w:r>
          </w:p>
        </w:tc>
        <w:tc>
          <w:tcPr>
            <w:tcW w:w="162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170</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件</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4</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刑事案件</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w:t>
            </w:r>
          </w:p>
        </w:tc>
        <w:tc>
          <w:tcPr>
            <w:tcW w:w="162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115</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件</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5</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刑事值班</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ind w:firstLine="208" w:firstLineChars="100"/>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62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180</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天</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w:t>
            </w:r>
          </w:p>
        </w:tc>
        <w:tc>
          <w:tcPr>
            <w:tcW w:w="36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群众法治宣传教育知晓率、满意度进一步提升，法治宣传教育覆盖面进一步扩大，市民法治素养进一步提升，地区法治环境进一步优化。</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center"/>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7</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村居满意度</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tabs>
                <w:tab w:val="center" w:pos="695"/>
              </w:tabs>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90</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8</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村民满意度</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90</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9</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合法性审核率</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100</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10</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文件制定规范</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文件制定规范、法治化水平提升</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11</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依法行政水平提升</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加强法治政府建设，提高全区依法行政水平。</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12</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专家律师法律顾问团</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为门头沟区法治建设提供智力支撑</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13</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完成案件全部诉讼审理程序，代为提交法律文件、出庭应诉。</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14</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开展社区矫正和安置帮教教育帮扶工作，维护社会稳定。</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组织居民委员会、村民委员会和其他社会组织依法协助社区矫正机构开展风险评估、心理矫正、技能培训、公益活动以及对对有特殊困难的社区矫正对象进行必要的帮扶活动，最大限度的将社区矫正对象教育矫正成为守法公民。</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15</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租用房屋质量要求</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定性</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达到文件及合同要求</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6.25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16</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项目时效</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2024</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年</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3.25</w:t>
            </w:r>
          </w:p>
        </w:tc>
      </w:tr>
      <w:tr>
        <w:tblPrEx>
          <w:tblCellMar>
            <w:top w:w="0" w:type="dxa"/>
            <w:left w:w="108" w:type="dxa"/>
            <w:bottom w:w="0" w:type="dxa"/>
            <w:right w:w="108" w:type="dxa"/>
          </w:tblCellMar>
        </w:tblPrEx>
        <w:trPr>
          <w:trHeight w:val="275" w:hRule="atLeast"/>
        </w:trPr>
        <w:tc>
          <w:tcPr>
            <w:tcW w:w="793" w:type="dxa"/>
            <w:tcBorders>
              <w:top w:val="single" w:color="auto" w:sz="4" w:space="0"/>
              <w:left w:val="single" w:color="auto" w:sz="4" w:space="0"/>
              <w:bottom w:val="single" w:color="auto" w:sz="4" w:space="0"/>
              <w:right w:val="single" w:color="auto" w:sz="4" w:space="0"/>
            </w:tcBorders>
            <w:vAlign w:val="bottom"/>
          </w:tcPr>
          <w:p>
            <w:pPr>
              <w:widowControl/>
              <w:jc w:val="left"/>
              <w:rPr>
                <w:rFonts w:hint="default" w:ascii="仿宋_GB2312" w:hAnsi="仿宋" w:eastAsia="仿宋_GB2312" w:cs="Times New Roman"/>
                <w:sz w:val="21"/>
                <w:szCs w:val="21"/>
                <w:lang w:val="en-US" w:eastAsia="zh-CN"/>
              </w:rPr>
            </w:pPr>
            <w:bookmarkStart w:id="3" w:name="_Toc268005761"/>
            <w:r>
              <w:rPr>
                <w:rFonts w:hint="eastAsia" w:ascii="仿宋_GB2312" w:hAnsi="仿宋" w:eastAsia="仿宋_GB2312" w:cs="Times New Roman"/>
                <w:sz w:val="21"/>
                <w:szCs w:val="21"/>
                <w:lang w:val="en-US" w:eastAsia="zh-CN"/>
              </w:rPr>
              <w:t>17</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项目控制数</w:t>
            </w:r>
          </w:p>
        </w:tc>
        <w:tc>
          <w:tcPr>
            <w:tcW w:w="1627" w:type="dxa"/>
            <w:tcBorders>
              <w:top w:val="single" w:color="auto" w:sz="4" w:space="0"/>
              <w:left w:val="single" w:color="auto" w:sz="4" w:space="0"/>
              <w:bottom w:val="single" w:color="auto" w:sz="4" w:space="0"/>
              <w:right w:val="single" w:color="auto" w:sz="4" w:space="0"/>
            </w:tcBorders>
            <w:vAlign w:val="bottom"/>
          </w:tcPr>
          <w:p>
            <w:pPr>
              <w:widowControl/>
              <w:jc w:val="left"/>
              <w:rPr>
                <w:rFonts w:hint="default" w:ascii="仿宋_GB2312" w:hAnsi="仿宋" w:eastAsia="仿宋_GB2312" w:cs="Times New Roman"/>
                <w:sz w:val="21"/>
                <w:szCs w:val="21"/>
                <w:lang w:val="en-US" w:eastAsia="zh-CN"/>
              </w:rPr>
            </w:pPr>
            <w:r>
              <w:rPr>
                <w:rFonts w:hint="eastAsia" w:ascii="微软雅黑" w:hAnsi="微软雅黑" w:eastAsia="微软雅黑" w:cs="微软雅黑"/>
                <w:sz w:val="21"/>
                <w:szCs w:val="21"/>
                <w:lang w:val="en-US" w:eastAsia="zh-CN"/>
              </w:rPr>
              <w:t>≤</w:t>
            </w:r>
            <w:r>
              <w:rPr>
                <w:rFonts w:hint="eastAsia" w:ascii="仿宋_GB2312" w:hAnsi="仿宋" w:eastAsia="仿宋_GB2312" w:cs="Times New Roman"/>
                <w:sz w:val="21"/>
                <w:szCs w:val="21"/>
                <w:lang w:val="en-US" w:eastAsia="zh-CN"/>
              </w:rPr>
              <w:t>28715570.03</w:t>
            </w:r>
          </w:p>
        </w:tc>
        <w:tc>
          <w:tcPr>
            <w:tcW w:w="1628" w:type="dxa"/>
            <w:tcBorders>
              <w:top w:val="single" w:color="auto" w:sz="4" w:space="0"/>
              <w:left w:val="single" w:color="auto" w:sz="4" w:space="0"/>
              <w:bottom w:val="single" w:color="auto" w:sz="4" w:space="0"/>
              <w:right w:val="single" w:color="auto" w:sz="4" w:space="0"/>
            </w:tcBorders>
            <w:vAlign w:val="bottom"/>
          </w:tcPr>
          <w:p>
            <w:pPr>
              <w:widowControl/>
              <w:jc w:val="left"/>
              <w:rPr>
                <w:rFonts w:hint="default"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27666780.01</w:t>
            </w:r>
          </w:p>
        </w:tc>
        <w:tc>
          <w:tcPr>
            <w:tcW w:w="1448" w:type="dxa"/>
            <w:tcBorders>
              <w:top w:val="single" w:color="auto" w:sz="4" w:space="0"/>
              <w:left w:val="single" w:color="auto" w:sz="4" w:space="0"/>
              <w:bottom w:val="single" w:color="auto" w:sz="4" w:space="0"/>
              <w:right w:val="single" w:color="auto" w:sz="4" w:space="0"/>
            </w:tcBorders>
          </w:tcPr>
          <w:p>
            <w:pPr>
              <w:widowControl/>
              <w:jc w:val="left"/>
              <w:rPr>
                <w:rFonts w:hint="default"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元</w:t>
            </w:r>
          </w:p>
        </w:tc>
        <w:tc>
          <w:tcPr>
            <w:tcW w:w="1414" w:type="dxa"/>
            <w:tcBorders>
              <w:top w:val="single" w:color="auto" w:sz="4" w:space="0"/>
              <w:left w:val="single" w:color="auto" w:sz="4" w:space="0"/>
              <w:bottom w:val="single" w:color="auto" w:sz="4" w:space="0"/>
              <w:right w:val="single" w:color="auto" w:sz="4" w:space="0"/>
            </w:tcBorders>
          </w:tcPr>
          <w:p>
            <w:pPr>
              <w:widowControl/>
              <w:jc w:val="left"/>
              <w:rPr>
                <w:rFonts w:hint="default"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w:t>
            </w:r>
          </w:p>
        </w:tc>
      </w:tr>
    </w:tbl>
    <w:p>
      <w:pPr>
        <w:spacing w:line="520" w:lineRule="exact"/>
        <w:ind w:firstLine="636" w:firstLineChars="200"/>
        <w:rPr>
          <w:rFonts w:hint="eastAsia" w:ascii="黑体" w:hAnsi="黑体" w:eastAsia="黑体" w:cs="Times New Roman"/>
          <w:sz w:val="32"/>
          <w:szCs w:val="32"/>
        </w:rPr>
      </w:pPr>
      <w:r>
        <w:rPr>
          <w:rFonts w:hint="eastAsia" w:ascii="黑体" w:hAnsi="黑体" w:eastAsia="黑体" w:cs="Times New Roman"/>
          <w:sz w:val="32"/>
          <w:szCs w:val="32"/>
          <w:lang w:eastAsia="zh-CN"/>
        </w:rPr>
        <w:t>二、当年预算执行情况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年全年预算数</w:t>
      </w:r>
      <w:r>
        <w:rPr>
          <w:rFonts w:hint="eastAsia" w:ascii="仿宋_GB2312" w:hAnsi="仿宋" w:eastAsia="仿宋_GB2312" w:cs="Times New Roman"/>
          <w:sz w:val="32"/>
          <w:szCs w:val="32"/>
          <w:lang w:val="en-US" w:eastAsia="zh-CN"/>
        </w:rPr>
        <w:t>2871.557003</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2146.902223</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74.6</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724.65478</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25.4</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0.00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0.0</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截止到</w:t>
      </w:r>
      <w:r>
        <w:rPr>
          <w:rFonts w:ascii="仿宋_GB2312" w:hAnsi="仿宋" w:eastAsia="仿宋_GB2312" w:cs="Times New Roman"/>
          <w:sz w:val="32"/>
          <w:szCs w:val="32"/>
        </w:rPr>
        <w:t>2024</w:t>
      </w:r>
      <w:r>
        <w:rPr>
          <w:rFonts w:hint="eastAsia" w:ascii="仿宋_GB2312" w:hAnsi="仿宋" w:eastAsia="仿宋_GB2312" w:cs="Times New Roman"/>
          <w:sz w:val="32"/>
          <w:szCs w:val="32"/>
        </w:rPr>
        <w:t>年</w:t>
      </w:r>
      <w:r>
        <w:rPr>
          <w:rFonts w:ascii="仿宋_GB2312" w:hAnsi="仿宋" w:eastAsia="仿宋_GB2312" w:cs="Times New Roman"/>
          <w:sz w:val="32"/>
          <w:szCs w:val="32"/>
        </w:rPr>
        <w:t>12</w:t>
      </w:r>
      <w:r>
        <w:rPr>
          <w:rFonts w:hint="eastAsia" w:ascii="仿宋_GB2312" w:hAnsi="仿宋" w:eastAsia="仿宋_GB2312" w:cs="Times New Roman"/>
          <w:sz w:val="32"/>
          <w:szCs w:val="32"/>
        </w:rPr>
        <w:t>月</w:t>
      </w:r>
      <w:r>
        <w:rPr>
          <w:rFonts w:ascii="仿宋_GB2312" w:hAnsi="仿宋" w:eastAsia="仿宋_GB2312" w:cs="Times New Roman"/>
          <w:sz w:val="32"/>
          <w:szCs w:val="32"/>
        </w:rPr>
        <w:t>31</w:t>
      </w:r>
      <w:r>
        <w:rPr>
          <w:rFonts w:hint="eastAsia" w:ascii="仿宋_GB2312" w:hAnsi="仿宋" w:eastAsia="仿宋_GB2312" w:cs="Times New Roman"/>
          <w:sz w:val="32"/>
          <w:szCs w:val="32"/>
        </w:rPr>
        <w:t>日，预算资金总体支出</w:t>
      </w:r>
      <w:r>
        <w:rPr>
          <w:rFonts w:hint="eastAsia" w:ascii="仿宋_GB2312" w:hAnsi="仿宋" w:eastAsia="仿宋_GB2312" w:cs="Times New Roman"/>
          <w:sz w:val="32"/>
          <w:szCs w:val="32"/>
          <w:lang w:val="en-US" w:eastAsia="zh-CN"/>
        </w:rPr>
        <w:t>2766.678001</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2146.902223</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77.6%</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619.775778</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22.4</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0.00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96.1</w:t>
      </w:r>
      <w:r>
        <w:rPr>
          <w:rFonts w:ascii="仿宋_GB2312" w:hAnsi="仿宋" w:eastAsia="仿宋_GB2312" w:cs="Times New Roman"/>
          <w:sz w:val="32"/>
          <w:szCs w:val="32"/>
        </w:rPr>
        <w:t>%</w:t>
      </w:r>
      <w:r>
        <w:rPr>
          <w:rFonts w:hint="eastAsia" w:ascii="仿宋_GB2312" w:hAnsi="仿宋" w:eastAsia="仿宋_GB2312" w:cs="Times New Roman"/>
          <w:sz w:val="32"/>
          <w:szCs w:val="32"/>
        </w:rPr>
        <w:t>。</w:t>
      </w:r>
      <w:r>
        <w:rPr>
          <w:rFonts w:ascii="仿宋_GB2312" w:hAnsi="仿宋" w:eastAsia="仿宋_GB2312" w:cs="Times New Roman"/>
          <w:sz w:val="32"/>
          <w:szCs w:val="32"/>
        </w:rPr>
        <w:t xml:space="preserve">                                </w:t>
      </w:r>
    </w:p>
    <w:bookmarkEnd w:id="3"/>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104.879002</w:t>
      </w:r>
      <w:r>
        <w:rPr>
          <w:rFonts w:hint="eastAsia" w:ascii="仿宋_GB2312" w:hAnsi="Times New Roman" w:eastAsia="仿宋_GB2312" w:cs="Times New Roman"/>
          <w:sz w:val="32"/>
          <w:szCs w:val="32"/>
        </w:rPr>
        <w:t>万元，全年支出预算数为</w:t>
      </w:r>
      <w:r>
        <w:rPr>
          <w:rFonts w:hint="eastAsia" w:ascii="仿宋_GB2312" w:hAnsi="Times New Roman" w:eastAsia="仿宋_GB2312" w:cs="Times New Roman"/>
          <w:sz w:val="32"/>
          <w:szCs w:val="32"/>
          <w:lang w:val="en-US" w:eastAsia="zh-CN"/>
        </w:rPr>
        <w:t>2766.678001</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3.6</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仿宋" w:eastAsia="仿宋_GB2312" w:cs="Times New Roman"/>
          <w:sz w:val="32"/>
          <w:szCs w:val="32"/>
        </w:rPr>
        <w:t>2023</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13.87</w:t>
      </w:r>
      <w:r>
        <w:rPr>
          <w:rFonts w:hint="eastAsia" w:ascii="仿宋_GB2312" w:hAnsi="Times New Roman" w:eastAsia="仿宋_GB2312" w:cs="Times New Roman"/>
          <w:sz w:val="32"/>
          <w:szCs w:val="32"/>
        </w:rPr>
        <w:t>万元，全年支出预算数为</w:t>
      </w:r>
      <w:r>
        <w:rPr>
          <w:rFonts w:hint="eastAsia" w:ascii="仿宋_GB2312" w:hAnsi="Times New Roman" w:eastAsia="仿宋_GB2312" w:cs="Times New Roman"/>
          <w:sz w:val="32"/>
          <w:szCs w:val="32"/>
          <w:lang w:val="en-US" w:eastAsia="zh-CN"/>
        </w:rPr>
        <w:t>2721.50</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1.2</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2024</w:t>
      </w:r>
      <w:r>
        <w:rPr>
          <w:rFonts w:hint="eastAsia" w:ascii="仿宋_GB2312" w:hAnsi="Times New Roman" w:eastAsia="仿宋_GB2312" w:cs="Times New Roman"/>
          <w:sz w:val="32"/>
          <w:szCs w:val="32"/>
        </w:rPr>
        <w:t>年度部门结转结余率较上一年上升了</w:t>
      </w:r>
      <w:r>
        <w:rPr>
          <w:rFonts w:hint="eastAsia" w:ascii="仿宋_GB2312" w:hAnsi="Times New Roman" w:eastAsia="仿宋_GB2312" w:cs="Times New Roman"/>
          <w:sz w:val="32"/>
          <w:szCs w:val="32"/>
          <w:lang w:val="en-US" w:eastAsia="zh-CN"/>
        </w:rPr>
        <w:t>2.4</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三、整体绩效目标实现情况</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（一）产出完成情况分析</w:t>
      </w:r>
    </w:p>
    <w:p>
      <w:pPr>
        <w:spacing w:line="520" w:lineRule="exact"/>
        <w:ind w:firstLine="636" w:firstLineChars="200"/>
        <w:rPr>
          <w:rFonts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产出数量</w:t>
      </w:r>
    </w:p>
    <w:tbl>
      <w:tblPr>
        <w:tblStyle w:val="6"/>
        <w:tblW w:w="9200" w:type="dxa"/>
        <w:tblInd w:w="108" w:type="dxa"/>
        <w:tblLayout w:type="fixed"/>
        <w:tblCellMar>
          <w:top w:w="0" w:type="dxa"/>
          <w:left w:w="108" w:type="dxa"/>
          <w:bottom w:w="0" w:type="dxa"/>
          <w:right w:w="108" w:type="dxa"/>
        </w:tblCellMar>
      </w:tblPr>
      <w:tblGrid>
        <w:gridCol w:w="800"/>
        <w:gridCol w:w="2100"/>
        <w:gridCol w:w="2100"/>
        <w:gridCol w:w="2100"/>
        <w:gridCol w:w="2100"/>
      </w:tblGrid>
      <w:tr>
        <w:tblPrEx>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民事案件</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170</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313　</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刑事案件</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115</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157　</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刑事值班</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180</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416　</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r>
        <w:tblPrEx>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4</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文件合法性审核率</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100%</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该指标线下完成</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w:t>
            </w:r>
          </w:p>
        </w:tc>
      </w:tr>
    </w:tbl>
    <w:p>
      <w:pPr>
        <w:spacing w:line="520" w:lineRule="exact"/>
        <w:ind w:firstLine="636" w:firstLineChars="200"/>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产出质量</w:t>
      </w:r>
    </w:p>
    <w:tbl>
      <w:tblPr>
        <w:tblStyle w:val="6"/>
        <w:tblW w:w="9500" w:type="dxa"/>
        <w:tblInd w:w="-192" w:type="dxa"/>
        <w:tblLayout w:type="fixed"/>
        <w:tblCellMar>
          <w:top w:w="0" w:type="dxa"/>
          <w:left w:w="108" w:type="dxa"/>
          <w:bottom w:w="0" w:type="dxa"/>
          <w:right w:w="108" w:type="dxa"/>
        </w:tblCellMar>
      </w:tblPr>
      <w:tblGrid>
        <w:gridCol w:w="825"/>
        <w:gridCol w:w="2200"/>
        <w:gridCol w:w="2765"/>
        <w:gridCol w:w="1610"/>
        <w:gridCol w:w="2100"/>
      </w:tblGrid>
      <w:tr>
        <w:tblPrEx>
          <w:tblCellMar>
            <w:top w:w="0" w:type="dxa"/>
            <w:left w:w="108" w:type="dxa"/>
            <w:bottom w:w="0" w:type="dxa"/>
            <w:right w:w="108" w:type="dxa"/>
          </w:tblCellMar>
        </w:tblPrEx>
        <w:trPr>
          <w:trHeight w:val="510"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22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2765"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161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CellMar>
            <w:top w:w="0" w:type="dxa"/>
            <w:left w:w="108" w:type="dxa"/>
            <w:bottom w:w="0" w:type="dxa"/>
            <w:right w:w="108" w:type="dxa"/>
          </w:tblCellMar>
        </w:tblPrEx>
        <w:trPr>
          <w:trHeight w:val="510" w:hRule="atLeast"/>
        </w:trPr>
        <w:tc>
          <w:tcPr>
            <w:tcW w:w="825"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22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文件制定规范</w:t>
            </w:r>
          </w:p>
        </w:tc>
        <w:tc>
          <w:tcPr>
            <w:tcW w:w="2765"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规范性文件制定科学化、民主化、法治化水平提升</w:t>
            </w:r>
          </w:p>
        </w:tc>
        <w:tc>
          <w:tcPr>
            <w:tcW w:w="161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该指标线下完成</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p>
        </w:tc>
      </w:tr>
      <w:tr>
        <w:tblPrEx>
          <w:tblCellMar>
            <w:top w:w="0" w:type="dxa"/>
            <w:left w:w="108" w:type="dxa"/>
            <w:bottom w:w="0" w:type="dxa"/>
            <w:right w:w="108" w:type="dxa"/>
          </w:tblCellMar>
        </w:tblPrEx>
        <w:trPr>
          <w:trHeight w:val="510" w:hRule="atLeast"/>
        </w:trPr>
        <w:tc>
          <w:tcPr>
            <w:tcW w:w="825"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w:t>
            </w:r>
          </w:p>
        </w:tc>
        <w:tc>
          <w:tcPr>
            <w:tcW w:w="22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专家律师法律顾问团</w:t>
            </w:r>
          </w:p>
        </w:tc>
        <w:tc>
          <w:tcPr>
            <w:tcW w:w="2765"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为门头沟区法治建设提供智力支撑</w:t>
            </w:r>
          </w:p>
        </w:tc>
        <w:tc>
          <w:tcPr>
            <w:tcW w:w="161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无　</w:t>
            </w:r>
          </w:p>
        </w:tc>
      </w:tr>
      <w:tr>
        <w:tblPrEx>
          <w:tblCellMar>
            <w:top w:w="0" w:type="dxa"/>
            <w:left w:w="108" w:type="dxa"/>
            <w:bottom w:w="0" w:type="dxa"/>
            <w:right w:w="108" w:type="dxa"/>
          </w:tblCellMar>
        </w:tblPrEx>
        <w:trPr>
          <w:trHeight w:val="510"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w:t>
            </w:r>
          </w:p>
        </w:tc>
        <w:tc>
          <w:tcPr>
            <w:tcW w:w="22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12</w:t>
            </w:r>
            <w:r>
              <w:rPr>
                <w:rFonts w:hint="eastAsia" w:ascii="微软雅黑" w:hAnsi="微软雅黑" w:eastAsia="微软雅黑" w:cs="微软雅黑"/>
                <w:sz w:val="21"/>
                <w:szCs w:val="21"/>
                <w:lang w:val="en-US" w:eastAsia="zh-CN"/>
              </w:rPr>
              <w:t>·</w:t>
            </w:r>
            <w:r>
              <w:rPr>
                <w:rFonts w:hint="eastAsia" w:ascii="仿宋_GB2312" w:hAnsi="仿宋" w:eastAsia="仿宋_GB2312" w:cs="Times New Roman"/>
                <w:sz w:val="21"/>
                <w:szCs w:val="21"/>
                <w:lang w:val="en-US" w:eastAsia="zh-CN"/>
              </w:rPr>
              <w:t>4国家宪法日法治</w:t>
            </w:r>
            <w:bookmarkStart w:id="4" w:name="_GoBack"/>
            <w:bookmarkEnd w:id="4"/>
            <w:r>
              <w:rPr>
                <w:rFonts w:hint="eastAsia" w:ascii="仿宋_GB2312" w:hAnsi="仿宋" w:eastAsia="仿宋_GB2312" w:cs="Times New Roman"/>
                <w:sz w:val="21"/>
                <w:szCs w:val="21"/>
                <w:lang w:val="en-US" w:eastAsia="zh-CN"/>
              </w:rPr>
              <w:t>宣传活动质量要求　</w:t>
            </w:r>
          </w:p>
        </w:tc>
        <w:tc>
          <w:tcPr>
            <w:tcW w:w="276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xml:space="preserve"> 达到合同要求</w:t>
            </w:r>
          </w:p>
        </w:tc>
        <w:tc>
          <w:tcPr>
            <w:tcW w:w="161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无　</w:t>
            </w:r>
          </w:p>
        </w:tc>
      </w:tr>
      <w:tr>
        <w:tblPrEx>
          <w:tblCellMar>
            <w:top w:w="0" w:type="dxa"/>
            <w:left w:w="108" w:type="dxa"/>
            <w:bottom w:w="0" w:type="dxa"/>
            <w:right w:w="108" w:type="dxa"/>
          </w:tblCellMar>
        </w:tblPrEx>
        <w:trPr>
          <w:trHeight w:val="510"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4</w:t>
            </w:r>
          </w:p>
        </w:tc>
        <w:tc>
          <w:tcPr>
            <w:tcW w:w="22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完成案件全部诉讼审理程序，代为提交法律文件、出庭应诉。</w:t>
            </w:r>
          </w:p>
        </w:tc>
        <w:tc>
          <w:tcPr>
            <w:tcW w:w="276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61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无</w:t>
            </w:r>
          </w:p>
        </w:tc>
      </w:tr>
      <w:tr>
        <w:tblPrEx>
          <w:tblCellMar>
            <w:top w:w="0" w:type="dxa"/>
            <w:left w:w="108" w:type="dxa"/>
            <w:bottom w:w="0" w:type="dxa"/>
            <w:right w:w="108" w:type="dxa"/>
          </w:tblCellMar>
        </w:tblPrEx>
        <w:trPr>
          <w:trHeight w:val="510"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5</w:t>
            </w:r>
          </w:p>
        </w:tc>
        <w:tc>
          <w:tcPr>
            <w:tcW w:w="22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租用房屋质量要求</w:t>
            </w:r>
          </w:p>
        </w:tc>
        <w:tc>
          <w:tcPr>
            <w:tcW w:w="2765"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达到文件及合同要求</w:t>
            </w:r>
          </w:p>
        </w:tc>
        <w:tc>
          <w:tcPr>
            <w:tcW w:w="161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符合相关要求</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无</w:t>
            </w:r>
          </w:p>
        </w:tc>
      </w:tr>
    </w:tbl>
    <w:p>
      <w:pPr>
        <w:spacing w:line="520" w:lineRule="exact"/>
        <w:ind w:firstLine="636" w:firstLineChars="200"/>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p>
    <w:p>
      <w:pPr>
        <w:spacing w:line="520" w:lineRule="exact"/>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产出进度</w:t>
      </w:r>
    </w:p>
    <w:tbl>
      <w:tblPr>
        <w:tblStyle w:val="6"/>
        <w:tblW w:w="10000" w:type="dxa"/>
        <w:tblInd w:w="-192" w:type="dxa"/>
        <w:tblLayout w:type="fixed"/>
        <w:tblCellMar>
          <w:top w:w="0" w:type="dxa"/>
          <w:left w:w="108" w:type="dxa"/>
          <w:bottom w:w="0" w:type="dxa"/>
          <w:right w:w="108" w:type="dxa"/>
        </w:tblCellMar>
      </w:tblPr>
      <w:tblGrid>
        <w:gridCol w:w="825"/>
        <w:gridCol w:w="1847"/>
        <w:gridCol w:w="1885"/>
        <w:gridCol w:w="1575"/>
        <w:gridCol w:w="3868"/>
      </w:tblGrid>
      <w:tr>
        <w:tblPrEx>
          <w:tblCellMar>
            <w:top w:w="0" w:type="dxa"/>
            <w:left w:w="108" w:type="dxa"/>
            <w:bottom w:w="0" w:type="dxa"/>
            <w:right w:w="108" w:type="dxa"/>
          </w:tblCellMar>
        </w:tblPrEx>
        <w:trPr>
          <w:trHeight w:val="510"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847"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1885"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1575"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3868"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CellMar>
            <w:top w:w="0" w:type="dxa"/>
            <w:left w:w="108" w:type="dxa"/>
            <w:bottom w:w="0" w:type="dxa"/>
            <w:right w:w="108" w:type="dxa"/>
          </w:tblCellMar>
        </w:tblPrEx>
        <w:trPr>
          <w:trHeight w:val="510" w:hRule="atLeast"/>
        </w:trPr>
        <w:tc>
          <w:tcPr>
            <w:tcW w:w="825"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1847"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项目时效</w:t>
            </w:r>
          </w:p>
        </w:tc>
        <w:tc>
          <w:tcPr>
            <w:tcW w:w="1885"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2024年全年</w:t>
            </w:r>
          </w:p>
        </w:tc>
        <w:tc>
          <w:tcPr>
            <w:tcW w:w="1575"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个别项目未完成</w:t>
            </w:r>
          </w:p>
        </w:tc>
        <w:tc>
          <w:tcPr>
            <w:tcW w:w="3868"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因预算申报时我局仅对项目费用进行了粗略概算，尚未进行可行性研究报告及设计方案申报，因此存在部分费用未纳入概算，部分费用估算不准确的情形，需对预算细目进行调整，因此整体项目延迟。</w:t>
            </w:r>
          </w:p>
        </w:tc>
      </w:tr>
    </w:tbl>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产出成本</w:t>
      </w:r>
    </w:p>
    <w:tbl>
      <w:tblPr>
        <w:tblStyle w:val="6"/>
        <w:tblW w:w="10000" w:type="dxa"/>
        <w:tblInd w:w="-192" w:type="dxa"/>
        <w:tblLayout w:type="fixed"/>
        <w:tblCellMar>
          <w:top w:w="0" w:type="dxa"/>
          <w:left w:w="108" w:type="dxa"/>
          <w:bottom w:w="0" w:type="dxa"/>
          <w:right w:w="108" w:type="dxa"/>
        </w:tblCellMar>
      </w:tblPr>
      <w:tblGrid>
        <w:gridCol w:w="825"/>
        <w:gridCol w:w="1847"/>
        <w:gridCol w:w="1885"/>
        <w:gridCol w:w="1575"/>
        <w:gridCol w:w="3868"/>
      </w:tblGrid>
      <w:tr>
        <w:tblPrEx>
          <w:tblCellMar>
            <w:top w:w="0" w:type="dxa"/>
            <w:left w:w="108" w:type="dxa"/>
            <w:bottom w:w="0" w:type="dxa"/>
            <w:right w:w="108" w:type="dxa"/>
          </w:tblCellMar>
        </w:tblPrEx>
        <w:trPr>
          <w:trHeight w:val="510"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847"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1885"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1575"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3868"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CellMar>
            <w:top w:w="0" w:type="dxa"/>
            <w:left w:w="108" w:type="dxa"/>
            <w:bottom w:w="0" w:type="dxa"/>
            <w:right w:w="108" w:type="dxa"/>
          </w:tblCellMar>
        </w:tblPrEx>
        <w:trPr>
          <w:trHeight w:val="510" w:hRule="atLeast"/>
        </w:trPr>
        <w:tc>
          <w:tcPr>
            <w:tcW w:w="825"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1847"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预算控制数</w:t>
            </w:r>
          </w:p>
        </w:tc>
        <w:tc>
          <w:tcPr>
            <w:tcW w:w="1885" w:type="dxa"/>
            <w:tcBorders>
              <w:top w:val="nil"/>
              <w:left w:val="nil"/>
              <w:bottom w:val="single" w:color="auto" w:sz="4" w:space="0"/>
              <w:right w:val="single" w:color="auto" w:sz="4" w:space="0"/>
            </w:tcBorders>
            <w:vAlign w:val="center"/>
          </w:tcPr>
          <w:p>
            <w:pPr>
              <w:widowControl/>
              <w:jc w:val="left"/>
              <w:rPr>
                <w:rFonts w:hint="default"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28715570.03</w:t>
            </w:r>
          </w:p>
        </w:tc>
        <w:tc>
          <w:tcPr>
            <w:tcW w:w="1575"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27666780.01</w:t>
            </w:r>
          </w:p>
        </w:tc>
        <w:tc>
          <w:tcPr>
            <w:tcW w:w="3868"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因预算申报时我局仅对行政规范性文审平台项目费用进行了粗略概算，尚未进行可行性研究报告及设计方案申报，因此存在部分费用未纳入概算，部分费用估算不准确的情形，需对预算细目进行调整，因此整体项目延迟。</w:t>
            </w:r>
          </w:p>
        </w:tc>
      </w:tr>
    </w:tbl>
    <w:p>
      <w:pPr>
        <w:spacing w:line="520" w:lineRule="exact"/>
        <w:ind w:firstLine="636" w:firstLineChars="200"/>
        <w:rPr>
          <w:rFonts w:hint="eastAsia" w:ascii="楷体_GB2312" w:hAnsi="Times New Roman" w:eastAsia="楷体_GB2312" w:cs="Times New Roman"/>
          <w:sz w:val="32"/>
          <w:szCs w:val="32"/>
        </w:rPr>
      </w:pP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（二）效果实现情况分析</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经济效益</w:t>
      </w:r>
    </w:p>
    <w:p>
      <w:pPr>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无。</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社会效益</w:t>
      </w:r>
    </w:p>
    <w:tbl>
      <w:tblPr>
        <w:tblStyle w:val="6"/>
        <w:tblW w:w="9200" w:type="dxa"/>
        <w:tblInd w:w="108" w:type="dxa"/>
        <w:tblLayout w:type="fixed"/>
        <w:tblCellMar>
          <w:top w:w="0" w:type="dxa"/>
          <w:left w:w="108" w:type="dxa"/>
          <w:bottom w:w="0" w:type="dxa"/>
          <w:right w:w="108" w:type="dxa"/>
        </w:tblCellMar>
      </w:tblPr>
      <w:tblGrid>
        <w:gridCol w:w="800"/>
        <w:gridCol w:w="3768"/>
        <w:gridCol w:w="1157"/>
        <w:gridCol w:w="1564"/>
        <w:gridCol w:w="1911"/>
      </w:tblGrid>
      <w:tr>
        <w:tblPrEx>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3768"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1157"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1564"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1911"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3768"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通过对全区弱势群体法律宣传和法律服务，使得弱势群体得到法律援助保障。</w:t>
            </w:r>
          </w:p>
        </w:tc>
        <w:tc>
          <w:tcPr>
            <w:tcW w:w="1157"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564"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911"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w:t>
            </w:r>
          </w:p>
        </w:tc>
        <w:tc>
          <w:tcPr>
            <w:tcW w:w="3768"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群众法治宣传教育知晓率、满意度进一步提升，法治宣传教育覆盖面进一步扩大，市民法治素养进一步提升，地区法治环境进一步优化。</w:t>
            </w:r>
          </w:p>
        </w:tc>
        <w:tc>
          <w:tcPr>
            <w:tcW w:w="1157"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564"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911"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3</w:t>
            </w:r>
          </w:p>
        </w:tc>
        <w:tc>
          <w:tcPr>
            <w:tcW w:w="3768"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依法行政水平提升。</w:t>
            </w:r>
          </w:p>
        </w:tc>
        <w:tc>
          <w:tcPr>
            <w:tcW w:w="1157"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564"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911"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r>
        <w:tblPrEx>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4</w:t>
            </w:r>
          </w:p>
        </w:tc>
        <w:tc>
          <w:tcPr>
            <w:tcW w:w="37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开展社区矫正和安置帮教教育帮扶工作，维护社会稳定。</w:t>
            </w:r>
          </w:p>
        </w:tc>
        <w:tc>
          <w:tcPr>
            <w:tcW w:w="1157"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优良</w:t>
            </w:r>
          </w:p>
        </w:tc>
        <w:tc>
          <w:tcPr>
            <w:tcW w:w="156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优良</w:t>
            </w:r>
          </w:p>
        </w:tc>
        <w:tc>
          <w:tcPr>
            <w:tcW w:w="191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bl>
    <w:p>
      <w:pPr>
        <w:spacing w:line="520" w:lineRule="exact"/>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环境效益</w:t>
      </w:r>
    </w:p>
    <w:p>
      <w:pPr>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无。</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可持续影响</w:t>
      </w:r>
    </w:p>
    <w:p>
      <w:pPr>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无。</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5.</w:t>
      </w:r>
      <w:r>
        <w:rPr>
          <w:rFonts w:hint="eastAsia" w:ascii="仿宋_GB2312" w:hAnsi="仿宋" w:eastAsia="仿宋_GB2312" w:cs="Times New Roman"/>
          <w:sz w:val="32"/>
          <w:szCs w:val="32"/>
        </w:rPr>
        <w:t>服务对象满意度</w:t>
      </w:r>
    </w:p>
    <w:tbl>
      <w:tblPr>
        <w:tblStyle w:val="6"/>
        <w:tblW w:w="9200" w:type="dxa"/>
        <w:tblInd w:w="108" w:type="dxa"/>
        <w:tblLayout w:type="fixed"/>
        <w:tblCellMar>
          <w:top w:w="0" w:type="dxa"/>
          <w:left w:w="108" w:type="dxa"/>
          <w:bottom w:w="0" w:type="dxa"/>
          <w:right w:w="108" w:type="dxa"/>
        </w:tblCellMar>
      </w:tblPr>
      <w:tblGrid>
        <w:gridCol w:w="800"/>
        <w:gridCol w:w="2100"/>
        <w:gridCol w:w="2100"/>
        <w:gridCol w:w="2100"/>
        <w:gridCol w:w="2100"/>
      </w:tblGrid>
      <w:tr>
        <w:tblPrEx>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村民满意度</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90%</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100%</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r>
        <w:tblPrEx>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2</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村居满意度</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90%</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100%</w:t>
            </w:r>
          </w:p>
        </w:tc>
        <w:tc>
          <w:tcPr>
            <w:tcW w:w="2100" w:type="dxa"/>
            <w:tcBorders>
              <w:top w:val="nil"/>
              <w:left w:val="nil"/>
              <w:bottom w:val="single" w:color="auto" w:sz="4" w:space="0"/>
              <w:right w:val="single" w:color="auto" w:sz="4" w:space="0"/>
            </w:tcBorders>
            <w:vAlign w:val="center"/>
          </w:tcPr>
          <w:p>
            <w:pPr>
              <w:widowControl/>
              <w:jc w:val="left"/>
              <w:rPr>
                <w:rFonts w:hint="eastAsia" w:ascii="仿宋_GB2312" w:hAnsi="仿宋" w:eastAsia="仿宋_GB2312" w:cs="Times New Roman"/>
                <w:sz w:val="21"/>
                <w:szCs w:val="21"/>
                <w:lang w:val="en-US" w:eastAsia="zh-CN"/>
              </w:rPr>
            </w:pPr>
            <w:r>
              <w:rPr>
                <w:rFonts w:hint="eastAsia" w:ascii="仿宋_GB2312" w:hAnsi="仿宋" w:eastAsia="仿宋_GB2312" w:cs="Times New Roman"/>
                <w:sz w:val="21"/>
                <w:szCs w:val="21"/>
                <w:lang w:val="en-US" w:eastAsia="zh-CN"/>
              </w:rPr>
              <w:t>　无</w:t>
            </w:r>
          </w:p>
        </w:tc>
      </w:tr>
    </w:tbl>
    <w:p>
      <w:pPr>
        <w:spacing w:line="520" w:lineRule="exact"/>
        <w:rPr>
          <w:rFonts w:hint="eastAsia" w:ascii="黑体" w:hAnsi="黑体" w:eastAsia="黑体" w:cs="Times New Roman"/>
          <w:sz w:val="32"/>
          <w:szCs w:val="32"/>
        </w:rPr>
      </w:pP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四、预算管理情况分析</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（一）财务管理</w:t>
      </w:r>
    </w:p>
    <w:p>
      <w:pPr>
        <w:adjustRightInd w:val="0"/>
        <w:snapToGrid w:val="0"/>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eastAsia="zh-CN"/>
        </w:rPr>
        <w:t>截止到20</w:t>
      </w:r>
      <w:r>
        <w:rPr>
          <w:rFonts w:hint="eastAsia" w:ascii="仿宋_GB2312" w:hAnsi="仿宋" w:eastAsia="仿宋_GB2312" w:cs="Times New Roman"/>
          <w:sz w:val="32"/>
          <w:szCs w:val="32"/>
          <w:lang w:val="en-US" w:eastAsia="zh-CN"/>
        </w:rPr>
        <w:t>24</w:t>
      </w:r>
      <w:r>
        <w:rPr>
          <w:rFonts w:hint="eastAsia" w:ascii="仿宋_GB2312" w:hAnsi="仿宋" w:eastAsia="仿宋_GB2312" w:cs="Times New Roman"/>
          <w:sz w:val="32"/>
          <w:szCs w:val="32"/>
          <w:lang w:eastAsia="zh-CN"/>
        </w:rPr>
        <w:t>年12月31日，本单位已建立健全财务、收支等管理制度，明确了本局收支管理流程的流程节点、岗位分工等，并对涉及的科室进行明确的规定，包括需求科室、归口管理科室、分管主管领导，及需经局长办公会及党组会讨论通过的要求等，并且严格按照相关规定执行。</w:t>
      </w:r>
      <w:r>
        <w:rPr>
          <w:rFonts w:hint="eastAsia" w:ascii="仿宋_GB2312" w:hAnsi="仿宋" w:eastAsia="仿宋_GB2312" w:cs="Times New Roman"/>
          <w:sz w:val="32"/>
          <w:szCs w:val="32"/>
          <w:lang w:val="en-US" w:eastAsia="zh-CN"/>
        </w:rPr>
        <w:t>2024年重新修订了《门头沟区司法局固定资产管理制度》、《门头沟区司法局收入管理制度》和《门头沟区司法局采购管理制度》。</w:t>
      </w:r>
    </w:p>
    <w:p>
      <w:pPr>
        <w:adjustRightInd w:val="0"/>
        <w:snapToGrid w:val="0"/>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eastAsia="zh-CN"/>
        </w:rPr>
        <w:t>财务信息及资料均由具有财务知识的人管理归纳，定期移交档案室。并且定期对财务管理情况进行监督检查。</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（二）资产管理</w:t>
      </w:r>
    </w:p>
    <w:p>
      <w:pPr>
        <w:adjustRightInd w:val="0"/>
        <w:snapToGrid w:val="0"/>
        <w:spacing w:line="520" w:lineRule="exact"/>
        <w:ind w:firstLine="636" w:firstLineChars="200"/>
        <w:rPr>
          <w:rFonts w:hint="eastAsia" w:ascii="仿宋_GB2312" w:hAnsi="仿宋" w:eastAsia="仿宋_GB2312" w:cs="Times New Roman"/>
          <w:sz w:val="32"/>
          <w:szCs w:val="32"/>
          <w:highlight w:val="none"/>
          <w:lang w:eastAsia="zh-CN"/>
        </w:rPr>
      </w:pPr>
      <w:r>
        <w:rPr>
          <w:rFonts w:hint="eastAsia" w:ascii="仿宋_GB2312" w:hAnsi="仿宋" w:eastAsia="仿宋_GB2312" w:cs="Times New Roman"/>
          <w:sz w:val="32"/>
          <w:szCs w:val="32"/>
          <w:highlight w:val="none"/>
          <w:lang w:eastAsia="zh-CN"/>
        </w:rPr>
        <w:t>本年度年末固定资产原值为</w:t>
      </w:r>
      <w:r>
        <w:rPr>
          <w:rFonts w:hint="eastAsia" w:ascii="仿宋_GB2312" w:hAnsi="仿宋" w:eastAsia="仿宋_GB2312" w:cs="Times New Roman"/>
          <w:sz w:val="32"/>
          <w:szCs w:val="32"/>
          <w:highlight w:val="none"/>
          <w:lang w:val="en-US" w:eastAsia="zh-CN"/>
        </w:rPr>
        <w:t>1440.64</w:t>
      </w:r>
      <w:r>
        <w:rPr>
          <w:rFonts w:hint="eastAsia" w:ascii="仿宋_GB2312" w:hAnsi="仿宋" w:eastAsia="仿宋_GB2312" w:cs="Times New Roman"/>
          <w:sz w:val="32"/>
          <w:szCs w:val="32"/>
          <w:highlight w:val="none"/>
          <w:lang w:eastAsia="zh-CN"/>
        </w:rPr>
        <w:t>万元，上年度为</w:t>
      </w:r>
      <w:r>
        <w:rPr>
          <w:rFonts w:hint="eastAsia" w:ascii="仿宋_GB2312" w:hAnsi="仿宋" w:eastAsia="仿宋_GB2312" w:cs="Times New Roman"/>
          <w:sz w:val="32"/>
          <w:szCs w:val="32"/>
          <w:highlight w:val="none"/>
          <w:lang w:val="en-US" w:eastAsia="zh-CN"/>
        </w:rPr>
        <w:t>1401.35</w:t>
      </w:r>
      <w:r>
        <w:rPr>
          <w:rFonts w:hint="eastAsia" w:ascii="仿宋_GB2312" w:hAnsi="仿宋" w:eastAsia="仿宋_GB2312" w:cs="Times New Roman"/>
          <w:sz w:val="32"/>
          <w:szCs w:val="32"/>
          <w:highlight w:val="none"/>
          <w:lang w:eastAsia="zh-CN"/>
        </w:rPr>
        <w:t>万元，差异较大，</w:t>
      </w:r>
      <w:r>
        <w:rPr>
          <w:rFonts w:hint="eastAsia" w:ascii="仿宋_GB2312" w:hAnsi="仿宋" w:eastAsia="仿宋_GB2312" w:cs="Times New Roman"/>
          <w:sz w:val="32"/>
          <w:szCs w:val="32"/>
          <w:highlight w:val="none"/>
          <w:lang w:val="en-US" w:eastAsia="zh-CN"/>
        </w:rPr>
        <w:t>主要原因为我单位调入一批固定资产及购入一辆公务用车。本年度固定资产净值177.15万元，上年度203.61万元</w:t>
      </w:r>
      <w:r>
        <w:rPr>
          <w:rFonts w:hint="eastAsia" w:ascii="仿宋_GB2312" w:hAnsi="仿宋" w:eastAsia="仿宋_GB2312" w:cs="Times New Roman"/>
          <w:sz w:val="32"/>
          <w:szCs w:val="32"/>
          <w:highlight w:val="none"/>
          <w:lang w:eastAsia="zh-CN"/>
        </w:rPr>
        <w:t>；本年度净资产</w:t>
      </w:r>
      <w:r>
        <w:rPr>
          <w:rFonts w:hint="eastAsia" w:ascii="仿宋_GB2312" w:hAnsi="仿宋" w:eastAsia="仿宋_GB2312" w:cs="Times New Roman"/>
          <w:sz w:val="32"/>
          <w:szCs w:val="32"/>
          <w:highlight w:val="none"/>
          <w:lang w:val="en-US" w:eastAsia="zh-CN"/>
        </w:rPr>
        <w:t>253.57</w:t>
      </w:r>
      <w:r>
        <w:rPr>
          <w:rFonts w:hint="eastAsia" w:ascii="仿宋_GB2312" w:hAnsi="仿宋" w:eastAsia="仿宋_GB2312" w:cs="Times New Roman"/>
          <w:sz w:val="32"/>
          <w:szCs w:val="32"/>
          <w:highlight w:val="none"/>
          <w:lang w:eastAsia="zh-CN"/>
        </w:rPr>
        <w:t>万元，上年度为</w:t>
      </w:r>
      <w:r>
        <w:rPr>
          <w:rFonts w:hint="eastAsia" w:ascii="仿宋_GB2312" w:hAnsi="仿宋" w:eastAsia="仿宋_GB2312" w:cs="Times New Roman"/>
          <w:sz w:val="32"/>
          <w:szCs w:val="32"/>
          <w:highlight w:val="none"/>
          <w:lang w:val="en-US" w:eastAsia="zh-CN"/>
        </w:rPr>
        <w:t>201.28</w:t>
      </w:r>
      <w:r>
        <w:rPr>
          <w:rFonts w:hint="eastAsia" w:ascii="仿宋_GB2312" w:hAnsi="仿宋" w:eastAsia="仿宋_GB2312" w:cs="Times New Roman"/>
          <w:sz w:val="32"/>
          <w:szCs w:val="32"/>
          <w:highlight w:val="none"/>
          <w:lang w:eastAsia="zh-CN"/>
        </w:rPr>
        <w:t>万元，差异较大，差异项主要为调入固定资产及购置一辆公务用车。</w:t>
      </w:r>
    </w:p>
    <w:p>
      <w:pPr>
        <w:spacing w:line="520" w:lineRule="exact"/>
        <w:ind w:firstLine="636" w:firstLineChars="20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（三）绩效管理</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预算绩效管理制度情况</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（1）绩效目标方面：制定绩效目标编制管理要求，完成财政的绩效目标编报工作，将绩效目标作为项目前期评审和预算审核的重要内容之一。　　</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（2）绩效跟踪方面：重点推进以预算部门为主体的绩效跟踪，加强项目预算执行，优化项目资金管理，促进绩效目标实现。</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3）绩效评价方面：一是预算主管部门开展绩效评价，进一步落实支出责任。二是进一步拓展绩效评价管理模式，在重点项目绩效评价的基础上，开展部门整体支出绩效评价工作。三是加强对预算部门和评价机构的政策业务培训，进一步提高绩效评价质量。</w:t>
      </w:r>
    </w:p>
    <w:p>
      <w:pPr>
        <w:adjustRightInd w:val="0"/>
        <w:snapToGrid w:val="0"/>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lang w:eastAsia="zh-CN"/>
        </w:rPr>
        <w:t>（4）绩效信息的收集情况及绩效管理结果的应用情况：</w:t>
      </w:r>
      <w:r>
        <w:rPr>
          <w:rFonts w:hint="eastAsia" w:ascii="仿宋_GB2312" w:hAnsi="仿宋" w:eastAsia="仿宋_GB2312" w:cs="Times New Roman"/>
          <w:sz w:val="32"/>
          <w:szCs w:val="32"/>
          <w:lang w:val="en-US" w:eastAsia="zh-CN"/>
        </w:rPr>
        <w:t>2024</w:t>
      </w:r>
      <w:r>
        <w:rPr>
          <w:rFonts w:hint="eastAsia" w:ascii="仿宋_GB2312" w:hAnsi="仿宋" w:eastAsia="仿宋_GB2312" w:cs="Times New Roman"/>
          <w:sz w:val="32"/>
          <w:szCs w:val="32"/>
          <w:lang w:eastAsia="zh-CN"/>
        </w:rPr>
        <w:t>年完成了设定的绩效量化指标，开展法治政府建设、普法宣传教育、人民调解、社区矫正、法律服务、法律援助等工作，提高全民法律意识，满意率达90%以上。</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绩效目标管理情况</w:t>
      </w:r>
    </w:p>
    <w:p>
      <w:pPr>
        <w:spacing w:line="520" w:lineRule="exact"/>
        <w:ind w:firstLine="636" w:firstLineChars="200"/>
        <w:rPr>
          <w:rFonts w:ascii="仿宋_GB2312" w:hAnsi="微软雅黑" w:eastAsia="仿宋_GB2312" w:cs="微软雅黑"/>
          <w:color w:val="404040"/>
          <w:sz w:val="32"/>
          <w:szCs w:val="32"/>
          <w:shd w:val="clear" w:color="auto" w:fill="FFFFFF"/>
        </w:rPr>
      </w:pPr>
      <w:r>
        <w:rPr>
          <w:rFonts w:ascii="仿宋_GB2312" w:hAnsi="微软雅黑" w:eastAsia="仿宋_GB2312" w:cs="微软雅黑"/>
          <w:color w:val="404040"/>
          <w:sz w:val="32"/>
          <w:szCs w:val="32"/>
          <w:shd w:val="clear" w:color="auto" w:fill="FFFFFF"/>
        </w:rPr>
        <w:t>2024</w:t>
      </w:r>
      <w:r>
        <w:rPr>
          <w:rFonts w:hint="eastAsia" w:ascii="仿宋_GB2312" w:hAnsi="微软雅黑" w:eastAsia="仿宋_GB2312" w:cs="微软雅黑"/>
          <w:color w:val="404040"/>
          <w:sz w:val="32"/>
          <w:szCs w:val="32"/>
          <w:shd w:val="clear" w:color="auto" w:fill="FFFFFF"/>
        </w:rPr>
        <w:t>年部门预算项目</w:t>
      </w:r>
      <w:r>
        <w:rPr>
          <w:rFonts w:hint="eastAsia" w:ascii="仿宋_GB2312" w:hAnsi="微软雅黑" w:eastAsia="仿宋_GB2312" w:cs="微软雅黑"/>
          <w:color w:val="404040"/>
          <w:sz w:val="32"/>
          <w:szCs w:val="32"/>
          <w:shd w:val="clear" w:color="auto" w:fill="FFFFFF"/>
          <w:lang w:val="en-US" w:eastAsia="zh-CN"/>
        </w:rPr>
        <w:t>18</w:t>
      </w:r>
      <w:r>
        <w:rPr>
          <w:rFonts w:hint="eastAsia" w:ascii="仿宋_GB2312" w:hAnsi="微软雅黑" w:eastAsia="仿宋_GB2312" w:cs="微软雅黑"/>
          <w:color w:val="404040"/>
          <w:sz w:val="32"/>
          <w:szCs w:val="32"/>
          <w:shd w:val="clear" w:color="auto" w:fill="FFFFFF"/>
        </w:rPr>
        <w:t>个，部门预算公开绩效目标的预算项目</w:t>
      </w:r>
      <w:r>
        <w:rPr>
          <w:rFonts w:hint="eastAsia" w:ascii="仿宋_GB2312" w:hAnsi="微软雅黑" w:eastAsia="仿宋_GB2312" w:cs="微软雅黑"/>
          <w:color w:val="404040"/>
          <w:sz w:val="32"/>
          <w:szCs w:val="32"/>
          <w:shd w:val="clear" w:color="auto" w:fill="FFFFFF"/>
          <w:lang w:val="en-US" w:eastAsia="zh-CN"/>
        </w:rPr>
        <w:t>15</w:t>
      </w:r>
      <w:r>
        <w:rPr>
          <w:rFonts w:hint="eastAsia" w:ascii="仿宋_GB2312" w:hAnsi="微软雅黑" w:eastAsia="仿宋_GB2312" w:cs="微软雅黑"/>
          <w:color w:val="404040"/>
          <w:sz w:val="32"/>
          <w:szCs w:val="32"/>
          <w:shd w:val="clear" w:color="auto" w:fill="FFFFFF"/>
        </w:rPr>
        <w:t>个，占本部门全部预算项目的</w:t>
      </w:r>
      <w:r>
        <w:rPr>
          <w:rFonts w:hint="eastAsia" w:ascii="仿宋_GB2312" w:hAnsi="微软雅黑" w:eastAsia="仿宋_GB2312" w:cs="微软雅黑"/>
          <w:color w:val="404040"/>
          <w:sz w:val="32"/>
          <w:szCs w:val="32"/>
          <w:shd w:val="clear" w:color="auto" w:fill="FFFFFF"/>
          <w:lang w:val="en-US" w:eastAsia="zh-CN"/>
        </w:rPr>
        <w:t>83.3</w:t>
      </w:r>
      <w:r>
        <w:rPr>
          <w:rFonts w:ascii="仿宋_GB2312" w:hAnsi="微软雅黑" w:eastAsia="仿宋_GB2312" w:cs="微软雅黑"/>
          <w:color w:val="404040"/>
          <w:sz w:val="32"/>
          <w:szCs w:val="32"/>
          <w:shd w:val="clear" w:color="auto" w:fill="FFFFFF"/>
        </w:rPr>
        <w:t>%</w:t>
      </w:r>
      <w:r>
        <w:rPr>
          <w:rFonts w:hint="eastAsia" w:ascii="仿宋_GB2312" w:hAnsi="微软雅黑" w:eastAsia="仿宋_GB2312" w:cs="微软雅黑"/>
          <w:color w:val="404040"/>
          <w:sz w:val="32"/>
          <w:szCs w:val="32"/>
          <w:shd w:val="clear" w:color="auto" w:fill="FFFFFF"/>
        </w:rPr>
        <w:t>。</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绩效运行监控情况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年对</w:t>
      </w:r>
      <w:r>
        <w:rPr>
          <w:rFonts w:hint="eastAsia" w:ascii="仿宋_GB2312" w:hAnsi="Times New Roman" w:eastAsia="仿宋_GB2312" w:cs="Times New Roman"/>
          <w:sz w:val="32"/>
          <w:szCs w:val="32"/>
        </w:rPr>
        <w:t>本部门及所属单位</w:t>
      </w:r>
      <w:r>
        <w:rPr>
          <w:rFonts w:hint="eastAsia" w:ascii="仿宋_GB2312" w:hAnsi="仿宋" w:eastAsia="仿宋_GB2312" w:cs="Times New Roman"/>
          <w:sz w:val="32"/>
          <w:szCs w:val="32"/>
          <w:lang w:val="en-US" w:eastAsia="zh-CN"/>
        </w:rPr>
        <w:t>18</w:t>
      </w:r>
      <w:r>
        <w:rPr>
          <w:rFonts w:hint="eastAsia" w:ascii="仿宋_GB2312" w:hAnsi="仿宋" w:eastAsia="仿宋_GB2312" w:cs="Times New Roman"/>
          <w:sz w:val="32"/>
          <w:szCs w:val="32"/>
        </w:rPr>
        <w:t>个预算项目进行绩效运行监控，占部门项目总数的</w:t>
      </w:r>
      <w:r>
        <w:rPr>
          <w:rFonts w:hint="eastAsia" w:ascii="仿宋_GB2312" w:hAnsi="微软雅黑" w:eastAsia="仿宋_GB2312" w:cs="微软雅黑"/>
          <w:color w:val="404040"/>
          <w:sz w:val="32"/>
          <w:szCs w:val="32"/>
          <w:shd w:val="clear" w:color="auto" w:fill="FFFFFF"/>
          <w:lang w:val="en-US" w:eastAsia="zh-CN"/>
        </w:rPr>
        <w:t>100</w:t>
      </w:r>
      <w:r>
        <w:rPr>
          <w:rFonts w:ascii="仿宋_GB2312" w:hAnsi="微软雅黑" w:eastAsia="仿宋_GB2312" w:cs="微软雅黑"/>
          <w:color w:val="404040"/>
          <w:sz w:val="32"/>
          <w:szCs w:val="32"/>
          <w:shd w:val="clear" w:color="auto" w:fill="FFFFFF"/>
        </w:rPr>
        <w:t>%</w:t>
      </w:r>
      <w:r>
        <w:rPr>
          <w:rFonts w:hint="eastAsia" w:ascii="仿宋_GB2312" w:hAnsi="微软雅黑" w:eastAsia="仿宋_GB2312" w:cs="微软雅黑"/>
          <w:color w:val="404040"/>
          <w:sz w:val="32"/>
          <w:szCs w:val="32"/>
          <w:shd w:val="clear" w:color="auto" w:fill="FFFFFF"/>
        </w:rPr>
        <w:t>，涉及资金</w:t>
      </w:r>
      <w:r>
        <w:rPr>
          <w:rFonts w:hint="eastAsia" w:ascii="仿宋_GB2312" w:hAnsi="仿宋" w:eastAsia="仿宋_GB2312" w:cs="Times New Roman"/>
          <w:sz w:val="32"/>
          <w:szCs w:val="32"/>
          <w:lang w:val="en-US" w:eastAsia="zh-CN"/>
        </w:rPr>
        <w:t>619.775778</w:t>
      </w:r>
      <w:r>
        <w:rPr>
          <w:rFonts w:hint="eastAsia" w:ascii="仿宋_GB2312" w:hAnsi="微软雅黑" w:eastAsia="仿宋_GB2312" w:cs="微软雅黑"/>
          <w:color w:val="404040"/>
          <w:sz w:val="32"/>
          <w:szCs w:val="32"/>
          <w:shd w:val="clear" w:color="auto" w:fill="FFFFFF"/>
        </w:rPr>
        <w:t>万元。</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绩效自评情况</w:t>
      </w:r>
    </w:p>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w:t>
      </w:r>
      <w:r>
        <w:rPr>
          <w:rFonts w:hint="eastAsia" w:ascii="仿宋_GB2312" w:hAnsi="Times New Roman" w:eastAsia="仿宋_GB2312" w:cs="Times New Roman"/>
          <w:sz w:val="32"/>
          <w:szCs w:val="32"/>
        </w:rPr>
        <w:t>对本部门及所属单位</w:t>
      </w:r>
      <w:r>
        <w:rPr>
          <w:rFonts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年项目支出实施了绩效自评，评价项目</w:t>
      </w:r>
      <w:r>
        <w:rPr>
          <w:rFonts w:hint="eastAsia" w:ascii="仿宋_GB2312" w:hAnsi="Times New Roman" w:eastAsia="仿宋_GB2312" w:cs="Times New Roman"/>
          <w:sz w:val="32"/>
          <w:szCs w:val="32"/>
          <w:lang w:val="en-US" w:eastAsia="zh-CN"/>
        </w:rPr>
        <w:t>18</w:t>
      </w:r>
      <w:r>
        <w:rPr>
          <w:rFonts w:hint="eastAsia" w:ascii="仿宋_GB2312" w:hAnsi="Times New Roman" w:eastAsia="仿宋_GB2312" w:cs="Times New Roman"/>
          <w:sz w:val="32"/>
          <w:szCs w:val="32"/>
        </w:rPr>
        <w:t>个，涉及金额</w:t>
      </w:r>
      <w:r>
        <w:rPr>
          <w:rFonts w:hint="eastAsia" w:ascii="仿宋_GB2312" w:hAnsi="仿宋" w:eastAsia="仿宋_GB2312" w:cs="Times New Roman"/>
          <w:sz w:val="32"/>
          <w:szCs w:val="32"/>
          <w:lang w:val="en-US" w:eastAsia="zh-CN"/>
        </w:rPr>
        <w:t>619.775778</w:t>
      </w:r>
      <w:r>
        <w:rPr>
          <w:rFonts w:hint="eastAsia" w:ascii="仿宋_GB2312" w:hAnsi="Times New Roman" w:eastAsia="仿宋_GB2312" w:cs="Times New Roman"/>
          <w:sz w:val="32"/>
          <w:szCs w:val="32"/>
        </w:rPr>
        <w:t>万元。</w:t>
      </w:r>
    </w:p>
    <w:p>
      <w:pPr>
        <w:widowControl/>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五、总体评价结论</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（一）评价得分情况</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请结合《部门整体支出绩效自评表》中的得分情况填写以下内容。</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绩效自评总分：</w:t>
      </w:r>
      <w:r>
        <w:rPr>
          <w:rFonts w:hint="eastAsia" w:ascii="仿宋_GB2312" w:hAnsi="仿宋" w:eastAsia="仿宋_GB2312" w:cs="Times New Roman"/>
          <w:sz w:val="32"/>
          <w:szCs w:val="32"/>
          <w:lang w:val="en-US" w:eastAsia="zh-CN"/>
        </w:rPr>
        <w:t>94.7</w:t>
      </w:r>
      <w:r>
        <w:rPr>
          <w:rFonts w:hint="eastAsia" w:ascii="仿宋_GB2312" w:hAnsi="仿宋" w:eastAsia="仿宋_GB2312" w:cs="Times New Roman"/>
          <w:sz w:val="32"/>
          <w:szCs w:val="32"/>
        </w:rPr>
        <w:t>分</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绩效自评等级：</w:t>
      </w:r>
      <w:r>
        <w:rPr>
          <w:rFonts w:hint="eastAsia" w:ascii="仿宋_GB2312" w:hAnsi="仿宋" w:eastAsia="仿宋_GB2312" w:cs="Times New Roman"/>
          <w:sz w:val="32"/>
          <w:szCs w:val="32"/>
          <w:lang w:eastAsia="zh-CN"/>
        </w:rPr>
        <w:t>优秀</w:t>
      </w:r>
    </w:p>
    <w:p>
      <w:pPr>
        <w:widowControl/>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四类评价等级：优秀（</w:t>
      </w:r>
      <w:r>
        <w:rPr>
          <w:rFonts w:ascii="仿宋_GB2312" w:hAnsi="仿宋" w:eastAsia="仿宋_GB2312" w:cs="Times New Roman"/>
          <w:sz w:val="32"/>
          <w:szCs w:val="32"/>
        </w:rPr>
        <w:t>90</w:t>
      </w:r>
      <w:r>
        <w:rPr>
          <w:rFonts w:hint="eastAsia" w:ascii="仿宋_GB2312" w:hAnsi="仿宋" w:eastAsia="仿宋_GB2312" w:cs="Times New Roman"/>
          <w:sz w:val="32"/>
          <w:szCs w:val="32"/>
        </w:rPr>
        <w:t>（含）</w:t>
      </w:r>
      <w:r>
        <w:rPr>
          <w:rFonts w:ascii="仿宋_GB2312" w:hAnsi="仿宋" w:eastAsia="仿宋_GB2312" w:cs="Times New Roman"/>
          <w:sz w:val="32"/>
          <w:szCs w:val="32"/>
        </w:rPr>
        <w:t>-100</w:t>
      </w:r>
      <w:r>
        <w:rPr>
          <w:rFonts w:hint="eastAsia" w:ascii="仿宋_GB2312" w:hAnsi="仿宋" w:eastAsia="仿宋_GB2312" w:cs="Times New Roman"/>
          <w:sz w:val="32"/>
          <w:szCs w:val="32"/>
        </w:rPr>
        <w:t>分）、良好</w:t>
      </w:r>
      <w:r>
        <w:rPr>
          <w:rFonts w:ascii="仿宋_GB2312" w:hAnsi="仿宋" w:eastAsia="仿宋_GB2312" w:cs="Times New Roman"/>
          <w:sz w:val="32"/>
          <w:szCs w:val="32"/>
        </w:rPr>
        <w:t>80</w:t>
      </w:r>
      <w:r>
        <w:rPr>
          <w:rFonts w:hint="eastAsia" w:ascii="仿宋_GB2312" w:hAnsi="仿宋" w:eastAsia="仿宋_GB2312" w:cs="Times New Roman"/>
          <w:sz w:val="32"/>
          <w:szCs w:val="32"/>
        </w:rPr>
        <w:t>（含）</w:t>
      </w:r>
      <w:r>
        <w:rPr>
          <w:rFonts w:ascii="仿宋_GB2312" w:hAnsi="仿宋" w:eastAsia="仿宋_GB2312" w:cs="Times New Roman"/>
          <w:sz w:val="32"/>
          <w:szCs w:val="32"/>
        </w:rPr>
        <w:t>-90</w:t>
      </w:r>
      <w:r>
        <w:rPr>
          <w:rFonts w:hint="eastAsia" w:ascii="仿宋_GB2312" w:hAnsi="仿宋" w:eastAsia="仿宋_GB2312" w:cs="Times New Roman"/>
          <w:sz w:val="32"/>
          <w:szCs w:val="32"/>
        </w:rPr>
        <w:t>分、一般</w:t>
      </w:r>
      <w:r>
        <w:rPr>
          <w:rFonts w:ascii="仿宋_GB2312" w:hAnsi="仿宋" w:eastAsia="仿宋_GB2312" w:cs="Times New Roman"/>
          <w:sz w:val="32"/>
          <w:szCs w:val="32"/>
        </w:rPr>
        <w:t>60</w:t>
      </w:r>
      <w:r>
        <w:rPr>
          <w:rFonts w:hint="eastAsia" w:ascii="仿宋_GB2312" w:hAnsi="仿宋" w:eastAsia="仿宋_GB2312" w:cs="Times New Roman"/>
          <w:sz w:val="32"/>
          <w:szCs w:val="32"/>
        </w:rPr>
        <w:t>（含）</w:t>
      </w:r>
      <w:r>
        <w:rPr>
          <w:rFonts w:ascii="仿宋_GB2312" w:hAnsi="仿宋" w:eastAsia="仿宋_GB2312" w:cs="Times New Roman"/>
          <w:sz w:val="32"/>
          <w:szCs w:val="32"/>
        </w:rPr>
        <w:t>-80</w:t>
      </w:r>
      <w:r>
        <w:rPr>
          <w:rFonts w:hint="eastAsia" w:ascii="仿宋_GB2312" w:hAnsi="仿宋" w:eastAsia="仿宋_GB2312" w:cs="Times New Roman"/>
          <w:sz w:val="32"/>
          <w:szCs w:val="32"/>
        </w:rPr>
        <w:t>分、较差</w:t>
      </w:r>
      <w:r>
        <w:rPr>
          <w:rFonts w:ascii="仿宋_GB2312" w:hAnsi="仿宋" w:eastAsia="仿宋_GB2312" w:cs="Times New Roman"/>
          <w:sz w:val="32"/>
          <w:szCs w:val="32"/>
        </w:rPr>
        <w:t>60</w:t>
      </w:r>
      <w:r>
        <w:rPr>
          <w:rFonts w:hint="eastAsia" w:ascii="仿宋_GB2312" w:hAnsi="仿宋" w:eastAsia="仿宋_GB2312" w:cs="Times New Roman"/>
          <w:sz w:val="32"/>
          <w:szCs w:val="32"/>
        </w:rPr>
        <w:t>分以下</w:t>
      </w:r>
      <w:r>
        <w:rPr>
          <w:rFonts w:hint="eastAsia" w:ascii="仿宋_GB2312" w:hAnsi="仿宋" w:eastAsia="仿宋_GB2312" w:cs="Times New Roman"/>
          <w:sz w:val="32"/>
          <w:szCs w:val="32"/>
          <w:lang w:eastAsia="zh-CN"/>
        </w:rPr>
        <w:t>。</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（二）存在的问题及原因分析</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1.个别部门绩效评价意识有待提高。对绩效评价工作认识不够，在一定程度上影响了绩效评价工作的效率。</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2.个别项目支出进度有待加快。个别项目因预算编制不准确，需要对预算细目重新调整，项目整体延迟，导致出现支出进度缓慢的问题。</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（三）改进措施（请对照问题，分别填写相应改进措施）</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1.持续强化绩效评价意识，不断加大绩效评价培训。加强组织协调，划分职责，积极开展单位内部项目绩效跟踪、评价及结果应用，做到各部门协调配合，共同推进。掌握项目绩效目标的制定、完成情况、项目的管理情况、资金使用情况等，分析项目资金的使用是否有效合规，分析存在的问题及原因，为下一年预算及绩效目标的编制提供参考和依据。</w:t>
      </w:r>
    </w:p>
    <w:p>
      <w:pPr>
        <w:adjustRightInd w:val="0"/>
        <w:snapToGrid w:val="0"/>
        <w:spacing w:line="520" w:lineRule="exact"/>
        <w:ind w:firstLine="636"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eastAsia="zh-CN"/>
        </w:rPr>
        <w:t>2.加强日常绩效评价管理，加强对项目资金的监督和指导，了解工作进展情况，督促支出进度缓慢的部门加快资金支出，研究并解决财务支出方面存在的问题，定期对项目资金使用进度进行公示，力争项目按时完成。</w:t>
      </w:r>
    </w:p>
    <w:p>
      <w:pPr>
        <w:spacing w:line="520" w:lineRule="exact"/>
        <w:ind w:firstLine="636" w:firstLineChars="200"/>
        <w:rPr>
          <w:rFonts w:ascii="仿宋_GB2312" w:hAnsi="仿宋" w:eastAsia="仿宋_GB2312" w:cs="Times New Roman"/>
          <w:sz w:val="32"/>
          <w:szCs w:val="32"/>
        </w:rPr>
      </w:pPr>
    </w:p>
    <w:bookmarkEnd w:id="2"/>
    <w:p>
      <w:pPr>
        <w:spacing w:line="520" w:lineRule="exact"/>
        <w:ind w:firstLine="636" w:firstLineChars="200"/>
        <w:jc w:val="left"/>
        <w:rPr>
          <w:rFonts w:ascii="仿宋_GB2312" w:hAnsi="Times New Roman" w:eastAsia="仿宋_GB2312" w:cs="Times New Roman"/>
          <w:sz w:val="32"/>
          <w:szCs w:val="32"/>
        </w:rPr>
      </w:pPr>
    </w:p>
    <w:p/>
    <w:sectPr>
      <w:footerReference r:id="rId3" w:type="default"/>
      <w:pgSz w:w="11907" w:h="16840"/>
      <w:pgMar w:top="1797" w:right="1440" w:bottom="1276" w:left="1440" w:header="851" w:footer="992" w:gutter="0"/>
      <w:pgBorders>
        <w:top w:val="none" w:sz="0" w:space="0"/>
        <w:left w:val="none" w:sz="0" w:space="0"/>
        <w:bottom w:val="none" w:sz="0" w:space="0"/>
        <w:right w:val="none" w:sz="0" w:space="0"/>
      </w:pgBorders>
      <w:pgNumType w:start="1"/>
      <w:cols w:space="425" w:num="1"/>
      <w:docGrid w:type="linesAndChars" w:linePitch="606"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ind w:firstLine="360"/>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6A0BA4"/>
    <w:multiLevelType w:val="singleLevel"/>
    <w:tmpl w:val="E56A0BA4"/>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5OGMwYTRjMzA4YjRkN2EwMmM4YWM2MmYzNGY5YjQifQ=="/>
    <w:docVar w:name="KSO_WPS_MARK_KEY" w:val="0497105a-6080-4bc4-bdf5-f2e155abb955"/>
  </w:docVars>
  <w:rsids>
    <w:rsidRoot w:val="007C5969"/>
    <w:rsid w:val="0004502A"/>
    <w:rsid w:val="0010736B"/>
    <w:rsid w:val="00136430"/>
    <w:rsid w:val="0015133D"/>
    <w:rsid w:val="001F1B65"/>
    <w:rsid w:val="0020720A"/>
    <w:rsid w:val="00271F9E"/>
    <w:rsid w:val="00335359"/>
    <w:rsid w:val="00385D4E"/>
    <w:rsid w:val="00632E15"/>
    <w:rsid w:val="00765990"/>
    <w:rsid w:val="007C5969"/>
    <w:rsid w:val="007D514A"/>
    <w:rsid w:val="00846439"/>
    <w:rsid w:val="00861964"/>
    <w:rsid w:val="008B4180"/>
    <w:rsid w:val="008C4DEF"/>
    <w:rsid w:val="0099769B"/>
    <w:rsid w:val="00A50C4B"/>
    <w:rsid w:val="00A5549B"/>
    <w:rsid w:val="00AC3863"/>
    <w:rsid w:val="00B12733"/>
    <w:rsid w:val="00B60F78"/>
    <w:rsid w:val="00CF6DF6"/>
    <w:rsid w:val="00D92EAA"/>
    <w:rsid w:val="00D937A9"/>
    <w:rsid w:val="00DA3A1A"/>
    <w:rsid w:val="00E26073"/>
    <w:rsid w:val="00E430E2"/>
    <w:rsid w:val="00E56FD1"/>
    <w:rsid w:val="00ED7BD7"/>
    <w:rsid w:val="00F578CA"/>
    <w:rsid w:val="00F806E1"/>
    <w:rsid w:val="0FEB3F95"/>
    <w:rsid w:val="11ED3978"/>
    <w:rsid w:val="207412FF"/>
    <w:rsid w:val="30E37453"/>
    <w:rsid w:val="3D185AE6"/>
    <w:rsid w:val="3EE43DB4"/>
    <w:rsid w:val="40AB057A"/>
    <w:rsid w:val="40E76507"/>
    <w:rsid w:val="7A896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pPr>
    <w:rPr>
      <w:rFonts w:ascii="Times New Roman" w:hAnsi="Times New Roman" w:cs="Times New Roman"/>
      <w:szCs w:val="20"/>
    </w:rPr>
  </w:style>
  <w:style w:type="paragraph" w:styleId="3">
    <w:name w:val="toc 3"/>
    <w:basedOn w:val="1"/>
    <w:next w:val="1"/>
    <w:unhideWhenUsed/>
    <w:qFormat/>
    <w:uiPriority w:val="39"/>
    <w:pPr>
      <w:spacing w:beforeLines="0" w:afterLines="0"/>
      <w:ind w:left="840" w:leftChars="400"/>
    </w:pPr>
    <w:rPr>
      <w:rFonts w:hint="eastAsia"/>
      <w:sz w:val="2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semiHidden/>
    <w:qFormat/>
    <w:uiPriority w:val="99"/>
    <w:rPr>
      <w:rFonts w:cs="Times New Roman"/>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7424</Words>
  <Characters>7920</Characters>
  <Lines>8</Lines>
  <Paragraphs>2</Paragraphs>
  <TotalTime>5</TotalTime>
  <ScaleCrop>false</ScaleCrop>
  <LinksUpToDate>false</LinksUpToDate>
  <CharactersWithSpaces>7980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2025-03-05T08:16:00Z</dcterms:created>
  <dc:creator>李菁</dc:creator>
  <cp:lastModifiedBy>然然</cp:lastModifiedBy>
  <cp:lastPrinted>2025-03-20T03:03:00Z</cp:lastPrinted>
  <dcterms:modified xsi:type="dcterms:W3CDTF">2025-03-20T13:22:46Z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B56CA9E4722744DABA71736F92F032E7</vt:lpwstr>
  </property>
</Properties>
</file>