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1CB62">
      <w:pPr>
        <w:spacing w:line="560" w:lineRule="exact"/>
        <w:jc w:val="center"/>
        <w:rPr>
          <w:rFonts w:hint="eastAsia" w:ascii="方正小标宋简体" w:hAnsi="方正小标宋简体" w:eastAsia="方正小标宋简体" w:cs="方正小标宋简体"/>
          <w:b w:val="0"/>
          <w:bCs w:val="0"/>
          <w:sz w:val="44"/>
          <w:szCs w:val="44"/>
          <w:highlight w:val="none"/>
          <w:lang w:eastAsia="zh-CN"/>
        </w:rPr>
      </w:pPr>
      <w:r>
        <w:rPr>
          <w:rFonts w:hint="eastAsia" w:ascii="方正小标宋简体" w:hAnsi="方正小标宋简体" w:eastAsia="方正小标宋简体" w:cs="方正小标宋简体"/>
          <w:b w:val="0"/>
          <w:bCs w:val="0"/>
          <w:sz w:val="44"/>
          <w:szCs w:val="44"/>
          <w:highlight w:val="none"/>
          <w:lang w:val="en-US" w:eastAsia="zh-CN"/>
        </w:rPr>
        <w:t>北京市</w:t>
      </w:r>
      <w:r>
        <w:rPr>
          <w:rFonts w:hint="eastAsia" w:ascii="方正小标宋简体" w:hAnsi="方正小标宋简体" w:eastAsia="方正小标宋简体" w:cs="方正小标宋简体"/>
          <w:b w:val="0"/>
          <w:bCs w:val="0"/>
          <w:sz w:val="44"/>
          <w:szCs w:val="44"/>
          <w:highlight w:val="none"/>
          <w:lang w:eastAsia="zh-CN"/>
        </w:rPr>
        <w:t>门头沟区人力资源和社会保障局202</w:t>
      </w:r>
      <w:r>
        <w:rPr>
          <w:rFonts w:hint="eastAsia" w:ascii="方正小标宋简体" w:hAnsi="方正小标宋简体" w:eastAsia="方正小标宋简体" w:cs="方正小标宋简体"/>
          <w:b w:val="0"/>
          <w:bCs w:val="0"/>
          <w:sz w:val="44"/>
          <w:szCs w:val="44"/>
          <w:highlight w:val="none"/>
          <w:lang w:val="en-US" w:eastAsia="zh-CN"/>
        </w:rPr>
        <w:t>4</w:t>
      </w:r>
      <w:r>
        <w:rPr>
          <w:rFonts w:hint="eastAsia" w:ascii="方正小标宋简体" w:hAnsi="方正小标宋简体" w:eastAsia="方正小标宋简体" w:cs="方正小标宋简体"/>
          <w:b w:val="0"/>
          <w:bCs w:val="0"/>
          <w:sz w:val="44"/>
          <w:szCs w:val="44"/>
          <w:highlight w:val="none"/>
          <w:lang w:eastAsia="zh-CN"/>
        </w:rPr>
        <w:t>年政府信息公开工作年度报告</w:t>
      </w:r>
    </w:p>
    <w:p w14:paraId="52626B18">
      <w:pPr>
        <w:spacing w:line="560" w:lineRule="exact"/>
        <w:jc w:val="center"/>
        <w:rPr>
          <w:rFonts w:hint="eastAsia" w:ascii="方正小标宋简体" w:hAnsi="方正小标宋简体" w:eastAsia="方正小标宋简体" w:cs="方正小标宋简体"/>
          <w:b w:val="0"/>
          <w:bCs w:val="0"/>
          <w:sz w:val="44"/>
          <w:szCs w:val="44"/>
          <w:highlight w:val="none"/>
          <w:lang w:eastAsia="zh-CN"/>
        </w:rPr>
      </w:pPr>
    </w:p>
    <w:p w14:paraId="1492533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依据《中华人民共和国政府信息公开条例》(以下简称《政府信息公开条例》)第五十条规定，编制本报告。</w:t>
      </w:r>
    </w:p>
    <w:p w14:paraId="6C3061E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一、总体情况</w:t>
      </w:r>
    </w:p>
    <w:p w14:paraId="6364B8D4">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2024年</w:t>
      </w:r>
      <w:r>
        <w:rPr>
          <w:rFonts w:hint="eastAsia" w:ascii="仿宋_GB2312" w:hAnsi="宋体" w:eastAsia="仿宋_GB2312" w:cs="宋体"/>
          <w:spacing w:val="8"/>
          <w:kern w:val="0"/>
          <w:sz w:val="32"/>
          <w:szCs w:val="32"/>
          <w:lang w:eastAsia="zh-CN"/>
        </w:rPr>
        <w:t>区人力社保局</w:t>
      </w:r>
      <w:r>
        <w:rPr>
          <w:rFonts w:hint="eastAsia" w:ascii="仿宋_GB2312" w:hAnsi="宋体" w:eastAsia="仿宋_GB2312" w:cs="宋体"/>
          <w:spacing w:val="8"/>
          <w:kern w:val="0"/>
          <w:sz w:val="32"/>
          <w:szCs w:val="32"/>
        </w:rPr>
        <w:t>坚持以习近平新时代中国特色社会主义思想为指导，高度重视并积极推进政府信息公开工作。我们严格遵循《</w:t>
      </w:r>
      <w:r>
        <w:rPr>
          <w:rFonts w:hint="eastAsia" w:ascii="仿宋_GB2312" w:hAnsi="宋体" w:eastAsia="仿宋_GB2312" w:cs="宋体"/>
          <w:spacing w:val="8"/>
          <w:kern w:val="0"/>
          <w:sz w:val="32"/>
          <w:szCs w:val="32"/>
        </w:rPr>
        <w:t>政府信息公开条例》要求，将政府信息公开作为提升行政效能、增强政府公信力的重要途径。通过明确工作职责、定期召开会议、建立内部协调机制等措施，确保了政府信息公开工作的顺利开展和高效运行。</w:t>
      </w:r>
    </w:p>
    <w:p w14:paraId="433FCAAD">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（一）主动公开情况</w:t>
      </w:r>
    </w:p>
    <w:p w14:paraId="67CC5600">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全年主动公开政府信息共计6</w:t>
      </w:r>
      <w:r>
        <w:rPr>
          <w:rFonts w:hint="eastAsia" w:ascii="仿宋_GB2312" w:hAnsi="宋体" w:eastAsia="仿宋_GB2312" w:cs="宋体"/>
          <w:spacing w:val="8"/>
          <w:kern w:val="0"/>
          <w:sz w:val="32"/>
          <w:szCs w:val="32"/>
          <w:lang w:val="en-US" w:eastAsia="zh-CN"/>
        </w:rPr>
        <w:t>33</w:t>
      </w:r>
      <w:r>
        <w:rPr>
          <w:rFonts w:hint="eastAsia" w:ascii="仿宋_GB2312" w:hAnsi="宋体" w:eastAsia="仿宋_GB2312" w:cs="宋体"/>
          <w:spacing w:val="8"/>
          <w:kern w:val="0"/>
          <w:sz w:val="32"/>
          <w:szCs w:val="32"/>
        </w:rPr>
        <w:t>条，涵盖了财政预算决算、政务公告、业务动态等多个方面。其中，财政预算决算信息4条，政务公告1</w:t>
      </w:r>
      <w:r>
        <w:rPr>
          <w:rFonts w:hint="eastAsia" w:ascii="仿宋_GB2312" w:hAnsi="宋体" w:eastAsia="仿宋_GB2312" w:cs="宋体"/>
          <w:spacing w:val="8"/>
          <w:kern w:val="0"/>
          <w:sz w:val="32"/>
          <w:szCs w:val="32"/>
          <w:lang w:val="en-US" w:eastAsia="zh-CN"/>
        </w:rPr>
        <w:t>94</w:t>
      </w:r>
      <w:r>
        <w:rPr>
          <w:rFonts w:hint="eastAsia" w:ascii="仿宋_GB2312" w:hAnsi="宋体" w:eastAsia="仿宋_GB2312" w:cs="宋体"/>
          <w:spacing w:val="8"/>
          <w:kern w:val="0"/>
          <w:sz w:val="32"/>
          <w:szCs w:val="32"/>
        </w:rPr>
        <w:t>条，业务动态4</w:t>
      </w:r>
      <w:r>
        <w:rPr>
          <w:rFonts w:hint="eastAsia" w:ascii="仿宋_GB2312" w:hAnsi="宋体" w:eastAsia="仿宋_GB2312" w:cs="宋体"/>
          <w:spacing w:val="8"/>
          <w:kern w:val="0"/>
          <w:sz w:val="32"/>
          <w:szCs w:val="32"/>
          <w:lang w:val="en-US" w:eastAsia="zh-CN"/>
        </w:rPr>
        <w:t>35</w:t>
      </w:r>
      <w:r>
        <w:rPr>
          <w:rFonts w:hint="eastAsia" w:ascii="仿宋_GB2312" w:hAnsi="宋体" w:eastAsia="仿宋_GB2312" w:cs="宋体"/>
          <w:spacing w:val="8"/>
          <w:kern w:val="0"/>
          <w:sz w:val="32"/>
          <w:szCs w:val="32"/>
        </w:rPr>
        <w:t>条。我们注重以社会关注度高的人社重点领域为重心，全面梳理各类信息，确保信息的及时、准确发布。</w:t>
      </w:r>
    </w:p>
    <w:p w14:paraId="398F00B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（二</w:t>
      </w:r>
      <w:bookmarkStart w:id="0" w:name="_GoBack"/>
      <w:bookmarkEnd w:id="0"/>
      <w:r>
        <w:rPr>
          <w:rFonts w:hint="eastAsia" w:ascii="楷体" w:hAnsi="楷体" w:eastAsia="楷体" w:cs="楷体"/>
          <w:b w:val="0"/>
          <w:bCs w:val="0"/>
          <w:spacing w:val="8"/>
          <w:kern w:val="0"/>
          <w:sz w:val="32"/>
          <w:szCs w:val="32"/>
          <w:lang w:val="en-US" w:eastAsia="zh-CN" w:bidi="ar"/>
        </w:rPr>
        <w:t>）依申请公开办理情况</w:t>
      </w:r>
    </w:p>
    <w:p w14:paraId="5122E4F9">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eastAsia="zh-CN"/>
        </w:rPr>
      </w:pPr>
      <w:r>
        <w:rPr>
          <w:rFonts w:hint="eastAsia" w:ascii="仿宋_GB2312" w:hAnsi="宋体" w:eastAsia="仿宋_GB2312" w:cs="宋体"/>
          <w:spacing w:val="8"/>
          <w:kern w:val="0"/>
          <w:sz w:val="32"/>
          <w:szCs w:val="32"/>
          <w:lang w:eastAsia="zh-CN"/>
        </w:rPr>
        <w:t>全年共收到政府信息公开申请</w:t>
      </w:r>
      <w:r>
        <w:rPr>
          <w:rFonts w:hint="eastAsia" w:ascii="仿宋_GB2312" w:hAnsi="宋体" w:eastAsia="仿宋_GB2312" w:cs="宋体"/>
          <w:spacing w:val="8"/>
          <w:kern w:val="0"/>
          <w:sz w:val="32"/>
          <w:szCs w:val="32"/>
          <w:lang w:val="en-US" w:eastAsia="zh-CN"/>
        </w:rPr>
        <w:t>4</w:t>
      </w:r>
      <w:r>
        <w:rPr>
          <w:rFonts w:hint="eastAsia" w:ascii="仿宋_GB2312" w:hAnsi="宋体" w:eastAsia="仿宋_GB2312" w:cs="宋体"/>
          <w:spacing w:val="8"/>
          <w:kern w:val="0"/>
          <w:sz w:val="32"/>
          <w:szCs w:val="32"/>
          <w:lang w:eastAsia="zh-CN"/>
        </w:rPr>
        <w:t>件，均已按照法定程序和要求及时办结，办结率为100%。在办理过程中，我们注重保护申请人的合法权益，确保信息的合法、合规提供。</w:t>
      </w:r>
    </w:p>
    <w:p w14:paraId="70141F8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（三）政府信息管理情况</w:t>
      </w:r>
    </w:p>
    <w:p w14:paraId="59AB231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加强了对政府信息的全生命周期管理，从信息的产生、收集、整理、审核、发布到归档，都建立了严格的管理制度和流程。同时，我</w:t>
      </w:r>
      <w:r>
        <w:rPr>
          <w:rFonts w:hint="eastAsia" w:ascii="仿宋_GB2312" w:hAnsi="宋体" w:eastAsia="仿宋_GB2312" w:cs="宋体"/>
          <w:spacing w:val="8"/>
          <w:kern w:val="0"/>
          <w:sz w:val="32"/>
          <w:szCs w:val="32"/>
          <w:lang w:eastAsia="zh-CN"/>
        </w:rPr>
        <w:t>们</w:t>
      </w:r>
      <w:r>
        <w:rPr>
          <w:rFonts w:hint="eastAsia" w:ascii="仿宋_GB2312" w:hAnsi="宋体" w:eastAsia="仿宋_GB2312" w:cs="宋体"/>
          <w:spacing w:val="8"/>
          <w:kern w:val="0"/>
          <w:sz w:val="32"/>
          <w:szCs w:val="32"/>
        </w:rPr>
        <w:t>还注重加强信息安全保护，确保政府信息在公开过程中的安全性和保密性。</w:t>
      </w:r>
    </w:p>
    <w:p w14:paraId="01C8243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（四）政府信息公开平台建设情况</w:t>
      </w:r>
    </w:p>
    <w:p w14:paraId="08FEDDA2">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rPr>
        <w:t>积极推进政府信息公开平台建设，通过加强内部协调和信息共享，确保了信息的准确性和时效性。同时，我们积极推进政府信息资源的共享和利用，为公众提供更加全面的信息服务。</w:t>
      </w:r>
    </w:p>
    <w:p w14:paraId="499243A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560" w:lineRule="exact"/>
        <w:ind w:left="0" w:leftChars="0" w:right="0" w:rightChars="0" w:firstLine="672" w:firstLineChars="200"/>
        <w:jc w:val="both"/>
        <w:textAlignment w:val="auto"/>
        <w:outlineLvl w:val="9"/>
        <w:rPr>
          <w:rFonts w:hint="eastAsia" w:ascii="楷体" w:hAnsi="楷体" w:eastAsia="楷体" w:cs="楷体"/>
          <w:b w:val="0"/>
          <w:bCs w:val="0"/>
          <w:spacing w:val="8"/>
          <w:kern w:val="0"/>
          <w:sz w:val="32"/>
          <w:szCs w:val="32"/>
          <w:lang w:val="en-US" w:eastAsia="zh-CN" w:bidi="ar"/>
        </w:rPr>
      </w:pPr>
      <w:r>
        <w:rPr>
          <w:rFonts w:hint="eastAsia" w:ascii="楷体" w:hAnsi="楷体" w:eastAsia="楷体" w:cs="楷体"/>
          <w:b w:val="0"/>
          <w:bCs w:val="0"/>
          <w:spacing w:val="8"/>
          <w:kern w:val="0"/>
          <w:sz w:val="32"/>
          <w:szCs w:val="32"/>
          <w:lang w:val="en-US" w:eastAsia="zh-CN" w:bidi="ar"/>
        </w:rPr>
        <w:t>（五）政府信息公开监督保障及教育培训情况</w:t>
      </w:r>
    </w:p>
    <w:p w14:paraId="5EB7981D">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eastAsia="zh-CN"/>
        </w:rPr>
        <w:t>我们</w:t>
      </w:r>
      <w:r>
        <w:rPr>
          <w:rFonts w:hint="eastAsia" w:ascii="仿宋_GB2312" w:hAnsi="宋体" w:eastAsia="仿宋_GB2312" w:cs="宋体"/>
          <w:spacing w:val="8"/>
          <w:kern w:val="0"/>
          <w:sz w:val="32"/>
          <w:szCs w:val="32"/>
        </w:rPr>
        <w:t>建立了完善的政府信息公开监督保障机制，加强对政府信息公开工作的日常监督和检查。通过定期自查和专项检查相结合的方式，及时发现和纠正工作中存在的问题和不足。高度重视政府信息公开工作人员的业务素质和能力提升。全年组织了多场专题培训和交流活动，累计培训人数达到200人次。通过培训和学习，提高了工作人员的业务水平和综合素质。</w:t>
      </w:r>
    </w:p>
    <w:p w14:paraId="75F5D8D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二、主动公开政府信息情况</w:t>
      </w:r>
    </w:p>
    <w:tbl>
      <w:tblPr>
        <w:tblStyle w:val="4"/>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435"/>
        <w:gridCol w:w="2435"/>
        <w:gridCol w:w="2435"/>
        <w:gridCol w:w="2435"/>
      </w:tblGrid>
      <w:tr w14:paraId="028C0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14:paraId="155CF8B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第二十条第（一）项</w:t>
            </w:r>
          </w:p>
        </w:tc>
      </w:tr>
      <w:tr w14:paraId="15C08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7866F98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539EDD93">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0"/>
                <w:szCs w:val="20"/>
                <w:lang w:val="en-US" w:bidi="ar"/>
              </w:rPr>
            </w:pPr>
            <w:r>
              <w:rPr>
                <w:rFonts w:hint="eastAsia" w:ascii="宋体" w:hAnsi="宋体" w:eastAsia="宋体" w:cs="宋体"/>
                <w:color w:val="000000"/>
                <w:kern w:val="0"/>
                <w:sz w:val="20"/>
                <w:szCs w:val="20"/>
                <w:lang w:val="en-US" w:eastAsia="zh-CN"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3341E75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763B972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14:paraId="2AFF8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4027270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B778BE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6275E51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FBD503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0</w:t>
            </w:r>
          </w:p>
        </w:tc>
      </w:tr>
      <w:tr w14:paraId="2EEDD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A7D7D6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0F3BACC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1</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A73CB3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14:paraId="42794CF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2</w:t>
            </w:r>
          </w:p>
        </w:tc>
      </w:tr>
      <w:tr w14:paraId="5FACA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38C1DEA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第二十条第（五）项</w:t>
            </w:r>
          </w:p>
        </w:tc>
      </w:tr>
      <w:tr w14:paraId="6E8BE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F93AEA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14:paraId="232A6C3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299A5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804205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860FEB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1"/>
                <w:szCs w:val="21"/>
                <w:lang w:val="en-US" w:eastAsia="zh-CN" w:bidi="ar"/>
              </w:rPr>
              <w:t>46</w:t>
            </w:r>
          </w:p>
        </w:tc>
      </w:tr>
      <w:tr w14:paraId="47CE4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0AC0E90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第二十条第（六）项</w:t>
            </w:r>
          </w:p>
        </w:tc>
      </w:tr>
      <w:tr w14:paraId="4224E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67228F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14:paraId="4EFA20A9">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本年处理决定数量</w:t>
            </w:r>
          </w:p>
        </w:tc>
      </w:tr>
      <w:tr w14:paraId="381CA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181CBC5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5C7FB1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15</w:t>
            </w:r>
          </w:p>
        </w:tc>
      </w:tr>
      <w:tr w14:paraId="3DC33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0A8BB83">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B56BA9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14:paraId="0BE54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14:paraId="4F53103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第二十条第（八）项</w:t>
            </w:r>
          </w:p>
        </w:tc>
      </w:tr>
      <w:tr w14:paraId="73C54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9CE444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14:paraId="02D9AA0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本年收费金额（单位：万元）</w:t>
            </w:r>
          </w:p>
        </w:tc>
      </w:tr>
      <w:tr w14:paraId="187A8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23D11F8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470BA4A">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宋体" w:hAnsi="Times New Roman" w:eastAsia="宋体" w:cs="宋体"/>
                <w:sz w:val="24"/>
                <w:szCs w:val="24"/>
                <w:lang w:val="en-US" w:eastAsia="zh-CN"/>
              </w:rPr>
              <w:t>0</w:t>
            </w:r>
          </w:p>
        </w:tc>
      </w:tr>
    </w:tbl>
    <w:p w14:paraId="7BD86D98">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三、收到和处理政府信息公开申请情况</w:t>
      </w: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14:paraId="11E58C9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3FE6108F">
            <w:pPr>
              <w:keepNext w:val="0"/>
              <w:keepLines w:val="0"/>
              <w:widowControl/>
              <w:suppressLineNumbers w:val="0"/>
              <w:spacing w:before="0" w:beforeAutospacing="0" w:after="0" w:afterAutospacing="0"/>
              <w:ind w:left="0" w:right="0"/>
              <w:jc w:val="left"/>
              <w:rPr>
                <w:rFonts w:hint="default"/>
                <w:lang w:val="en-US"/>
              </w:rPr>
            </w:pPr>
            <w:r>
              <w:rPr>
                <w:rFonts w:hint="eastAsia" w:ascii="楷体" w:hAnsi="楷体" w:eastAsia="楷体" w:cs="楷体"/>
                <w:kern w:val="0"/>
                <w:sz w:val="20"/>
                <w:szCs w:val="20"/>
                <w:lang w:val="en-US" w:eastAsia="zh-CN" w:bidi="ar"/>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2270468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申请人情况</w:t>
            </w:r>
          </w:p>
        </w:tc>
      </w:tr>
      <w:tr w14:paraId="1B2CC9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640CE80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14:paraId="0849658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0C06C53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法人或其他组织</w:t>
            </w:r>
          </w:p>
        </w:tc>
        <w:tc>
          <w:tcPr>
            <w:tcW w:w="689" w:type="dxa"/>
            <w:vMerge w:val="restart"/>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38FB201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r>
      <w:tr w14:paraId="797869A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shd w:val="clear" w:color="auto" w:fill="9BC2E6"/>
            <w:tcMar>
              <w:left w:w="108" w:type="dxa"/>
              <w:right w:w="108" w:type="dxa"/>
            </w:tcMar>
            <w:vAlign w:val="center"/>
          </w:tcPr>
          <w:p w14:paraId="7113E6A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14:paraId="216769C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37DF344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商业</w:t>
            </w:r>
          </w:p>
          <w:p w14:paraId="11FEDD0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14:paraId="5D8B516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科研</w:t>
            </w:r>
          </w:p>
          <w:p w14:paraId="38CE2EC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3F6F21EA">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6CCDCED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14:paraId="7853177E">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p>
        </w:tc>
        <w:tc>
          <w:tcPr>
            <w:tcW w:w="689" w:type="dxa"/>
            <w:vMerge w:val="continue"/>
            <w:tcBorders>
              <w:top w:val="single" w:color="auto" w:sz="8" w:space="0"/>
              <w:left w:val="nil"/>
              <w:bottom w:val="inset" w:color="auto" w:sz="8" w:space="0"/>
              <w:right w:val="single" w:color="auto" w:sz="8" w:space="0"/>
            </w:tcBorders>
            <w:shd w:val="clear" w:color="auto" w:fill="9BC2E6"/>
            <w:tcMar>
              <w:left w:w="57" w:type="dxa"/>
              <w:right w:w="57" w:type="dxa"/>
            </w:tcMar>
            <w:vAlign w:val="center"/>
          </w:tcPr>
          <w:p w14:paraId="5E6B9A9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7325BB4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5086658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31809DD">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16D5B5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EF3280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791C49">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6F48B3C">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565697D">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418FF0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4</w:t>
            </w:r>
          </w:p>
        </w:tc>
      </w:tr>
      <w:tr w14:paraId="5B4E091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691BA2E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73494FD">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5BD217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D5ECFA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0E106E">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74B06F4">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C5638F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2B3600A">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69E6270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2B6600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三、本年度办理结果</w:t>
            </w: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4F815E1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119E387">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7053A1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02A87D4">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E182EB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5A93100">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D4A24B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0B21A68F">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655C14A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189DC9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20B5561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18750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4A9F393">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9536BAE">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66F47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72C812">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0411BB4">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center"/>
          </w:tcPr>
          <w:p w14:paraId="61D11F12">
            <w:pPr>
              <w:keepNext w:val="0"/>
              <w:keepLines w:val="0"/>
              <w:widowControl/>
              <w:suppressLineNumbers w:val="0"/>
              <w:spacing w:before="0" w:beforeAutospacing="0" w:after="0" w:afterAutospacing="0"/>
              <w:ind w:right="0"/>
              <w:jc w:val="center"/>
              <w:rPr>
                <w:rFonts w:hint="eastAsia" w:eastAsiaTheme="minorEastAsia"/>
                <w:lang w:val="en-US" w:eastAsia="zh-CN"/>
              </w:rPr>
            </w:pPr>
            <w:r>
              <w:rPr>
                <w:rFonts w:hint="eastAsia"/>
                <w:lang w:val="en-US" w:eastAsia="zh-CN"/>
              </w:rPr>
              <w:t>2</w:t>
            </w:r>
          </w:p>
        </w:tc>
      </w:tr>
      <w:tr w14:paraId="6C3614E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16743F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3570A14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（三）不予公开</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E3E647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D4081FA">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E7D293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3A41B6F">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5C14B9F">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8A9A5F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F168285">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14:paraId="180D27C7">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126D849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3A4A73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2E1BCE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72E995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3CD5A41">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813F5AD">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858B80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C02BD91">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A26E9F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6704A9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52C26D3">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451872B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B75735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937BEB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55709BC5">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9394783">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0E01BDE">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668396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D11F2CE">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9E82461">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0D1B51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BE2DD5A">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031087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A8C16C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15719D4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32F9A7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83D097C">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23AB05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9911177">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236E2C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0AE5C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0B59060">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E88766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138B4B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DAC3F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6269B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E657C49">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E455290">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07E56D3">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5D97BC4">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243F57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B22F6D5">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8D6110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580CD30">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4718CF2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61596C3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DE1CD6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4F129F7">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01EE126">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4DEC5DA">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29281BB">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1B86569">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15DD9E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DE44D8A">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B46C7F9">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r>
      <w:tr w14:paraId="5EE1A64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92AD85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013FA72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02CF9BE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9D5192C">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12D9D9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27A83E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DD0157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D69B82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D70D71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AC7155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52781AB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A17B00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57CAF8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2DFA5404">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E3C26D5">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41C840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B6A30C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33E7BE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1D6D59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A49D44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F31FED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6EDEF08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0F9F7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1E0D250C">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（四）无法提供</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498F10D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314EC68">
            <w:pPr>
              <w:keepNext w:val="0"/>
              <w:keepLines w:val="0"/>
              <w:widowControl/>
              <w:suppressLineNumbers w:val="0"/>
              <w:spacing w:before="0" w:beforeAutospacing="0" w:after="0" w:afterAutospacing="0"/>
              <w:ind w:left="0" w:right="0"/>
              <w:jc w:val="center"/>
              <w:rPr>
                <w:rFonts w:hint="default"/>
                <w:lang w:val="en-US"/>
              </w:rPr>
            </w:pPr>
            <w:r>
              <w:rPr>
                <w:rFonts w:hint="default" w:ascii="Calibri" w:hAnsi="Calibri" w:eastAsia="宋体" w:cs="Calibri"/>
                <w:kern w:val="0"/>
                <w:sz w:val="20"/>
                <w:szCs w:val="20"/>
                <w:lang w:val="en-US" w:eastAsia="zh-CN" w:bidi="ar"/>
              </w:rPr>
              <w:t> </w:t>
            </w:r>
            <w:r>
              <w:rPr>
                <w:rFonts w:hint="eastAsia" w:ascii="Calibri" w:hAnsi="Calibri" w:eastAsia="宋体" w:cs="Calibri"/>
                <w:kern w:val="0"/>
                <w:sz w:val="20"/>
                <w:szCs w:val="20"/>
                <w:lang w:val="en-US" w:eastAsia="zh-CN" w:bidi="ar"/>
              </w:rPr>
              <w:t>2</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45B40A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61EBC5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664BC3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7355B8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9A3D26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898E7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2</w:t>
            </w:r>
          </w:p>
        </w:tc>
      </w:tr>
      <w:tr w14:paraId="2A7B3E3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118043E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2761B9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BB17C5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E3AB41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3E7CC1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EF3952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6D49C5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3C0983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F202DBC">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5C7D9CE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6D993D8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838C50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80C42A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2A5FB2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592BD9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CAF4EE0">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88C70C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CA131B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4E3602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698212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F80A44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489E756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21FCB7C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nil"/>
              <w:left w:val="nil"/>
              <w:bottom w:val="inset" w:color="auto" w:sz="8" w:space="0"/>
              <w:right w:val="single" w:color="auto" w:sz="8" w:space="0"/>
            </w:tcBorders>
            <w:shd w:val="clear" w:color="auto" w:fill="DDEBF7"/>
            <w:tcMar>
              <w:left w:w="57" w:type="dxa"/>
              <w:right w:w="57" w:type="dxa"/>
            </w:tcMar>
            <w:vAlign w:val="center"/>
          </w:tcPr>
          <w:p w14:paraId="4C3AA1A1">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（五）不予处理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3AEFDD52">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19217B1">
            <w:pPr>
              <w:keepNext w:val="0"/>
              <w:keepLines w:val="0"/>
              <w:widowControl/>
              <w:suppressLineNumbers w:val="0"/>
              <w:spacing w:before="0" w:beforeAutospacing="0" w:after="0" w:afterAutospacing="0"/>
              <w:ind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1039647">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4BE5E1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99FCE3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BF8DE5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9D88D9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F9BC02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0C2D30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5B1243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3032229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655AC25A">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482BF2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0B398E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BABB9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FED906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6EC6724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2C1BA7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2D08CC4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58FC855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70A2719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519287E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7AD676BF">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44B2ABF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1396E0C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06826B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C73430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12E01C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24EFD49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4956A45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6812F5E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3F8313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705C29A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top"/>
          </w:tcPr>
          <w:p w14:paraId="18BC05D6">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DE7FD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667165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3CF1FAA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56B5F6E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7CC5D9A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top"/>
          </w:tcPr>
          <w:p w14:paraId="0737F679">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64EA14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1AEE6B8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4F0D6E7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nil"/>
              <w:left w:val="nil"/>
              <w:bottom w:val="inset" w:color="auto" w:sz="8" w:space="0"/>
              <w:right w:val="single" w:color="auto" w:sz="8" w:space="0"/>
            </w:tcBorders>
            <w:shd w:val="clear" w:color="auto" w:fill="DDEBF7"/>
            <w:tcMar>
              <w:left w:w="57" w:type="dxa"/>
              <w:right w:w="57" w:type="dxa"/>
            </w:tcMar>
            <w:vAlign w:val="center"/>
          </w:tcPr>
          <w:p w14:paraId="2E157B2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inset" w:color="auto" w:sz="8" w:space="0"/>
              <w:right w:val="single" w:color="auto" w:sz="8" w:space="0"/>
            </w:tcBorders>
            <w:shd w:val="clear" w:color="auto" w:fill="DDEBF7"/>
            <w:tcMar>
              <w:left w:w="57" w:type="dxa"/>
              <w:right w:w="57" w:type="dxa"/>
            </w:tcMar>
            <w:vAlign w:val="center"/>
          </w:tcPr>
          <w:p w14:paraId="7151E5AE">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48F795B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CE65BB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0F8B2D8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3C44DADA">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7C0536D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inset" w:color="auto" w:sz="8" w:space="0"/>
              <w:right w:val="single" w:color="auto" w:sz="8" w:space="0"/>
            </w:tcBorders>
            <w:shd w:val="clear" w:color="auto" w:fill="auto"/>
            <w:tcMar>
              <w:left w:w="57" w:type="dxa"/>
              <w:right w:w="57" w:type="dxa"/>
            </w:tcMar>
            <w:vAlign w:val="center"/>
          </w:tcPr>
          <w:p w14:paraId="11A03BF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inset" w:color="auto" w:sz="8" w:space="0"/>
              <w:right w:val="single" w:color="auto" w:sz="8" w:space="0"/>
            </w:tcBorders>
            <w:shd w:val="clear" w:color="auto" w:fill="auto"/>
            <w:tcMar>
              <w:left w:w="57" w:type="dxa"/>
              <w:right w:w="57" w:type="dxa"/>
            </w:tcMar>
            <w:vAlign w:val="center"/>
          </w:tcPr>
          <w:p w14:paraId="5B5635C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2F064F4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0480FB6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restart"/>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78FF70BB">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（六）其他处理</w:t>
            </w: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7380505">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100BF8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A4310B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4226991">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97F26B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3169A9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5E58968">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78C2B07D">
            <w:pPr>
              <w:keepNext w:val="0"/>
              <w:keepLines w:val="0"/>
              <w:widowControl/>
              <w:suppressLineNumbers w:val="0"/>
              <w:spacing w:before="0" w:beforeAutospacing="0" w:after="0" w:afterAutospacing="0"/>
              <w:ind w:left="0" w:right="0"/>
              <w:jc w:val="center"/>
              <w:rPr>
                <w:rFonts w:hint="default"/>
                <w:lang w:val="en-US"/>
              </w:rPr>
            </w:pPr>
          </w:p>
          <w:p w14:paraId="30034DF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ascii="Calibri" w:hAnsi="Calibri" w:eastAsia="宋体" w:cs="Calibri"/>
                <w:kern w:val="0"/>
                <w:sz w:val="20"/>
                <w:szCs w:val="20"/>
                <w:lang w:val="en-US" w:eastAsia="zh-CN" w:bidi="ar"/>
              </w:rPr>
              <w:t>0</w:t>
            </w:r>
          </w:p>
        </w:tc>
      </w:tr>
      <w:tr w14:paraId="4AF8864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3244F35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13577A6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1798A64A">
            <w:pPr>
              <w:keepNext w:val="0"/>
              <w:keepLines w:val="0"/>
              <w:widowControl/>
              <w:suppressLineNumbers w:val="0"/>
              <w:spacing w:before="0" w:beforeAutospacing="0" w:after="0" w:afterAutospacing="0"/>
              <w:ind w:left="0" w:right="0"/>
              <w:jc w:val="both"/>
              <w:rPr>
                <w:rFonts w:hint="default"/>
                <w:lang w:val="en-US"/>
              </w:rPr>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29DA1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D09BECD">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9F7316F">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39D07E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CE7E9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B1B662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1D9A050F">
            <w:pPr>
              <w:keepNext w:val="0"/>
              <w:keepLines w:val="0"/>
              <w:widowControl/>
              <w:suppressLineNumbers w:val="0"/>
              <w:spacing w:before="0" w:beforeAutospacing="0" w:after="0" w:afterAutospacing="0"/>
              <w:ind w:left="0" w:right="0"/>
              <w:jc w:val="center"/>
              <w:rPr>
                <w:rFonts w:hint="eastAsia" w:ascii="Calibri" w:hAnsi="Calibri" w:eastAsia="宋体" w:cs="Calibri"/>
                <w:kern w:val="0"/>
                <w:sz w:val="20"/>
                <w:szCs w:val="20"/>
                <w:lang w:val="en-US" w:eastAsia="zh-CN" w:bidi="ar"/>
              </w:rPr>
            </w:pPr>
          </w:p>
          <w:p w14:paraId="393EFF6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5F0BEEE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46C200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943" w:type="dxa"/>
            <w:vMerge w:val="continue"/>
            <w:tcBorders>
              <w:top w:val="inset" w:color="auto" w:sz="8" w:space="0"/>
              <w:left w:val="nil"/>
              <w:bottom w:val="inset" w:color="auto" w:sz="8" w:space="0"/>
              <w:right w:val="single" w:color="auto" w:sz="8" w:space="0"/>
            </w:tcBorders>
            <w:shd w:val="clear" w:color="auto" w:fill="DDEBF7"/>
            <w:tcMar>
              <w:left w:w="57" w:type="dxa"/>
              <w:right w:w="57" w:type="dxa"/>
            </w:tcMar>
            <w:vAlign w:val="center"/>
          </w:tcPr>
          <w:p w14:paraId="5C269BB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220" w:type="dxa"/>
            <w:tcBorders>
              <w:top w:val="nil"/>
              <w:left w:val="nil"/>
              <w:bottom w:val="single" w:color="auto" w:sz="8" w:space="0"/>
              <w:right w:val="single" w:color="auto" w:sz="8" w:space="0"/>
            </w:tcBorders>
            <w:shd w:val="clear" w:color="auto" w:fill="DDEBF7"/>
            <w:tcMar>
              <w:left w:w="57" w:type="dxa"/>
              <w:right w:w="57" w:type="dxa"/>
            </w:tcMar>
            <w:vAlign w:val="center"/>
          </w:tcPr>
          <w:p w14:paraId="014E6F78">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450201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373D6B5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0A9E176B">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F642CE6">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EF9318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5930934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0E0B9893">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r>
      <w:tr w14:paraId="3B69EC0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shd w:val="clear" w:color="auto" w:fill="BDD7EE"/>
            <w:tcMar>
              <w:left w:w="57" w:type="dxa"/>
              <w:right w:w="57" w:type="dxa"/>
            </w:tcMar>
            <w:vAlign w:val="center"/>
          </w:tcPr>
          <w:p w14:paraId="5127E0A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163"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14:paraId="0E6B06CD">
            <w:pPr>
              <w:keepNext w:val="0"/>
              <w:keepLines w:val="0"/>
              <w:widowControl/>
              <w:suppressLineNumbers w:val="0"/>
              <w:spacing w:before="0" w:beforeAutospacing="0" w:after="0" w:afterAutospacing="0"/>
              <w:ind w:left="0" w:right="0"/>
              <w:jc w:val="left"/>
              <w:rPr>
                <w:rFonts w:hint="default"/>
                <w:lang w:val="en-US"/>
              </w:rPr>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1E9CE2F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4</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672A5A7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23CF565">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2719FFB4">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43C2DDEE">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14:paraId="74FB8042">
            <w:pPr>
              <w:keepNext w:val="0"/>
              <w:keepLines w:val="0"/>
              <w:widowControl/>
              <w:suppressLineNumbers w:val="0"/>
              <w:spacing w:before="0" w:beforeAutospacing="0" w:after="0" w:afterAutospacing="0"/>
              <w:ind w:left="0" w:right="0"/>
              <w:jc w:val="center"/>
              <w:rPr>
                <w:rFonts w:hint="default"/>
                <w:lang w:val="en-US"/>
              </w:rPr>
            </w:pPr>
            <w:r>
              <w:rPr>
                <w:rFonts w:hint="eastAsia" w:ascii="Calibri" w:hAnsi="Calibri" w:eastAsia="宋体" w:cs="Calibri"/>
                <w:kern w:val="0"/>
                <w:sz w:val="20"/>
                <w:szCs w:val="20"/>
                <w:lang w:val="en-US" w:eastAsia="zh-CN" w:bidi="ar"/>
              </w:rPr>
              <w:t>0</w:t>
            </w:r>
          </w:p>
        </w:tc>
        <w:tc>
          <w:tcPr>
            <w:tcW w:w="689" w:type="dxa"/>
            <w:tcBorders>
              <w:top w:val="nil"/>
              <w:left w:val="nil"/>
              <w:bottom w:val="single" w:color="auto" w:sz="8" w:space="0"/>
              <w:right w:val="single" w:color="auto" w:sz="8" w:space="0"/>
            </w:tcBorders>
            <w:shd w:val="clear" w:color="auto" w:fill="auto"/>
            <w:tcMar>
              <w:left w:w="57" w:type="dxa"/>
              <w:right w:w="57" w:type="dxa"/>
            </w:tcMar>
            <w:vAlign w:val="top"/>
          </w:tcPr>
          <w:p w14:paraId="666F268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4</w:t>
            </w:r>
          </w:p>
        </w:tc>
      </w:tr>
      <w:tr w14:paraId="1B930DA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14:paraId="35513D71">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四、结转下年度继续办理</w:t>
            </w:r>
          </w:p>
        </w:tc>
        <w:tc>
          <w:tcPr>
            <w:tcW w:w="688" w:type="dxa"/>
            <w:tcBorders>
              <w:top w:val="inset" w:color="auto" w:sz="6" w:space="0"/>
              <w:left w:val="nil"/>
              <w:bottom w:val="inset" w:color="auto" w:sz="6" w:space="0"/>
              <w:right w:val="inset" w:color="auto" w:sz="6" w:space="0"/>
            </w:tcBorders>
            <w:shd w:val="clear" w:color="auto" w:fill="auto"/>
            <w:vAlign w:val="center"/>
          </w:tcPr>
          <w:p w14:paraId="1133C478">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6DCEFE8D">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6114D378">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57A0AEA7">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61A6101C">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8" w:type="dxa"/>
            <w:tcBorders>
              <w:top w:val="inset" w:color="auto" w:sz="6" w:space="0"/>
              <w:left w:val="nil"/>
              <w:bottom w:val="inset" w:color="auto" w:sz="6" w:space="0"/>
              <w:right w:val="inset" w:color="auto" w:sz="6" w:space="0"/>
            </w:tcBorders>
            <w:shd w:val="clear" w:color="auto" w:fill="auto"/>
            <w:vAlign w:val="center"/>
          </w:tcPr>
          <w:p w14:paraId="342B799A">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c>
          <w:tcPr>
            <w:tcW w:w="689" w:type="dxa"/>
            <w:tcBorders>
              <w:top w:val="inset" w:color="auto" w:sz="6" w:space="0"/>
              <w:left w:val="nil"/>
              <w:bottom w:val="inset" w:color="auto" w:sz="6" w:space="0"/>
              <w:right w:val="inset" w:color="auto" w:sz="6" w:space="0"/>
            </w:tcBorders>
            <w:shd w:val="clear" w:color="auto" w:fill="auto"/>
            <w:vAlign w:val="center"/>
          </w:tcPr>
          <w:p w14:paraId="3077FE94">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rPr>
            </w:pPr>
            <w:r>
              <w:rPr>
                <w:rFonts w:hint="eastAsia" w:ascii="Calibri" w:hAnsi="Calibri" w:eastAsia="宋体" w:cs="Calibri"/>
                <w:kern w:val="0"/>
                <w:sz w:val="20"/>
                <w:szCs w:val="20"/>
                <w:lang w:val="en-US" w:eastAsia="zh-CN" w:bidi="ar"/>
              </w:rPr>
              <w:t>0</w:t>
            </w:r>
          </w:p>
        </w:tc>
      </w:tr>
    </w:tbl>
    <w:p w14:paraId="48DDAF5D">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四、政府信息公开行政复议、行政诉讼情况</w:t>
      </w:r>
    </w:p>
    <w:tbl>
      <w:tblPr>
        <w:tblStyle w:val="4"/>
        <w:tblW w:w="9748"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470E999">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47" w:hRule="atLeast"/>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66D8282">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14:paraId="6EC5E21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行政诉讼</w:t>
            </w:r>
          </w:p>
        </w:tc>
      </w:tr>
      <w:tr w14:paraId="5C19EF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0E266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D330D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1FF500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2A7DD0">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16181F7">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51720CE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14:paraId="25335EE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复议后起诉</w:t>
            </w:r>
          </w:p>
        </w:tc>
      </w:tr>
      <w:tr w14:paraId="3D464ED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156AE5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DB465D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1A7691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E5DC18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07700D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29E0C8">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ACAC9B">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2AFE534">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1B487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5A33B73">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A43EFDF">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2AAD9FA5">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42B84EC">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BBC2186">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68DF74D">
            <w:pPr>
              <w:keepNext w:val="0"/>
              <w:keepLines w:val="0"/>
              <w:widowControl/>
              <w:suppressLineNumbers w:val="0"/>
              <w:spacing w:before="0" w:beforeAutospacing="0" w:after="0" w:afterAutospacing="0"/>
              <w:ind w:left="0" w:right="0"/>
              <w:jc w:val="center"/>
              <w:rPr>
                <w:rFonts w:hint="default"/>
                <w:lang w:val="en-US"/>
              </w:rPr>
            </w:pPr>
            <w:r>
              <w:rPr>
                <w:rFonts w:hint="eastAsia" w:ascii="宋体" w:hAnsi="宋体" w:eastAsia="宋体" w:cs="宋体"/>
                <w:color w:val="000000"/>
                <w:kern w:val="0"/>
                <w:sz w:val="20"/>
                <w:szCs w:val="20"/>
                <w:lang w:val="en-US" w:eastAsia="zh-CN" w:bidi="ar"/>
              </w:rPr>
              <w:t>总计</w:t>
            </w:r>
          </w:p>
        </w:tc>
      </w:tr>
      <w:tr w14:paraId="112057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EF8AF0B">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5737A80">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065339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3BCE26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577A095">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1</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7906DE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15E4E9D">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6AECE7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5F9C64C">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9165B13">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AC8001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1</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0D8ABDF">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11AF9B2">
            <w:pPr>
              <w:keepNext w:val="0"/>
              <w:keepLines w:val="0"/>
              <w:widowControl/>
              <w:suppressLineNumbers w:val="0"/>
              <w:spacing w:before="0" w:beforeAutospacing="0" w:after="0" w:afterAutospacing="0"/>
              <w:ind w:left="0" w:right="0"/>
              <w:jc w:val="center"/>
              <w:rPr>
                <w:rFonts w:hint="default"/>
                <w:lang w:val="en-US"/>
              </w:rPr>
            </w:pPr>
            <w:r>
              <w:rPr>
                <w:rFonts w:hint="eastAsia" w:ascii="黑体" w:hAnsi="宋体" w:eastAsia="黑体" w:cs="黑体"/>
                <w:kern w:val="0"/>
                <w:sz w:val="20"/>
                <w:szCs w:val="20"/>
                <w:lang w:val="en-US" w:eastAsia="zh-CN" w:bidi="ar"/>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1A3191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365A084">
            <w:pPr>
              <w:keepNext w:val="0"/>
              <w:keepLines w:val="0"/>
              <w:widowControl w:val="0"/>
              <w:suppressLineNumbers w:val="0"/>
              <w:spacing w:before="0" w:beforeAutospacing="0" w:after="0" w:afterAutospacing="0"/>
              <w:ind w:left="0" w:right="0"/>
              <w:jc w:val="center"/>
              <w:rPr>
                <w:rFonts w:hint="eastAsia" w:ascii="宋体" w:hAnsi="Times New Roman" w:eastAsia="宋体" w:cs="宋体"/>
                <w:sz w:val="24"/>
                <w:szCs w:val="24"/>
                <w:lang w:val="en-US" w:eastAsia="zh-CN"/>
              </w:rPr>
            </w:pPr>
            <w:r>
              <w:rPr>
                <w:rFonts w:hint="eastAsia" w:ascii="黑体" w:hAnsi="宋体" w:eastAsia="黑体" w:cs="黑体"/>
                <w:kern w:val="0"/>
                <w:sz w:val="20"/>
                <w:szCs w:val="20"/>
                <w:lang w:val="en-US" w:eastAsia="zh-CN" w:bidi="ar"/>
              </w:rPr>
              <w:t>1</w:t>
            </w:r>
          </w:p>
        </w:tc>
      </w:tr>
    </w:tbl>
    <w:p w14:paraId="28E6D3F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五、政府信息公开工作存在的主要问题及改进情况</w:t>
      </w:r>
    </w:p>
    <w:p w14:paraId="10553DDF">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尽管我单位的政府信息公开工作取得了一定的成效，但仍存在一些问题和不足。一是部分信息公开不够及时、全面。二是部分公开渠道不够便捷、高效等。</w:t>
      </w:r>
    </w:p>
    <w:p w14:paraId="4AA2CFB3">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针对这些问题，我们将采取一系列改进措施：一是加强信息公开的时效性管理，确保信息及时更新。二是优化公开渠道布局，提高公开渠道的便捷性和高效性。通过这些措施的实施，我们相信政府信息公开工作将得到进一步提升。</w:t>
      </w:r>
    </w:p>
    <w:p w14:paraId="5781D5C7">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门头沟区人力资源和社会保障局将继续坚持以人民为中心的发展思想，深入推进政府信息公开工作。我们将以更加开放的姿态、更加务实的作风、更加高效的举措，不断提升政务公开的质量和效率，为公众提供更加优质、便捷的信息服务。同时，我们也欢迎社会各界对我们的工作提出宝贵意见和建议，共同推动我区人社事业的持续健康发展。</w:t>
      </w:r>
    </w:p>
    <w:p w14:paraId="31F2293B">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黑体" w:hAnsi="宋体" w:eastAsia="黑体" w:cs="黑体"/>
          <w:kern w:val="2"/>
          <w:sz w:val="32"/>
          <w:szCs w:val="32"/>
          <w:lang w:val="en-US" w:eastAsia="zh-CN" w:bidi="ar"/>
        </w:rPr>
      </w:pPr>
      <w:r>
        <w:rPr>
          <w:rFonts w:hint="eastAsia" w:ascii="黑体" w:hAnsi="宋体" w:eastAsia="黑体" w:cs="黑体"/>
          <w:kern w:val="2"/>
          <w:sz w:val="32"/>
          <w:szCs w:val="32"/>
          <w:lang w:val="en-US" w:eastAsia="zh-CN" w:bidi="ar"/>
        </w:rPr>
        <w:t>六、其他需要报告的事项</w:t>
      </w:r>
    </w:p>
    <w:p w14:paraId="1C3215DE">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rPr>
      </w:pPr>
      <w:r>
        <w:rPr>
          <w:rFonts w:hint="eastAsia" w:ascii="仿宋_GB2312" w:hAnsi="宋体" w:eastAsia="仿宋_GB2312" w:cs="宋体"/>
          <w:spacing w:val="8"/>
          <w:kern w:val="0"/>
          <w:sz w:val="32"/>
          <w:szCs w:val="32"/>
          <w:lang w:val="en-US" w:eastAsia="zh-CN"/>
        </w:rPr>
        <w:t>根据《政府信息公开信息处理费管理办法》(国办函〔2020〕109号)，2024年度门头沟区人力资源和社会保障局收取信息处理费情况为：发出收费通知的件数为0件，总金额为0元，实际收取的总金额为0元。</w:t>
      </w:r>
    </w:p>
    <w:p w14:paraId="17855681">
      <w:pPr>
        <w:keepNext w:val="0"/>
        <w:keepLines w:val="0"/>
        <w:pageBreakBefore w:val="0"/>
        <w:widowControl/>
        <w:kinsoku/>
        <w:wordWrap w:val="0"/>
        <w:overflowPunct/>
        <w:topLinePunct w:val="0"/>
        <w:autoSpaceDE/>
        <w:autoSpaceDN/>
        <w:bidi w:val="0"/>
        <w:adjustRightInd/>
        <w:snapToGrid/>
        <w:spacing w:line="560" w:lineRule="exact"/>
        <w:ind w:firstLine="672" w:firstLineChars="200"/>
        <w:jc w:val="left"/>
        <w:textAlignment w:val="auto"/>
        <w:rPr>
          <w:rFonts w:hint="eastAsia" w:ascii="仿宋_GB2312" w:hAnsi="宋体" w:eastAsia="仿宋_GB2312" w:cs="宋体"/>
          <w:spacing w:val="8"/>
          <w:kern w:val="0"/>
          <w:sz w:val="32"/>
          <w:szCs w:val="32"/>
          <w:lang w:val="en-US" w:eastAsia="zh-CN"/>
        </w:rPr>
      </w:pPr>
      <w:r>
        <w:rPr>
          <w:rFonts w:hint="eastAsia" w:ascii="仿宋_GB2312" w:hAnsi="宋体" w:eastAsia="仿宋_GB2312" w:cs="宋体"/>
          <w:spacing w:val="8"/>
          <w:kern w:val="0"/>
          <w:sz w:val="32"/>
          <w:szCs w:val="32"/>
          <w:lang w:val="en-US" w:eastAsia="zh-CN"/>
        </w:rPr>
        <w:t>北京市门头沟区人民政府网站网址为https://www.bjmtg.gov.cn/，如需了解更多政府信息，请登录查询。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CA591D9-C2D4-42FC-A307-CF89BA8BA9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ABB84F8-9422-4BB7-9A57-0E551A54902A}"/>
  </w:font>
  <w:font w:name="方正小标宋简体">
    <w:panose1 w:val="02000000000000000000"/>
    <w:charset w:val="86"/>
    <w:family w:val="auto"/>
    <w:pitch w:val="default"/>
    <w:sig w:usb0="00000001" w:usb1="08000000" w:usb2="00000000" w:usb3="00000000" w:csb0="00040000" w:csb1="00000000"/>
    <w:embedRegular r:id="rId3" w:fontKey="{25CFD843-D55B-4B1C-9ABF-579429A4C9E3}"/>
  </w:font>
  <w:font w:name="仿宋_GB2312">
    <w:panose1 w:val="02010609030101010101"/>
    <w:charset w:val="86"/>
    <w:family w:val="modern"/>
    <w:pitch w:val="default"/>
    <w:sig w:usb0="00000001" w:usb1="080E0000" w:usb2="00000000" w:usb3="00000000" w:csb0="00040000" w:csb1="00000000"/>
    <w:embedRegular r:id="rId4" w:fontKey="{323F2D00-63CE-4858-9386-39AFB70BAE6F}"/>
  </w:font>
  <w:font w:name="楷体">
    <w:panose1 w:val="02010609060101010101"/>
    <w:charset w:val="86"/>
    <w:family w:val="modern"/>
    <w:pitch w:val="default"/>
    <w:sig w:usb0="800002BF" w:usb1="38CF7CFA" w:usb2="00000016" w:usb3="00000000" w:csb0="00040001" w:csb1="00000000"/>
    <w:embedRegular r:id="rId5" w:fontKey="{65744EA3-44D6-45F8-B216-B936486E9EDB}"/>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CB7BAE"/>
    <w:rsid w:val="17DD78F8"/>
    <w:rsid w:val="30CA7118"/>
    <w:rsid w:val="379156E6"/>
    <w:rsid w:val="45690E26"/>
    <w:rsid w:val="53723FA6"/>
    <w:rsid w:val="54260538"/>
    <w:rsid w:val="62D14B77"/>
    <w:rsid w:val="64CB7BAE"/>
    <w:rsid w:val="64D11873"/>
    <w:rsid w:val="7030282B"/>
    <w:rsid w:val="7659421F"/>
    <w:rsid w:val="7A967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区人力社保局</Company>
  <Pages>5</Pages>
  <Words>2173</Words>
  <Characters>2243</Characters>
  <Lines>0</Lines>
  <Paragraphs>0</Paragraphs>
  <TotalTime>0</TotalTime>
  <ScaleCrop>false</ScaleCrop>
  <LinksUpToDate>false</LinksUpToDate>
  <CharactersWithSpaces>2315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2025-01-13T03:22:00Z</dcterms:created>
  <dc:creator>xxx</dc:creator>
  <cp:lastModifiedBy>Mint1398171869</cp:lastModifiedBy>
  <dcterms:modified xsi:type="dcterms:W3CDTF">2025-01-21T03:19:31Z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eyJoZGlkIjoiMDdmNjUwM2Y1NDNmOWE2YzU2MTgyNGU5OGRlNTRlMDciLCJ1c2VySWQiOiIxNDYxNjAxNCJ9</vt:lpwstr>
  </property>
  <property fmtid="{D5CDD505-2E9C-101B-9397-08002B2CF9AE}" pid="4" name="ICV">
    <vt:lpwstr>DF722813C3A049BD94175178266192EA_13</vt:lpwstr>
  </property>
</Properties>
</file>