
<file path=[Content_Types].xml><?xml version="1.0" encoding="utf-8"?>
<Types xmlns="http://schemas.openxmlformats.org/package/2006/content-types">
  <Default Extension="xml" ContentType="application/xml"/>
  <Default Extension="wmf" ContentType="image/x-wmf"/>
  <Default Extension="png" ContentType="image/png"/>
  <Default Extension="jpeg" ContentType="image/jpeg"/>
  <Default Extension="rels" ContentType="application/vnd.openxmlformats-package.relationships+xml"/>
  <Default Extension="bin" ContentType="application/vnd.openxmlformats-officedocument.oleObject"/>
  <Override PartName="/docProps/app.xml" ContentType="application/vnd.openxmlformats-officedocument.extended-properties+xml"/>
  <Override PartName="/word/footer2.xml" ContentType="application/vnd.openxmlformats-officedocument.wordprocessingml.footer+xml"/>
  <Override PartName="/word/footnotes.xml" ContentType="application/vnd.openxmlformats-officedocument.wordprocessingml.footnotes+xml"/>
  <Override PartName="/word/footer1.xml" ContentType="application/vnd.openxmlformats-officedocument.wordprocessingml.footer+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Override PartName="/word/webSettings.xml" ContentType="application/vnd.openxmlformats-officedocument.wordprocessingml.webSettings+xml"/>
  <Override PartName="/word/endnotes.xml" ContentType="application/vnd.openxmlformats-officedocument.wordprocessingml.endnote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mc:Ignorable="w14 w15 wp14">
  <w:background w:color="ffffff"/>
  <w:body>
    <w:p>
      <w:pPr>
        <w:pStyle w:val="656"/>
        <w:pBdr/>
        <w:spacing w:line="460" w:lineRule="exact"/>
        <w:ind/>
        <w:jc w:val="center"/>
        <w:rPr>
          <w:rFonts w:ascii="华文中宋" w:hAnsi="华文中宋" w:eastAsia="华文中宋"/>
          <w:b/>
          <w:sz w:val="36"/>
          <w:szCs w:val="36"/>
        </w:rPr>
      </w:pPr>
      <w:r>
        <w:rPr>
          <w:rFonts w:hint="eastAsia" w:ascii="华文中宋" w:hAnsi="华文中宋" w:eastAsia="华文中宋"/>
          <w:b/>
          <w:sz w:val="36"/>
          <w:szCs w:val="36"/>
        </w:rPr>
        <w:t xml:space="preserve">目   录</w:t>
      </w:r>
      <w:r>
        <w:rPr>
          <w:rFonts w:ascii="华文中宋" w:hAnsi="华文中宋" w:eastAsia="华文中宋"/>
          <w:b/>
          <w:sz w:val="36"/>
          <w:szCs w:val="36"/>
        </w:rPr>
      </w:r>
      <w:r>
        <w:rPr>
          <w:rFonts w:ascii="华文中宋" w:hAnsi="华文中宋" w:eastAsia="华文中宋"/>
          <w:b/>
          <w:sz w:val="36"/>
          <w:szCs w:val="36"/>
        </w:rPr>
      </w:r>
    </w:p>
    <w:p>
      <w:pPr>
        <w:pStyle w:val="656"/>
        <w:pBdr/>
        <w:spacing w:line="460" w:lineRule="exact"/>
        <w:ind/>
        <w:jc w:val="center"/>
        <w:rPr>
          <w:rFonts w:hint="eastAsia" w:ascii="华文中宋" w:hAnsi="华文中宋" w:eastAsia="华文中宋"/>
          <w:b/>
          <w:sz w:val="36"/>
          <w:szCs w:val="36"/>
        </w:rPr>
      </w:pPr>
      <w:r>
        <w:rPr>
          <w:rFonts w:hint="eastAsia" w:ascii="华文中宋" w:hAnsi="华文中宋" w:eastAsia="华文中宋"/>
          <w:b/>
          <w:sz w:val="36"/>
          <w:szCs w:val="36"/>
        </w:rPr>
      </w:r>
      <w:r>
        <w:rPr>
          <w:rFonts w:hint="eastAsia" w:ascii="华文中宋" w:hAnsi="华文中宋" w:eastAsia="华文中宋"/>
          <w:b/>
          <w:sz w:val="36"/>
          <w:szCs w:val="36"/>
        </w:rPr>
      </w:r>
    </w:p>
    <w:p>
      <w:pPr>
        <w:pStyle w:val="656"/>
        <w:pBdr/>
        <w:spacing w:line="460" w:lineRule="exact"/>
        <w:ind w:firstLine="420"/>
        <w:jc w:val="left"/>
        <w:rPr>
          <w:rFonts w:ascii="黑体" w:hAnsi="黑体" w:eastAsia="黑体"/>
          <w:sz w:val="28"/>
          <w:szCs w:val="32"/>
        </w:rPr>
      </w:pPr>
      <w:r>
        <w:rPr>
          <w:rFonts w:hint="eastAsia" w:ascii="黑体" w:hAnsi="黑体" w:eastAsia="黑体"/>
          <w:sz w:val="28"/>
          <w:szCs w:val="32"/>
        </w:rPr>
        <w:t xml:space="preserve">第一部分 2024年度部门预算情况说明</w:t>
      </w:r>
      <w:r>
        <w:rPr>
          <w:rFonts w:ascii="黑体" w:hAnsi="黑体" w:eastAsia="黑体"/>
          <w:sz w:val="28"/>
          <w:szCs w:val="32"/>
        </w:rPr>
      </w:r>
      <w:r>
        <w:rPr>
          <w:rFonts w:ascii="黑体" w:hAnsi="黑体" w:eastAsia="黑体"/>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一、部门情况</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二、收入预算说明</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三、支出预算说明</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四</w:t>
      </w:r>
      <w:r>
        <w:rPr>
          <w:rFonts w:ascii="仿宋_GB2312" w:eastAsia="仿宋_GB2312"/>
          <w:sz w:val="28"/>
          <w:szCs w:val="32"/>
        </w:rPr>
        <w:t xml:space="preserve">、</w:t>
      </w:r>
      <w:r>
        <w:rPr>
          <w:rFonts w:hint="eastAsia" w:ascii="仿宋_GB2312" w:eastAsia="仿宋_GB2312"/>
          <w:sz w:val="28"/>
          <w:szCs w:val="32"/>
        </w:rPr>
        <w:t xml:space="preserve">部门"三公"经费财政拨款预算说明</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五</w:t>
      </w:r>
      <w:r>
        <w:rPr>
          <w:rFonts w:ascii="仿宋_GB2312" w:eastAsia="仿宋_GB2312"/>
          <w:sz w:val="28"/>
          <w:szCs w:val="32"/>
        </w:rPr>
        <w:t xml:space="preserve">、</w:t>
      </w:r>
      <w:r>
        <w:rPr>
          <w:rFonts w:hint="eastAsia" w:ascii="仿宋_GB2312" w:eastAsia="仿宋_GB2312"/>
          <w:sz w:val="28"/>
          <w:szCs w:val="32"/>
        </w:rPr>
        <w:t xml:space="preserve">其他情况说明</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黑体" w:hAnsi="黑体" w:eastAsia="黑体"/>
          <w:sz w:val="28"/>
          <w:szCs w:val="32"/>
        </w:rPr>
      </w:pPr>
      <w:r>
        <w:rPr>
          <w:rFonts w:ascii="黑体" w:hAnsi="黑体" w:eastAsia="黑体"/>
          <w:sz w:val="28"/>
          <w:szCs w:val="32"/>
        </w:rPr>
      </w:r>
      <w:r>
        <w:rPr>
          <w:rFonts w:ascii="黑体" w:hAnsi="黑体" w:eastAsia="黑体"/>
          <w:sz w:val="28"/>
          <w:szCs w:val="32"/>
        </w:rPr>
      </w:r>
    </w:p>
    <w:p>
      <w:pPr>
        <w:pStyle w:val="656"/>
        <w:pBdr/>
        <w:spacing w:line="460" w:lineRule="exact"/>
        <w:ind w:firstLine="420"/>
        <w:jc w:val="left"/>
        <w:rPr>
          <w:rFonts w:hint="eastAsia" w:ascii="黑体" w:hAnsi="黑体" w:eastAsia="黑体"/>
          <w:sz w:val="28"/>
          <w:szCs w:val="32"/>
        </w:rPr>
      </w:pPr>
      <w:r>
        <w:rPr>
          <w:rFonts w:hint="eastAsia" w:ascii="黑体" w:hAnsi="黑体" w:eastAsia="黑体"/>
          <w:sz w:val="28"/>
          <w:szCs w:val="32"/>
        </w:rPr>
        <w:t xml:space="preserve">第二部分 2024年度部门预算报表</w:t>
      </w:r>
      <w:r>
        <w:rPr>
          <w:rFonts w:hint="eastAsia" w:ascii="黑体" w:hAnsi="黑体" w:eastAsia="黑体"/>
          <w:sz w:val="28"/>
          <w:szCs w:val="32"/>
        </w:rPr>
      </w:r>
      <w:r>
        <w:rPr>
          <w:rFonts w:hint="eastAsia" w:ascii="黑体" w:hAnsi="黑体" w:eastAsia="黑体"/>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1.收支总表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2.收入总表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3.本年支出预算总表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4.项目支出表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5.政府采购预算明细表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6.财政拨款</w:t>
      </w:r>
      <w:r>
        <w:rPr>
          <w:rFonts w:ascii="仿宋_GB2312" w:eastAsia="仿宋_GB2312"/>
          <w:sz w:val="28"/>
          <w:szCs w:val="32"/>
        </w:rPr>
        <w:t xml:space="preserve">收支预算</w:t>
      </w:r>
      <w:r>
        <w:rPr>
          <w:rFonts w:hint="eastAsia" w:ascii="仿宋_GB2312" w:eastAsia="仿宋_GB2312"/>
          <w:sz w:val="28"/>
          <w:szCs w:val="32"/>
        </w:rPr>
        <w:t xml:space="preserve">总表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7.一般公共预算财政拨款支出表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8.一般公共预算财政拨款基本支出表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9.政府性基金预算财政拨款支出表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10.国有资本经营预算财政拨款支出表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hint="eastAsia" w:ascii="仿宋_GB2312" w:eastAsia="仿宋_GB2312"/>
          <w:sz w:val="28"/>
          <w:szCs w:val="32"/>
        </w:rPr>
      </w:pPr>
      <w:r>
        <w:rPr>
          <w:rFonts w:hint="eastAsia" w:ascii="仿宋_GB2312" w:eastAsia="仿宋_GB2312"/>
          <w:sz w:val="28"/>
          <w:szCs w:val="32"/>
        </w:rPr>
        <w:t xml:space="preserve">11.财政拨款“三公”经费支出表</w:t>
      </w:r>
      <w:r>
        <w:rPr>
          <w:rFonts w:hint="eastAsia" w:ascii="仿宋_GB2312" w:eastAsia="仿宋_GB2312"/>
          <w:sz w:val="28"/>
          <w:szCs w:val="32"/>
        </w:rPr>
      </w:r>
      <w:r>
        <w:rPr>
          <w:rFonts w:hint="eastAsia"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12.政府购买服务预算财政拨款明细表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ascii="仿宋_GB2312" w:eastAsia="仿宋_GB2312"/>
          <w:sz w:val="28"/>
          <w:szCs w:val="32"/>
        </w:rPr>
      </w:pPr>
      <w:r>
        <w:rPr>
          <w:rFonts w:hint="eastAsia" w:ascii="仿宋_GB2312" w:eastAsia="仿宋_GB2312"/>
          <w:sz w:val="28"/>
          <w:szCs w:val="32"/>
        </w:rPr>
        <w:t xml:space="preserve">13.部门</w:t>
      </w:r>
      <w:r>
        <w:rPr>
          <w:rFonts w:ascii="仿宋_GB2312" w:eastAsia="仿宋_GB2312"/>
          <w:sz w:val="28"/>
          <w:szCs w:val="32"/>
        </w:rPr>
        <w:t xml:space="preserve">（</w:t>
      </w:r>
      <w:r>
        <w:rPr>
          <w:rFonts w:hint="eastAsia" w:ascii="仿宋_GB2312" w:eastAsia="仿宋_GB2312"/>
          <w:sz w:val="28"/>
          <w:szCs w:val="32"/>
        </w:rPr>
        <w:t xml:space="preserve">单位</w:t>
      </w:r>
      <w:r>
        <w:rPr>
          <w:rFonts w:ascii="仿宋_GB2312" w:eastAsia="仿宋_GB2312"/>
          <w:sz w:val="28"/>
          <w:szCs w:val="32"/>
        </w:rPr>
        <w:t xml:space="preserve">）</w:t>
      </w:r>
      <w:r>
        <w:rPr>
          <w:rFonts w:hint="eastAsia" w:ascii="仿宋_GB2312" w:eastAsia="仿宋_GB2312"/>
          <w:sz w:val="28"/>
          <w:szCs w:val="32"/>
        </w:rPr>
        <w:t xml:space="preserve">整体支出绩效目标申报表</w:t>
      </w:r>
      <w:r>
        <w:rPr>
          <w:rFonts w:ascii="仿宋_GB2312" w:eastAsia="仿宋_GB2312"/>
          <w:sz w:val="28"/>
          <w:szCs w:val="32"/>
        </w:rPr>
      </w:r>
      <w:r>
        <w:rPr>
          <w:rFonts w:ascii="仿宋_GB2312" w:eastAsia="仿宋_GB2312"/>
          <w:sz w:val="28"/>
          <w:szCs w:val="32"/>
        </w:rPr>
      </w:r>
    </w:p>
    <w:p>
      <w:pPr>
        <w:pStyle w:val="656"/>
        <w:pBdr/>
        <w:spacing w:line="460" w:lineRule="exact"/>
        <w:ind w:firstLine="420"/>
        <w:jc w:val="left"/>
        <w:rPr>
          <w:rFonts w:hint="eastAsia" w:ascii="仿宋_GB2312" w:eastAsia="仿宋_GB2312"/>
          <w:sz w:val="28"/>
          <w:szCs w:val="32"/>
        </w:rPr>
      </w:pPr>
      <w:r>
        <w:rPr>
          <w:rFonts w:hint="eastAsia" w:ascii="仿宋_GB2312" w:eastAsia="仿宋_GB2312"/>
          <w:sz w:val="28"/>
          <w:szCs w:val="32"/>
        </w:rPr>
        <w:t xml:space="preserve">14.项目支出绩效表</w:t>
      </w:r>
      <w:r>
        <w:rPr>
          <w:rFonts w:hint="eastAsia" w:ascii="仿宋_GB2312" w:eastAsia="仿宋_GB2312"/>
          <w:sz w:val="28"/>
          <w:szCs w:val="32"/>
        </w:rPr>
      </w:r>
      <w:r>
        <w:rPr>
          <w:rFonts w:hint="eastAsia" w:ascii="仿宋_GB2312" w:eastAsia="仿宋_GB2312"/>
          <w:sz w:val="28"/>
          <w:szCs w:val="32"/>
        </w:rPr>
      </w:r>
    </w:p>
    <w:tbl>
      <w:tblPr>
        <w:tblW w:w="11320" w:type="dxa"/>
        <w:tblInd w:w="0" w:type="dxa"/>
        <w:tblBorders/>
        <w:tblLayout w:type="autofit"/>
        <w:tblCellMar>
          <w:left w:w="108" w:type="dxa"/>
          <w:top w:w="0" w:type="dxa"/>
          <w:right w:w="108" w:type="dxa"/>
          <w:bottom w:w="0" w:type="dxa"/>
        </w:tblCellMar>
        <w:tblLook w:val="04A0" w:firstRow="1" w:lastRow="0" w:firstColumn="1" w:lastColumn="0" w:noHBand="0" w:noVBand="1"/>
      </w:tblPr>
      <w:tblGrid>
        <w:gridCol w:w="11320"/>
      </w:tblGrid>
      <w:tr>
        <w:trPr>
          <w:trHeight w:val="327"/>
        </w:trPr>
        <w:tc>
          <w:tcPr>
            <w:tcBorders>
              <w:top w:val="none" w:color="000000" w:sz="4" w:space="0"/>
              <w:left w:val="none" w:color="000000" w:sz="4" w:space="0"/>
              <w:bottom w:val="none" w:color="000000" w:sz="4" w:space="0"/>
              <w:right w:val="none" w:color="000000" w:sz="4" w:space="0"/>
            </w:tcBorders>
            <w:tcW w:w="11320" w:type="dxa"/>
            <w:vAlign w:val="center"/>
            <w:textDirection w:val="lrTb"/>
            <w:noWrap w:val="false"/>
          </w:tcPr>
          <w:p>
            <w:pPr>
              <w:pStyle w:val="656"/>
              <w:widowControl w:val="true"/>
              <w:pBdr/>
              <w:spacing/>
              <w:ind/>
              <w:jc w:val="left"/>
              <w:rPr>
                <w:rFonts w:hint="eastAsia" w:ascii="仿宋_GB2312" w:eastAsia="仿宋_GB2312"/>
                <w:sz w:val="28"/>
                <w:szCs w:val="32"/>
              </w:rPr>
            </w:pPr>
            <w:r>
              <w:rPr>
                <w:rFonts w:hint="eastAsia" w:ascii="仿宋_GB2312" w:eastAsia="仿宋_GB2312"/>
                <w:sz w:val="28"/>
                <w:szCs w:val="32"/>
              </w:rPr>
            </w:r>
            <w:r>
              <w:rPr>
                <w:rFonts w:hint="eastAsia" w:ascii="仿宋_GB2312" w:eastAsia="仿宋_GB2312"/>
                <w:sz w:val="28"/>
                <w:szCs w:val="32"/>
              </w:rPr>
            </w:r>
          </w:p>
        </w:tc>
      </w:tr>
      <w:tr>
        <w:trPr>
          <w:trHeight w:val="327"/>
        </w:trPr>
        <w:tc>
          <w:tcPr>
            <w:tcBorders>
              <w:top w:val="none" w:color="000000" w:sz="4" w:space="0"/>
              <w:left w:val="none" w:color="000000" w:sz="4" w:space="0"/>
              <w:bottom w:val="none" w:color="000000" w:sz="4" w:space="0"/>
              <w:right w:val="none" w:color="000000" w:sz="4" w:space="0"/>
            </w:tcBorders>
            <w:tcW w:w="11320" w:type="dxa"/>
            <w:vAlign w:val="center"/>
            <w:textDirection w:val="lrTb"/>
            <w:noWrap w:val="false"/>
          </w:tcPr>
          <w:p>
            <w:pPr>
              <w:pStyle w:val="656"/>
              <w:pBdr/>
              <w:spacing w:line="460" w:lineRule="exact"/>
              <w:ind w:firstLine="420"/>
              <w:jc w:val="left"/>
              <w:rPr>
                <w:rFonts w:hint="eastAsia" w:ascii="仿宋_GB2312" w:eastAsia="仿宋_GB2312"/>
                <w:sz w:val="28"/>
                <w:szCs w:val="32"/>
              </w:rPr>
            </w:pPr>
            <w:r>
              <w:rPr>
                <w:rFonts w:hint="eastAsia" w:ascii="仿宋_GB2312" w:eastAsia="仿宋_GB2312"/>
                <w:sz w:val="28"/>
                <w:szCs w:val="32"/>
              </w:rPr>
            </w:r>
            <w:r>
              <w:rPr>
                <w:rFonts w:hint="eastAsia" w:ascii="仿宋_GB2312" w:eastAsia="仿宋_GB2312"/>
                <w:sz w:val="28"/>
                <w:szCs w:val="32"/>
              </w:rPr>
            </w:r>
          </w:p>
        </w:tc>
      </w:tr>
    </w:tbl>
    <w:p>
      <w:pPr>
        <w:pStyle w:val="656"/>
        <w:pBdr/>
        <w:spacing/>
        <w:ind/>
        <w:jc w:val="center"/>
        <w:rPr>
          <w:rFonts w:ascii="仿宋_GB2312" w:eastAsia="仿宋_GB2312"/>
          <w:b/>
          <w:sz w:val="28"/>
          <w:szCs w:val="32"/>
        </w:rPr>
      </w:pPr>
      <w:r>
        <w:rPr>
          <w:rFonts w:ascii="仿宋_GB2312" w:eastAsia="仿宋_GB2312"/>
          <w:b/>
          <w:sz w:val="28"/>
          <w:szCs w:val="32"/>
        </w:rPr>
      </w:r>
      <w:r>
        <w:rPr>
          <w:rFonts w:ascii="仿宋_GB2312" w:eastAsia="仿宋_GB2312"/>
          <w:b/>
          <w:sz w:val="28"/>
          <w:szCs w:val="32"/>
        </w:rPr>
      </w:r>
    </w:p>
    <w:p>
      <w:pPr>
        <w:pStyle w:val="656"/>
        <w:pBdr/>
        <w:spacing/>
        <w:ind/>
        <w:jc w:val="center"/>
        <w:rPr>
          <w:rFonts w:ascii="仿宋_GB2312" w:eastAsia="仿宋_GB2312"/>
          <w:b/>
          <w:sz w:val="28"/>
          <w:szCs w:val="32"/>
        </w:rPr>
      </w:pPr>
      <w:r>
        <w:rPr>
          <w:rFonts w:ascii="仿宋_GB2312" w:eastAsia="仿宋_GB2312"/>
          <w:b/>
          <w:sz w:val="28"/>
          <w:szCs w:val="32"/>
        </w:rPr>
      </w:r>
      <w:r>
        <w:rPr>
          <w:rFonts w:ascii="仿宋_GB2312" w:eastAsia="仿宋_GB2312"/>
          <w:b/>
          <w:sz w:val="28"/>
          <w:szCs w:val="32"/>
        </w:rPr>
      </w:r>
    </w:p>
    <w:p>
      <w:pPr>
        <w:pStyle w:val="656"/>
        <w:pBdr/>
        <w:spacing/>
        <w:ind/>
        <w:jc w:val="center"/>
        <w:rPr>
          <w:rFonts w:hint="eastAsia" w:ascii="仿宋_GB2312" w:eastAsia="仿宋_GB2312"/>
          <w:b/>
          <w:sz w:val="28"/>
          <w:szCs w:val="32"/>
        </w:rPr>
      </w:pPr>
      <w:r>
        <w:rPr>
          <w:rFonts w:hint="eastAsia" w:ascii="仿宋_GB2312" w:eastAsia="仿宋_GB2312"/>
          <w:b/>
          <w:sz w:val="28"/>
          <w:szCs w:val="32"/>
        </w:rPr>
      </w:r>
      <w:r>
        <w:rPr>
          <w:rFonts w:hint="eastAsia" w:ascii="仿宋_GB2312" w:eastAsia="仿宋_GB2312"/>
          <w:b/>
          <w:sz w:val="28"/>
          <w:szCs w:val="32"/>
        </w:rPr>
      </w:r>
    </w:p>
    <w:p>
      <w:pPr>
        <w:pStyle w:val="656"/>
        <w:pBdr/>
        <w:spacing w:line="500" w:lineRule="exact"/>
        <w:ind/>
        <w:jc w:val="center"/>
        <w:rPr>
          <w:rFonts w:ascii="华文中宋" w:hAnsi="华文中宋" w:eastAsia="华文中宋"/>
          <w:b/>
          <w:sz w:val="36"/>
          <w:szCs w:val="36"/>
        </w:rPr>
      </w:pPr>
      <w:r>
        <w:rPr>
          <w:rFonts w:hint="eastAsia" w:ascii="华文中宋" w:hAnsi="华文中宋" w:eastAsia="华文中宋"/>
          <w:b/>
          <w:sz w:val="36"/>
          <w:szCs w:val="36"/>
        </w:rPr>
        <w:t xml:space="preserve">第一</w:t>
      </w:r>
      <w:r>
        <w:rPr>
          <w:rFonts w:ascii="华文中宋" w:hAnsi="华文中宋" w:eastAsia="华文中宋"/>
          <w:b/>
          <w:sz w:val="36"/>
          <w:szCs w:val="36"/>
        </w:rPr>
        <w:t xml:space="preserve">部分</w:t>
      </w:r>
      <w:r>
        <w:rPr>
          <w:rFonts w:hint="eastAsia" w:ascii="华文中宋" w:hAnsi="华文中宋" w:eastAsia="华文中宋"/>
          <w:b/>
          <w:sz w:val="36"/>
          <w:szCs w:val="36"/>
        </w:rPr>
        <w:t xml:space="preserve"> 2024年度门头沟区</w:t>
      </w:r>
      <w:r>
        <w:rPr>
          <w:rFonts w:hint="eastAsia" w:ascii="宋体" w:hAnsi="宋体" w:eastAsia="宋体" w:cs="宋体"/>
          <w:b/>
          <w:bCs w:val="0"/>
          <w:sz w:val="36"/>
          <w:szCs w:val="36"/>
        </w:rPr>
        <w:t xml:space="preserve">人力资源和社会保障局</w:t>
      </w:r>
      <w:r>
        <w:rPr>
          <w:rFonts w:hint="eastAsia" w:ascii="华文中宋" w:hAnsi="华文中宋" w:eastAsia="华文中宋"/>
          <w:b/>
          <w:sz w:val="36"/>
          <w:szCs w:val="36"/>
        </w:rPr>
        <w:t xml:space="preserve">部门预算情况说明</w:t>
      </w:r>
      <w:r>
        <w:rPr>
          <w:rFonts w:ascii="华文中宋" w:hAnsi="华文中宋" w:eastAsia="华文中宋"/>
          <w:b/>
          <w:sz w:val="36"/>
          <w:szCs w:val="36"/>
        </w:rPr>
      </w:r>
      <w:r>
        <w:rPr>
          <w:rFonts w:ascii="华文中宋" w:hAnsi="华文中宋" w:eastAsia="华文中宋"/>
          <w:b/>
          <w:sz w:val="36"/>
          <w:szCs w:val="36"/>
        </w:rPr>
      </w:r>
    </w:p>
    <w:p>
      <w:pPr>
        <w:pStyle w:val="656"/>
        <w:widowControl w:val="true"/>
        <w:pBdr/>
        <w:spacing w:line="560" w:lineRule="exact"/>
        <w:ind w:firstLine="560"/>
        <w:rPr>
          <w:rFonts w:ascii="宋体" w:hAnsi="宋体"/>
          <w:sz w:val="28"/>
          <w:szCs w:val="32"/>
        </w:rPr>
      </w:pPr>
      <w:r>
        <w:rPr>
          <w:rFonts w:ascii="宋体" w:hAnsi="宋体"/>
          <w:sz w:val="28"/>
          <w:szCs w:val="32"/>
        </w:rPr>
      </w:r>
      <w:r>
        <w:rPr>
          <w:rFonts w:ascii="宋体" w:hAnsi="宋体"/>
          <w:sz w:val="28"/>
          <w:szCs w:val="32"/>
        </w:rPr>
      </w:r>
    </w:p>
    <w:p>
      <w:pPr>
        <w:pStyle w:val="656"/>
        <w:widowControl w:val="true"/>
        <w:pBdr/>
        <w:spacing w:line="560" w:lineRule="exact"/>
        <w:ind w:firstLine="640"/>
        <w:rPr>
          <w:rFonts w:hint="eastAsia" w:ascii="黑体" w:hAnsi="黑体" w:eastAsia="黑体" w:cs="宋体"/>
          <w:sz w:val="32"/>
          <w:szCs w:val="32"/>
        </w:rPr>
      </w:pPr>
      <w:r>
        <w:rPr>
          <w:rFonts w:hint="eastAsia" w:ascii="黑体" w:hAnsi="黑体" w:eastAsia="黑体" w:cs="宋体"/>
          <w:sz w:val="32"/>
          <w:szCs w:val="32"/>
        </w:rPr>
        <w:t xml:space="preserve">一、部门情况</w:t>
      </w:r>
      <w:r>
        <w:rPr>
          <w:rFonts w:hint="eastAsia" w:ascii="黑体" w:hAnsi="黑体" w:eastAsia="黑体" w:cs="宋体"/>
          <w:sz w:val="32"/>
          <w:szCs w:val="32"/>
        </w:rPr>
      </w:r>
      <w:r>
        <w:rPr>
          <w:rFonts w:hint="eastAsia" w:ascii="黑体" w:hAnsi="黑体" w:eastAsia="黑体" w:cs="宋体"/>
          <w:sz w:val="32"/>
          <w:szCs w:val="32"/>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（一）部门机构设置、职责</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北京市门头沟区人力资源和社会保障局（简称区人力资源社会保障局）设13个内设机构。</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（一）办公室</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机关政务工作，承担文电、会务、机要、档案等机关日常运转工作。承担信息、建议议案提案办理、保密、政府信息公开、外事等工作。负责机关及所属单位的安全保卫和后勤保障工作。承担重要事项的组织和督查工作。负责依法接待处理本区人力资源和社会保障工作范围内的群众来信来访，并研究政策建议，提出解决意见。负责人力资源和社会保障方面的矛盾排查与调处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承担本区人力资源和社会保障重大问题和前瞻性工作的调查研究工作，并提出相关政策建议。承担重要文稿的起草工作。承担宣传和新闻发布工作。负责编制本区人力资源和社会保障事业发展规划和年度计划，并组织实施。负责人力资源和社会保障方面的统计管理和综合分析工作。负责人力资源和社会保障数据管理和共享工作。负责人力资源和社会保障宏观决策、统计分析工作。综合协调人力资源和社会保障标准化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（二）法规科(行政审批科)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人力资源和社会保障法规的宣传普及、咨询等工作。负责推进机关依法行政相关工作。负责行政执法工作的监督、指导和协调。承担行政复议、行政赔偿、行政诉讼的有关工作。组织行政处罚听证工作。承担机关规范性文件的合法性审核及有关备案工作。负责本单位行政审批制度改革等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（三）就业和人力资源开发科(失业保险科、积分落户工作科)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组织拟订本区就业工作发展规划，并组织实施。负责就业信息化建设、统计分析及大数据应用。负责就业失业监测和形势分析，组织实施就业失业预测预警制度。负责贯彻落实失业保险政策和制度，以及失业保险基金管理办法和失业人员有关待遇政策。负责协调、指导关停破产企业职工的分流安置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贯彻落实促进就业政策。负责就业资金的组织使用。会同有关部门组织实施就业困难群体就业援助政策。负责贯彻落实外国人来京就业工作的政策。负责对本区促进就业政策落实情况和充分就业地区建设情况的考核评估和监督检查。</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贯彻落实普通高等学校毕业生就业创业政策。指导、协调用人单位做好毕业生就业工作。负责毕业生就业信息的收集、整理和发布工作。负责离校未就业本地生源毕业生的就业指导工作。贯彻落实引进非北京生源毕业生管理办法。负责贯彻落实引导和鼓励毕业生到农村、基层就业创业的政策。负责统一管理本地普通中等专业学校的毕业生就业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贯彻落实北京市稳定居住就业劳动者人力资源开发政策，拟订本区相关规划并组织实施。负责本区行业人力资源使用需求的调查、统计、分析、评价，承担知青安置遗留的有关工作。负责本区在京稳定居住就业劳动者积分落户管理的具体落实、政策咨询等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负责贯彻落实北京市人力资源市场的发展规划和管理办法，建立完善统一规范的人力资源市场。负责人力资源市场服务机构的监督管理。负责规划、指导本区人力资源市场信息化建设工作。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（四）职业能力建设科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贯彻落实国家和北京市关于城乡劳动者、高技能人才、农村实用人才职业技能培训和激励等有关政策。负责拟订全区职业技能培训规划。贯彻落实北京市职业技能鉴定政策和职业技能资格制度。负责对辖区内职业培训机构的审批和管理工作。负责对职业技能鉴定机构的监督和管理工作。负责工人技术等级及职业技能鉴定的审核工作。负责本区城镇失业人员和农村劳动力职业培训资金的审核。负责指导全区开展职业技能培训工作。贯彻落实劳动预备制度实施办法。承担机关、事业单位工人技术等级考核管理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贯彻落实事业单位教育培训政策，制定事业单位人员教育培训计划，并组织实施。负责专业技术人员继续教育工作，编制专业技术人员继续教育发展规划，拟订专业技术人员继续教育规定，并组织实施。负责人力资源和社会保障系统工作人员岗位培训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（五）专业技术人员管理科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本区事业单位人事制度改革和人事管理工作。负责事业单位岗位设置、公开招聘、人员聘用、考核奖惩及申诉处理等政策的组织实施，负责事业单位人员的调动等工作。负责本区事业单位科级干部的任免、备案工作。负责机关工勤人员的管理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本区职称制度改革和职称管理工作。负责本区专业技术职务聘任制和专业技术职业资格制度的组织实施工作。负责职称评审和考试的组织实施和监督管理工作。负责贯彻落实高层次专业技术人才队伍建设政策、规划。负责本区高层次专业技术人才的管理和服务工作。负责专业技术人员队伍统计分析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承担以区委、区政府名义及各系统表彰、奖励和授予荣誉称号的综合管理工作。负责按法定程序办理区政府授权管理的领导人员任免手续。</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（六）工资福利科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机关、事业单位人员工资、津贴、补贴、奖金、福利等有关政策的组织实施。负责本区事业单位人员工资福利的综合管理工作。负责区级机关、参照公务员法管理事业单位人员工资和离退休人员离退休费的审核统发工作，以及机关、事业单位退休、退职人员管理工作。承担本区机关、事业单位人员的工资统计分析、休假工作及区级机关福利费的管理使用工作。组织实施事业单位收入分配制度改革工作，负责本区事业单位绩效工资的核定与管理工作。  </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（七）劳动关系科(农民工工作科)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贯彻落实劳动关系、劳动合同和集体合同相关政策。负责贯彻落实工时、休息休假标准及相关政策。负责贯彻落实消除非法使用童工政策和女工、未成年工的特殊劳动保护政策。负责贯彻落实企业职工工资收入分配的宏观调控政策和办法。负责贯彻落实企业最低工资标准和相关政策。</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贯彻落实农民工工作综合性政策和规划。负责推动农民工相关政策的落实，协调解决重点难点问题。协调处理涉及农民工的重大事件。指导协调农民工工作信息建设。会同有关部门贯彻落实推动家庭服务业发展的政策。</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（八）调解仲裁科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本区劳动、人事争议调解仲裁工作。贯彻落实有关劳动、人事争议调解仲裁的规章和政策，依法处理劳动人事争议案件。定期统计分析劳动、人事争议案件情况，提供劳动、人事关系预警预报报告。负责调解员、仲裁员的培训、管理和监督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（九）养老保险科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贯彻落实本区机关事业单位人员基本养老保险及职业年金政策和规划。负责贯彻落实本区企业职工基本养老保险及企业年金政策和规划。负责贯彻落实职工基本养老保险缴费费率、待遇项目、给付条件和标准及基本养老金调整政策。贯彻落实职工养老保险基金管理办法和职工养老保险基金预测预警制度。负责贯彻落实本区农转非人员、转移就业的农村劳动力参加基本养老保险政策。负责企业劳动者工龄的认定。负责审批企业劳动者退休、退职的养老保险待遇(含特殊工种)。</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贯彻落实本区城乡居民养老保险政策和规划、标准。负责贯彻落实城乡居民养老保险费筹集、养老金支付的具体政策。会同有关部门贯彻落实城乡居民养老保险基金财务管理制度。负责本区城乡无社会保障老年居民养老保障的组织实施，以及基金筹集、福利养老金支付等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（十）工伤保险科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本区工伤保险政策和规划的组织实施。负责本区工伤保险社会统筹政策的组织实施。贯彻落实工伤保险行业基准费率和浮动档次、工伤保险药品目录、诊疗项目及服务设施范围。负责贯彻落实工伤预防、认定和医疗、康复、辅助器具配置相关政策及管理办法。负责根据工伤保险待遇给付标准，落实工伤保险待遇。  </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（十一）社会保险基金监督科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贯彻落实北京市基本养老、失业、工伤等社会保险及企业(职业)年金、个人储蓄性养老保险基金监管制度和养老保险基金运营政策,组织社会力量依法监督社会保险及其补充保险基金的管理和运营。受理投诉举报，组织查处相关案件。监督审计社会保险经办机构及社会保险基金使用单位执行社会保险政策、国家财务会计制度情况。</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（十二）财务科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负责编报部门预、决算和管理资金的使用。负责机关及所属单位财务、资产管理工作。拟订专项资金管理制度。组织实施内部资金统计、审计和监督检查。</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（十三）人事科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承担机关及所属单位的人事管理、机构编制和队伍建设、统战、党群等工作。承担党组落实全面从严治党主体责任的具体工作。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下属事业单位8个。</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（一）北京市门头沟区社会保险事业管理中心</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主要职责：</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1.贯彻执行国家及北京市关于基本养老保险（含机关事业单位工作人员基本养老保险、企业职工基本养老保险）、工伤保险、失业保险、城乡居民养老保险、机关事业单位职业年金（下文中社会保险均指以上险种）相关法律、法规及政策规定。</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2.按照北京市社会保险经办机构的要求，制定本区社会保险经办管理制度和办法，并组织实施。</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3.负责统一管理本区社会保险基金，依法核定、支付本区各项社会保险基金。负责社会保险经办工作的内控监督。</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4.负责统一经办本区社会保险业务。负责本区机关、企事业单位和参保人员各项社会保险登记、审核、变更、注销及相关经办业务。</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5.负责向参保单位和被保险人提供社会保险业务咨询、权益记录查询及其他相关服务。</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6.负责建立健全被保险人养老保险数据库、失业保险缴费记录和工伤保险企业缴费记录，依法保障社会保险管理系统的安全与完整。负责本单位信息化建设工作。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7.负责城乡居民养老保险业务经办，管理城乡居民养老保险基金。</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8.负责本单位档案管理规范化、信息化、标准化建设，并做好档案管理相关工作。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9.负责组织对镇街社会保险经办业务的指导和培训。</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10.完成区人力资源社会保障局交办的其他任务。</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（二）北京市门头沟区人力资源和社会保障综合执法队</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主要职责:负责集中行使法律、法规、规章规定的应由本区区级人力资源社会保障主管部门行使的劳动保障、社会保险、人力资源市场、职业技能培训等领域行政执法职责。完成区委、区政府和区人力资源社会保障局交办的其他任务。</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（三）北京市门头沟区劳动人事争议仲裁中心</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主要职责:负责贯彻落实劳动人事争议仲裁法的相关规定。负责在区劳动人事争议仲裁委员会的领导下开展劳动人事争议案件审理等具体工作。负责指导基层劳动人事争议调解工作。完成区人力资源社会保障局交办的其他任务。</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（四）北京市门头沟区劳动服务管理中心</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主要职责:负责贯彻落实市区两级促进就业政策和实施创业政策相关工作。负责退休人员社会化管理与服务工作。负责人力资源社会保障基层平台建设指导工作。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（五）北京市门头沟区劳动能力鉴定中心</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主要职责:贯彻执行劳动能力鉴定政策及标准，建立健全劳动鉴定工作制度。负责本区劳动能力鉴定及复查鉴定工作。负责工伤辅助器具配置和更换的鉴定工作。负责工伤人员停工留薪期延长确定的鉴定工作。负责劳动能力鉴定委员会的日常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（六）北京市门头沟区人力资源公共服务中心</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主要职责：</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1.负责贯彻执行国家及北京市关于人力资源服务、就业相关法律、法规和政策规定。</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2.负责对本区劳动者提供基本公共就业服务，对大中专毕业生、农村转移劳动者等重点群体提供专门就业服务，对就业困难群体提供就业援助，为用人单位用人提供招聘服务，为用人单位和劳动者提供基本人力资源社会保障事务代理。</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3.承担本区人力资源调查统计、信息系统建设工作。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4.承担流动人员人事档案管理及相关服务工作。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5.负责人事考试的组织实施工作。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6.负责组织全区退休职工开展活动，负责区退休职工活动站日常管理工作。</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7.完成区人力资源社会保障局交办的其他任务。</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（七）北京市门头沟区职业能力建设指导中心(北京市门头沟区职业技术学校)</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主要职责:指导本区职业技能培训机构开展业务。负责落实职业技能培训的督导评价工作。负责组织开展相关培训的辅助性、事务性工作。负责组织未就业劳动力开展政策性技能培训。负责组织在职职工开展政策性技能提升培训。负责技能培训实训基地国有资产管理工作。完成区人力资源社会保障局交办的其他任务。</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480" w:left="0"/>
        <w:jc w:val="left"/>
        <w:outlineLvl w:val="9"/>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（八）北京市门头沟区职业技能鉴定管理中心</w:t>
      </w:r>
      <w:r>
        <w:rPr>
          <w:rFonts w:hint="eastAsia" w:ascii="仿宋_GB2312" w:hAnsi="Times New Roman" w:eastAsia="仿宋_GB2312" w:cs="Times New Roman"/>
          <w:sz w:val="32"/>
          <w:szCs w:val="32"/>
          <w:lang w:val="en-US" w:eastAsia="zh-CN"/>
        </w:rPr>
      </w:r>
      <w:r>
        <w:rPr>
          <w:rFonts w:hint="eastAsia" w:ascii="仿宋_GB2312" w:hAnsi="Times New Roman" w:eastAsia="仿宋_GB2312" w:cs="Times New Roman"/>
          <w:sz w:val="32"/>
          <w:szCs w:val="32"/>
          <w:lang w:val="en-US" w:eastAsia="zh-CN"/>
        </w:rPr>
      </w:r>
    </w:p>
    <w:p>
      <w:pPr>
        <w:pStyle w:val="656"/>
        <w:keepNext w:val="false"/>
        <w:keepLines w:val="false"/>
        <w:pageBreakBefore w:val="false"/>
        <w:widowControl w:val="false"/>
        <w:pBdr/>
        <w:spacing w:line="500" w:lineRule="exact"/>
        <w:ind w:right="0" w:firstLine="640"/>
        <w:jc w:val="left"/>
        <w:outlineLvl w:val="9"/>
        <w:rPr>
          <w:rFonts w:hint="eastAsia" w:ascii="楷体_GB2312" w:hAnsi="宋体" w:eastAsia="楷体_GB2312" w:cs="宋体"/>
          <w:sz w:val="32"/>
          <w:szCs w:val="32"/>
        </w:rPr>
      </w:pPr>
      <w:r>
        <w:rPr>
          <w:rFonts w:hint="eastAsia" w:ascii="仿宋_GB2312" w:hAnsi="Times New Roman" w:eastAsia="仿宋_GB2312" w:cs="Times New Roman"/>
          <w:sz w:val="32"/>
          <w:szCs w:val="32"/>
          <w:lang w:val="en-US" w:eastAsia="zh-CN"/>
        </w:rPr>
        <w:t xml:space="preserve">主要职责:承担全区职业技能评价管理工作，贯彻落实职业资格和职业技能等级评价相关政策。指导辖区职业技能评价机构业务开展。负责辖区内职业技能评价质量督导的具体工作。完成区人力资源社会保障局交办的其他任务。</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（二）人员构成情况</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仿宋_GB2312" w:hAnsi="宋体" w:eastAsia="仿宋_GB2312" w:cs="宋体"/>
          <w:sz w:val="32"/>
          <w:szCs w:val="32"/>
          <w:highlight w:val="none"/>
        </w:rPr>
      </w:pPr>
      <w:r>
        <w:rPr>
          <w:rFonts w:hint="eastAsia" w:ascii="仿宋_GB2312" w:hAnsi="宋体" w:eastAsia="仿宋_GB2312" w:cs="宋体"/>
          <w:sz w:val="32"/>
          <w:szCs w:val="32"/>
          <w:lang w:val="en-US" w:eastAsia="zh-CN"/>
        </w:rPr>
        <w:t xml:space="preserve">北京市门头沟区人力资源和社会保障局</w:t>
      </w:r>
      <w:r>
        <w:rPr>
          <w:rFonts w:hint="eastAsia" w:ascii="仿宋_GB2312" w:hAnsi="宋体" w:eastAsia="仿宋_GB2312" w:cs="宋体"/>
          <w:sz w:val="32"/>
          <w:szCs w:val="32"/>
        </w:rPr>
        <w:t xml:space="preserve">部门行政编制</w:t>
      </w:r>
      <w:r>
        <w:rPr>
          <w:rFonts w:hint="eastAsia" w:ascii="仿宋_GB2312" w:hAnsi="宋体" w:eastAsia="仿宋_GB2312" w:cs="宋体"/>
          <w:sz w:val="32"/>
          <w:szCs w:val="32"/>
          <w:lang w:val="en-US" w:eastAsia="zh-CN"/>
        </w:rPr>
        <w:t xml:space="preserve">46</w:t>
      </w:r>
      <w:r>
        <w:rPr>
          <w:rFonts w:hint="eastAsia" w:ascii="仿宋_GB2312" w:hAnsi="宋体" w:eastAsia="仿宋_GB2312" w:cs="宋体"/>
          <w:sz w:val="32"/>
          <w:szCs w:val="32"/>
        </w:rPr>
        <w:t xml:space="preserve">人，实际</w:t>
      </w:r>
      <w:r>
        <w:rPr>
          <w:rFonts w:hint="eastAsia" w:ascii="仿宋_GB2312" w:hAnsi="宋体" w:eastAsia="仿宋_GB2312" w:cs="宋体"/>
          <w:sz w:val="32"/>
          <w:szCs w:val="32"/>
          <w:lang w:val="en-US" w:eastAsia="zh-CN"/>
        </w:rPr>
        <w:t xml:space="preserve">40</w:t>
      </w:r>
      <w:r>
        <w:rPr>
          <w:rFonts w:hint="eastAsia" w:ascii="仿宋_GB2312" w:hAnsi="宋体" w:eastAsia="仿宋_GB2312" w:cs="宋体"/>
          <w:sz w:val="32"/>
          <w:szCs w:val="32"/>
        </w:rPr>
        <w:t xml:space="preserve">人；事业编制</w:t>
      </w:r>
      <w:r>
        <w:rPr>
          <w:rFonts w:hint="eastAsia" w:ascii="仿宋_GB2312" w:hAnsi="宋体" w:eastAsia="仿宋_GB2312" w:cs="宋体"/>
          <w:sz w:val="32"/>
          <w:szCs w:val="32"/>
          <w:lang w:val="en-US" w:eastAsia="zh-CN"/>
        </w:rPr>
        <w:t xml:space="preserve">185</w:t>
      </w:r>
      <w:r>
        <w:rPr>
          <w:rFonts w:hint="eastAsia" w:ascii="仿宋_GB2312" w:hAnsi="宋体" w:eastAsia="仿宋_GB2312" w:cs="宋体"/>
          <w:sz w:val="32"/>
          <w:szCs w:val="32"/>
        </w:rPr>
        <w:t xml:space="preserve">人，</w:t>
      </w:r>
      <w:r>
        <w:rPr>
          <w:rFonts w:hint="eastAsia" w:ascii="仿宋_GB2312" w:hAnsi="宋体" w:eastAsia="仿宋_GB2312" w:cs="宋体"/>
          <w:sz w:val="32"/>
          <w:szCs w:val="32"/>
          <w:highlight w:val="none"/>
        </w:rPr>
        <w:t xml:space="preserve">实际</w:t>
      </w:r>
      <w:r>
        <w:rPr>
          <w:rFonts w:hint="eastAsia" w:ascii="仿宋_GB2312" w:hAnsi="宋体" w:eastAsia="仿宋_GB2312" w:cs="宋体"/>
          <w:sz w:val="32"/>
          <w:szCs w:val="32"/>
          <w:highlight w:val="none"/>
          <w:lang w:val="en-US" w:eastAsia="zh-CN"/>
        </w:rPr>
        <w:t xml:space="preserve">172</w:t>
      </w:r>
      <w:r>
        <w:rPr>
          <w:rFonts w:hint="eastAsia" w:ascii="仿宋_GB2312" w:hAnsi="宋体" w:eastAsia="仿宋_GB2312" w:cs="宋体"/>
          <w:sz w:val="32"/>
          <w:szCs w:val="32"/>
          <w:highlight w:val="none"/>
        </w:rPr>
        <w:t xml:space="preserve">人；聘用人员（公安系统文职人员、公安系统辅警人员、公安系统交通协管员、法院聘任书记员、聘用制司法警察、其他聘用人员--临时工）</w:t>
      </w:r>
      <w:r>
        <w:rPr>
          <w:rFonts w:hint="eastAsia" w:ascii="仿宋_GB2312" w:hAnsi="宋体" w:eastAsia="仿宋_GB2312" w:cs="宋体"/>
          <w:sz w:val="32"/>
          <w:szCs w:val="32"/>
          <w:highlight w:val="none"/>
          <w:lang w:val="en-US" w:eastAsia="zh-CN"/>
        </w:rPr>
        <w:t xml:space="preserve">0</w:t>
      </w:r>
      <w:r>
        <w:rPr>
          <w:rFonts w:hint="eastAsia" w:ascii="仿宋_GB2312" w:hAnsi="宋体" w:eastAsia="仿宋_GB2312" w:cs="宋体"/>
          <w:sz w:val="32"/>
          <w:szCs w:val="32"/>
          <w:highlight w:val="none"/>
        </w:rPr>
        <w:t xml:space="preserve">人。</w:t>
      </w:r>
      <w:r>
        <w:rPr>
          <w:rFonts w:hint="eastAsia" w:ascii="仿宋_GB2312" w:hAnsi="宋体" w:eastAsia="仿宋_GB2312" w:cs="宋体"/>
          <w:sz w:val="32"/>
          <w:szCs w:val="32"/>
          <w:highlight w:val="none"/>
        </w:rPr>
      </w:r>
      <w:r>
        <w:rPr>
          <w:rFonts w:hint="eastAsia" w:ascii="仿宋_GB2312" w:hAnsi="宋体" w:eastAsia="仿宋_GB2312" w:cs="宋体"/>
          <w:sz w:val="32"/>
          <w:szCs w:val="32"/>
          <w:highlight w:val="none"/>
        </w:rPr>
      </w:r>
    </w:p>
    <w:p>
      <w:pPr>
        <w:pStyle w:val="656"/>
        <w:widowControl w:val="true"/>
        <w:numPr>
          <w:ilvl w:val="0"/>
          <w:numId w:val="1"/>
        </w:numPr>
        <w:pBdr/>
        <w:spacing w:line="560" w:lineRule="exact"/>
        <w:ind w:firstLine="640"/>
        <w:rPr>
          <w:rFonts w:hint="eastAsia" w:ascii="楷体_GB2312" w:hAnsi="宋体" w:eastAsia="楷体_GB2312" w:cs="宋体"/>
          <w:sz w:val="32"/>
          <w:szCs w:val="32"/>
          <w:highlight w:val="none"/>
        </w:rPr>
      </w:pPr>
      <w:r>
        <w:rPr>
          <w:rFonts w:hint="eastAsia" w:ascii="楷体_GB2312" w:hAnsi="宋体" w:eastAsia="楷体_GB2312" w:cs="宋体"/>
          <w:sz w:val="32"/>
          <w:szCs w:val="32"/>
          <w:highlight w:val="none"/>
        </w:rPr>
        <w:t xml:space="preserve">本预算年度的主要工作任务</w:t>
      </w:r>
      <w:r>
        <w:rPr>
          <w:rFonts w:hint="eastAsia" w:ascii="楷体_GB2312" w:hAnsi="宋体" w:eastAsia="楷体_GB2312" w:cs="宋体"/>
          <w:sz w:val="32"/>
          <w:szCs w:val="32"/>
          <w:highlight w:val="none"/>
        </w:rPr>
      </w:r>
      <w:r>
        <w:rPr>
          <w:rFonts w:hint="eastAsia" w:ascii="楷体_GB2312" w:hAnsi="宋体" w:eastAsia="楷体_GB2312" w:cs="宋体"/>
          <w:sz w:val="32"/>
          <w:szCs w:val="32"/>
          <w:highlight w:val="none"/>
        </w:rPr>
      </w:r>
    </w:p>
    <w:p>
      <w:pPr>
        <w:pStyle w:val="656"/>
        <w:widowControl w:val="true"/>
        <w:pBdr/>
        <w:spacing w:line="560" w:lineRule="exact"/>
        <w:ind w:firstLine="640"/>
        <w:rPr>
          <w:rFonts w:hint="eastAsia" w:ascii="仿宋_GB2312" w:hAnsi="宋体" w:eastAsia="仿宋_GB2312" w:cs="宋体"/>
          <w:sz w:val="32"/>
          <w:szCs w:val="32"/>
          <w:highlight w:val="none"/>
        </w:rPr>
      </w:pPr>
      <w:r>
        <w:rPr>
          <w:rFonts w:hint="eastAsia" w:ascii="仿宋_GB2312" w:hAnsi="宋体" w:eastAsia="仿宋_GB2312" w:cs="宋体"/>
          <w:sz w:val="32"/>
          <w:szCs w:val="32"/>
          <w:highlight w:val="none"/>
        </w:rPr>
        <w:t xml:space="preserve">坚持以“红色流水线、服务零距离”党建品牌为引领，以“四化”为抓手，推动我区人力社保事业高质量发展。一是加强就业工作系统化，聚焦“五个局”持续发力，推动城乡劳动力高质量就业。二是促进劳动关系法治化，坚持“四个结合”，维护社会和谐稳定。三是增强人才工作专业化，推动人才“三量”齐升，赋能经济社会高质量发展。四是推进社会保障精细化，围绕“三点”发力，为群众提供更可靠、更充分的社会保障。</w:t>
      </w:r>
      <w:r>
        <w:rPr>
          <w:rFonts w:hint="eastAsia" w:ascii="仿宋_GB2312" w:hAnsi="宋体" w:eastAsia="仿宋_GB2312" w:cs="宋体"/>
          <w:sz w:val="32"/>
          <w:szCs w:val="32"/>
          <w:highlight w:val="none"/>
        </w:rPr>
      </w:r>
      <w:r>
        <w:rPr>
          <w:rFonts w:hint="eastAsia" w:ascii="仿宋_GB2312" w:hAnsi="宋体" w:eastAsia="仿宋_GB2312" w:cs="宋体"/>
          <w:sz w:val="32"/>
          <w:szCs w:val="32"/>
          <w:highlight w:val="none"/>
        </w:rPr>
      </w:r>
    </w:p>
    <w:p>
      <w:pPr>
        <w:pStyle w:val="656"/>
        <w:widowControl w:val="true"/>
        <w:pBdr/>
        <w:spacing w:line="560" w:lineRule="exact"/>
        <w:ind w:firstLine="640"/>
        <w:rPr>
          <w:rFonts w:hint="eastAsia" w:ascii="黑体" w:hAnsi="黑体" w:eastAsia="黑体" w:cs="宋体"/>
          <w:sz w:val="32"/>
          <w:szCs w:val="32"/>
        </w:rPr>
      </w:pPr>
      <w:r>
        <w:rPr>
          <w:rFonts w:hint="eastAsia" w:ascii="黑体" w:hAnsi="黑体" w:eastAsia="黑体" w:cs="宋体"/>
          <w:sz w:val="32"/>
          <w:szCs w:val="32"/>
        </w:rPr>
        <w:t xml:space="preserve">二、收入预算说明</w:t>
      </w:r>
      <w:r>
        <w:rPr>
          <w:rFonts w:hint="eastAsia" w:ascii="黑体" w:hAnsi="黑体" w:eastAsia="黑体" w:cs="宋体"/>
          <w:sz w:val="32"/>
          <w:szCs w:val="32"/>
        </w:rPr>
      </w:r>
      <w:r>
        <w:rPr>
          <w:rFonts w:hint="eastAsia" w:ascii="黑体" w:hAnsi="黑体" w:eastAsia="黑体" w:cs="宋体"/>
          <w:sz w:val="32"/>
          <w:szCs w:val="32"/>
        </w:rPr>
      </w:r>
    </w:p>
    <w:p>
      <w:pPr>
        <w:pStyle w:val="656"/>
        <w:widowControl w:val="true"/>
        <w:pBdr/>
        <w:spacing w:line="560" w:lineRule="exact"/>
        <w:ind w:firstLine="640"/>
        <w:rPr>
          <w:rFonts w:hint="eastAsia" w:ascii="仿宋_GB2312" w:hAnsi="宋体" w:eastAsia="仿宋_GB2312" w:cs="宋体"/>
          <w:sz w:val="32"/>
          <w:szCs w:val="32"/>
          <w:highlight w:val="yellow"/>
          <w:lang w:eastAsia="zh-CN"/>
        </w:rPr>
      </w:pPr>
      <w:r>
        <w:rPr>
          <w:rFonts w:hint="eastAsia" w:ascii="仿宋_GB2312" w:hAnsi="宋体" w:eastAsia="仿宋_GB2312" w:cs="宋体"/>
          <w:sz w:val="32"/>
          <w:szCs w:val="32"/>
        </w:rPr>
        <w:t xml:space="preserve">2024年收入预算</w:t>
      </w:r>
      <w:r>
        <w:rPr>
          <w:rFonts w:hint="eastAsia" w:ascii="仿宋_GB2312" w:hAnsi="宋体" w:eastAsia="仿宋_GB2312" w:cs="宋体"/>
          <w:sz w:val="32"/>
          <w:szCs w:val="32"/>
          <w:lang w:val="en-US" w:eastAsia="zh-CN"/>
        </w:rPr>
        <w:t xml:space="preserve">40,543.93</w:t>
      </w:r>
      <w:r>
        <w:rPr>
          <w:rFonts w:hint="eastAsia" w:ascii="仿宋_GB2312" w:hAnsi="宋体" w:eastAsia="仿宋_GB2312" w:cs="宋体"/>
          <w:sz w:val="32"/>
          <w:szCs w:val="32"/>
        </w:rPr>
        <w:t xml:space="preserve">万元，比2023年</w:t>
      </w:r>
      <w:r>
        <w:rPr>
          <w:rFonts w:hint="eastAsia" w:ascii="仿宋_GB2312" w:hAnsi="宋体" w:eastAsia="仿宋_GB2312" w:cs="宋体"/>
          <w:sz w:val="32"/>
          <w:szCs w:val="32"/>
          <w:lang w:val="en-US" w:eastAsia="zh-CN"/>
        </w:rPr>
        <w:t xml:space="preserve">38,695.82</w:t>
      </w:r>
      <w:r>
        <w:rPr>
          <w:rFonts w:hint="eastAsia" w:ascii="仿宋_GB2312" w:hAnsi="宋体" w:eastAsia="仿宋_GB2312" w:cs="宋体"/>
          <w:sz w:val="32"/>
          <w:szCs w:val="32"/>
        </w:rPr>
        <w:t xml:space="preserve">万元</w:t>
      </w:r>
      <w:r>
        <w:rPr>
          <w:rFonts w:hint="eastAsia" w:ascii="仿宋_GB2312" w:hAnsi="宋体" w:eastAsia="仿宋_GB2312" w:cs="宋体"/>
          <w:color w:val="000000"/>
          <w:sz w:val="32"/>
          <w:szCs w:val="32"/>
        </w:rPr>
        <w:t xml:space="preserve">增加</w:t>
      </w:r>
      <w:r>
        <w:rPr>
          <w:rFonts w:hint="eastAsia" w:ascii="仿宋_GB2312" w:hAnsi="宋体" w:eastAsia="仿宋_GB2312" w:cs="宋体"/>
          <w:sz w:val="32"/>
          <w:szCs w:val="32"/>
          <w:lang w:val="en-US" w:eastAsia="zh-CN"/>
        </w:rPr>
        <w:t xml:space="preserve">1,848.11</w:t>
      </w:r>
      <w:r>
        <w:rPr>
          <w:rFonts w:hint="eastAsia" w:ascii="仿宋_GB2312" w:hAnsi="宋体" w:eastAsia="仿宋_GB2312" w:cs="宋体"/>
          <w:sz w:val="32"/>
          <w:szCs w:val="32"/>
        </w:rPr>
        <w:t xml:space="preserve">万元，</w:t>
      </w:r>
      <w:r>
        <w:rPr>
          <w:rFonts w:hint="eastAsia" w:ascii="仿宋_GB2312" w:hAnsi="宋体" w:eastAsia="仿宋_GB2312" w:cs="宋体"/>
          <w:color w:val="000000"/>
          <w:sz w:val="32"/>
          <w:szCs w:val="32"/>
        </w:rPr>
        <w:t xml:space="preserve">增长</w:t>
      </w:r>
      <w:r>
        <w:rPr>
          <w:rFonts w:hint="eastAsia" w:ascii="仿宋_GB2312" w:hAnsi="宋体" w:eastAsia="仿宋_GB2312" w:cs="宋体"/>
          <w:sz w:val="32"/>
          <w:szCs w:val="32"/>
          <w:lang w:val="en-US" w:eastAsia="zh-CN"/>
        </w:rPr>
        <w:t xml:space="preserve">4.8</w:t>
      </w:r>
      <w:r>
        <w:rPr>
          <w:rFonts w:hint="eastAsia" w:ascii="仿宋_GB2312" w:hAnsi="宋体" w:eastAsia="仿宋_GB2312" w:cs="宋体"/>
          <w:sz w:val="32"/>
          <w:szCs w:val="32"/>
        </w:rPr>
        <w:t xml:space="preserve">%。其中：本年财政拨款收入</w:t>
      </w:r>
      <w:r>
        <w:rPr>
          <w:rFonts w:hint="eastAsia" w:ascii="仿宋_GB2312" w:hAnsi="宋体" w:eastAsia="仿宋_GB2312" w:cs="宋体"/>
          <w:sz w:val="32"/>
          <w:szCs w:val="32"/>
          <w:lang w:val="en-US" w:eastAsia="zh-CN"/>
        </w:rPr>
        <w:t xml:space="preserve">40,543.93</w:t>
      </w:r>
      <w:r>
        <w:rPr>
          <w:rFonts w:hint="eastAsia" w:ascii="仿宋_GB2312" w:hAnsi="宋体" w:eastAsia="仿宋_GB2312" w:cs="宋体"/>
          <w:sz w:val="32"/>
          <w:szCs w:val="32"/>
        </w:rPr>
        <w:t xml:space="preserve">万元,比2023年</w:t>
      </w:r>
      <w:r>
        <w:rPr>
          <w:rFonts w:hint="eastAsia" w:ascii="仿宋_GB2312" w:hAnsi="宋体" w:eastAsia="仿宋_GB2312" w:cs="宋体"/>
          <w:sz w:val="32"/>
          <w:szCs w:val="32"/>
          <w:lang w:val="en-US" w:eastAsia="zh-CN"/>
        </w:rPr>
        <w:t xml:space="preserve">38,695.82</w:t>
      </w:r>
      <w:r>
        <w:rPr>
          <w:rFonts w:hint="eastAsia" w:ascii="仿宋_GB2312" w:hAnsi="宋体" w:eastAsia="仿宋_GB2312" w:cs="宋体"/>
          <w:sz w:val="32"/>
          <w:szCs w:val="32"/>
        </w:rPr>
        <w:t xml:space="preserve">万元</w:t>
      </w:r>
      <w:r>
        <w:rPr>
          <w:rFonts w:hint="eastAsia" w:ascii="仿宋_GB2312" w:hAnsi="宋体" w:eastAsia="仿宋_GB2312" w:cs="宋体"/>
          <w:color w:val="000000"/>
          <w:sz w:val="32"/>
          <w:szCs w:val="32"/>
        </w:rPr>
        <w:t xml:space="preserve">增加</w:t>
      </w:r>
      <w:r>
        <w:rPr>
          <w:rFonts w:hint="eastAsia" w:ascii="仿宋_GB2312" w:hAnsi="宋体" w:eastAsia="仿宋_GB2312" w:cs="宋体"/>
          <w:sz w:val="32"/>
          <w:szCs w:val="32"/>
          <w:lang w:val="en-US" w:eastAsia="zh-CN"/>
        </w:rPr>
        <w:t xml:space="preserve">1,848.11</w:t>
      </w:r>
      <w:r>
        <w:rPr>
          <w:rFonts w:hint="eastAsia" w:ascii="仿宋_GB2312" w:hAnsi="宋体" w:eastAsia="仿宋_GB2312" w:cs="宋体"/>
          <w:sz w:val="32"/>
          <w:szCs w:val="32"/>
        </w:rPr>
        <w:t xml:space="preserve">万元；本年非财政拨款收入</w:t>
      </w:r>
      <w:r>
        <w:rPr>
          <w:rFonts w:hint="eastAsia" w:ascii="仿宋_GB2312" w:hAnsi="宋体" w:eastAsia="仿宋_GB2312" w:cs="宋体"/>
          <w:sz w:val="32"/>
          <w:szCs w:val="32"/>
          <w:highlight w:val="none"/>
          <w:lang w:val="en-US" w:eastAsia="zh-CN"/>
        </w:rPr>
        <w:t xml:space="preserve">0.00</w:t>
      </w:r>
      <w:r>
        <w:rPr>
          <w:rFonts w:hint="eastAsia" w:ascii="仿宋_GB2312" w:hAnsi="宋体" w:eastAsia="仿宋_GB2312" w:cs="宋体"/>
          <w:sz w:val="32"/>
          <w:szCs w:val="32"/>
          <w:highlight w:val="none"/>
        </w:rPr>
        <w:t xml:space="preserve">万元</w:t>
      </w:r>
      <w:r>
        <w:rPr>
          <w:rFonts w:hint="eastAsia" w:ascii="仿宋_GB2312" w:hAnsi="宋体" w:eastAsia="仿宋_GB2312" w:cs="宋体"/>
          <w:sz w:val="32"/>
          <w:szCs w:val="32"/>
          <w:highlight w:val="none"/>
          <w:lang w:eastAsia="zh-CN"/>
        </w:rPr>
        <w:t xml:space="preserve">。</w:t>
      </w:r>
      <w:r>
        <w:rPr>
          <w:rFonts w:hint="eastAsia" w:ascii="仿宋_GB2312" w:hAnsi="宋体" w:eastAsia="仿宋_GB2312" w:cs="宋体"/>
          <w:sz w:val="32"/>
          <w:szCs w:val="32"/>
          <w:highlight w:val="yellow"/>
          <w:lang w:eastAsia="zh-CN"/>
        </w:rPr>
      </w:r>
      <w:r>
        <w:rPr>
          <w:rFonts w:hint="eastAsia" w:ascii="仿宋_GB2312" w:hAnsi="宋体" w:eastAsia="仿宋_GB2312" w:cs="宋体"/>
          <w:sz w:val="32"/>
          <w:szCs w:val="32"/>
          <w:highlight w:val="yellow"/>
          <w:lang w:eastAsia="zh-CN"/>
        </w:rPr>
      </w:r>
    </w:p>
    <w:p>
      <w:pPr>
        <w:pStyle w:val="656"/>
        <w:widowControl w:val="true"/>
        <w:pBdr/>
        <w:spacing w:line="560" w:lineRule="exact"/>
        <w:ind w:firstLine="640"/>
        <w:rPr>
          <w:rFonts w:hint="eastAsia" w:ascii="黑体" w:hAnsi="黑体" w:eastAsia="黑体" w:cs="宋体"/>
          <w:sz w:val="32"/>
          <w:szCs w:val="32"/>
        </w:rPr>
      </w:pPr>
      <w:r>
        <w:rPr>
          <w:rFonts w:hint="eastAsia" w:ascii="黑体" w:hAnsi="黑体" w:eastAsia="黑体" w:cs="宋体"/>
          <w:sz w:val="32"/>
          <w:szCs w:val="32"/>
        </w:rPr>
        <w:t xml:space="preserve">三、支出预算说明</w:t>
      </w:r>
      <w:r>
        <w:rPr>
          <w:rFonts w:hint="eastAsia" w:ascii="黑体" w:hAnsi="黑体" w:eastAsia="黑体" w:cs="宋体"/>
          <w:sz w:val="32"/>
          <w:szCs w:val="32"/>
        </w:rPr>
      </w:r>
      <w:r>
        <w:rPr>
          <w:rFonts w:hint="eastAsia" w:ascii="黑体" w:hAnsi="黑体" w:eastAsia="黑体" w:cs="宋体"/>
          <w:sz w:val="32"/>
          <w:szCs w:val="32"/>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（一）基本支出预算</w:t>
      </w:r>
      <w:r>
        <w:rPr>
          <w:rFonts w:hint="eastAsia" w:ascii="仿宋_GB2312" w:hAnsi="宋体" w:eastAsia="仿宋_GB2312" w:cs="宋体"/>
          <w:sz w:val="32"/>
          <w:szCs w:val="32"/>
          <w:lang w:val="en-US" w:eastAsia="zh-CN"/>
        </w:rPr>
        <w:t xml:space="preserve">6,916.30</w:t>
      </w:r>
      <w:r>
        <w:rPr>
          <w:rFonts w:hint="eastAsia" w:ascii="仿宋_GB2312" w:hAnsi="宋体" w:eastAsia="仿宋_GB2312" w:cs="宋体"/>
          <w:sz w:val="32"/>
          <w:szCs w:val="32"/>
        </w:rPr>
        <w:t xml:space="preserve">万元，占总支出预算</w:t>
      </w:r>
      <w:r>
        <w:rPr>
          <w:rFonts w:hint="eastAsia" w:ascii="仿宋_GB2312" w:hAnsi="宋体" w:eastAsia="仿宋_GB2312" w:cs="宋体"/>
          <w:sz w:val="32"/>
          <w:szCs w:val="32"/>
          <w:lang w:val="en-US" w:eastAsia="zh-CN"/>
        </w:rPr>
        <w:t xml:space="preserve">17.1</w:t>
      </w:r>
      <w:r>
        <w:rPr>
          <w:rFonts w:hint="eastAsia" w:ascii="仿宋_GB2312" w:hAnsi="宋体" w:eastAsia="仿宋_GB2312" w:cs="宋体"/>
          <w:sz w:val="32"/>
          <w:szCs w:val="32"/>
        </w:rPr>
        <w:t xml:space="preserve">%，比2023年</w:t>
      </w:r>
      <w:r>
        <w:rPr>
          <w:rFonts w:hint="eastAsia" w:ascii="仿宋_GB2312" w:hAnsi="宋体" w:eastAsia="仿宋_GB2312" w:cs="宋体"/>
          <w:sz w:val="32"/>
          <w:szCs w:val="32"/>
          <w:lang w:val="en-US" w:eastAsia="zh-CN"/>
        </w:rPr>
        <w:t xml:space="preserve">6,514.14</w:t>
      </w:r>
      <w:r>
        <w:rPr>
          <w:rFonts w:hint="eastAsia" w:ascii="仿宋_GB2312" w:hAnsi="宋体" w:eastAsia="仿宋_GB2312" w:cs="宋体"/>
          <w:color w:val="000000"/>
          <w:sz w:val="32"/>
          <w:szCs w:val="32"/>
        </w:rPr>
        <w:t xml:space="preserve">万元增加</w:t>
      </w:r>
      <w:r>
        <w:rPr>
          <w:rFonts w:hint="eastAsia" w:ascii="仿宋_GB2312" w:hAnsi="宋体" w:eastAsia="仿宋_GB2312" w:cs="宋体"/>
          <w:color w:val="000000"/>
          <w:sz w:val="32"/>
          <w:szCs w:val="32"/>
          <w:lang w:val="en-US" w:eastAsia="zh-CN"/>
        </w:rPr>
        <w:t xml:space="preserve">402.16</w:t>
      </w:r>
      <w:r>
        <w:rPr>
          <w:rFonts w:hint="eastAsia" w:ascii="仿宋_GB2312" w:hAnsi="宋体" w:eastAsia="仿宋_GB2312" w:cs="宋体"/>
          <w:color w:val="000000"/>
          <w:sz w:val="32"/>
          <w:szCs w:val="32"/>
        </w:rPr>
        <w:t xml:space="preserve">万元，增长</w:t>
      </w:r>
      <w:r>
        <w:rPr>
          <w:rFonts w:hint="eastAsia" w:ascii="仿宋_GB2312" w:hAnsi="宋体" w:eastAsia="仿宋_GB2312" w:cs="宋体"/>
          <w:color w:val="000000"/>
          <w:sz w:val="32"/>
          <w:szCs w:val="32"/>
          <w:lang w:val="en-US" w:eastAsia="zh-CN"/>
        </w:rPr>
        <w:t xml:space="preserve">6.2</w:t>
      </w:r>
      <w:r>
        <w:rPr>
          <w:rFonts w:hint="eastAsia" w:ascii="仿宋_GB2312" w:hAnsi="宋体" w:eastAsia="仿宋_GB2312" w:cs="宋体"/>
          <w:sz w:val="32"/>
          <w:szCs w:val="32"/>
        </w:rPr>
        <w:t xml:space="preserve">%。</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（二）项目支出预算</w:t>
      </w:r>
      <w:r>
        <w:rPr>
          <w:rFonts w:hint="eastAsia" w:ascii="仿宋_GB2312" w:hAnsi="宋体" w:eastAsia="仿宋_GB2312" w:cs="宋体"/>
          <w:sz w:val="32"/>
          <w:szCs w:val="32"/>
          <w:lang w:val="en-US" w:eastAsia="zh-CN"/>
        </w:rPr>
        <w:t xml:space="preserve">33,627.63</w:t>
      </w:r>
      <w:r>
        <w:rPr>
          <w:rFonts w:hint="eastAsia" w:ascii="仿宋_GB2312" w:hAnsi="宋体" w:eastAsia="仿宋_GB2312" w:cs="宋体"/>
          <w:sz w:val="32"/>
          <w:szCs w:val="32"/>
        </w:rPr>
        <w:t xml:space="preserve">万元，比2023年</w:t>
      </w:r>
      <w:r>
        <w:rPr>
          <w:rFonts w:hint="eastAsia" w:ascii="仿宋_GB2312" w:hAnsi="宋体" w:eastAsia="仿宋_GB2312" w:cs="宋体"/>
          <w:sz w:val="32"/>
          <w:szCs w:val="32"/>
          <w:lang w:val="en-US" w:eastAsia="zh-CN"/>
        </w:rPr>
        <w:t xml:space="preserve">32,181.68</w:t>
      </w:r>
      <w:r>
        <w:rPr>
          <w:rFonts w:hint="eastAsia" w:ascii="仿宋_GB2312" w:hAnsi="宋体" w:eastAsia="仿宋_GB2312" w:cs="宋体"/>
          <w:sz w:val="32"/>
          <w:szCs w:val="32"/>
        </w:rPr>
        <w:t xml:space="preserve">万元</w:t>
      </w:r>
      <w:r>
        <w:rPr>
          <w:rFonts w:hint="eastAsia" w:ascii="仿宋_GB2312" w:hAnsi="宋体" w:eastAsia="仿宋_GB2312" w:cs="宋体"/>
          <w:color w:val="000000"/>
          <w:sz w:val="32"/>
          <w:szCs w:val="32"/>
        </w:rPr>
        <w:t xml:space="preserve">增加</w:t>
      </w:r>
      <w:r>
        <w:rPr>
          <w:rFonts w:hint="eastAsia" w:ascii="仿宋_GB2312" w:hAnsi="宋体" w:eastAsia="仿宋_GB2312" w:cs="宋体"/>
          <w:color w:val="000000"/>
          <w:sz w:val="32"/>
          <w:szCs w:val="32"/>
          <w:lang w:val="en-US" w:eastAsia="zh-CN"/>
        </w:rPr>
        <w:t xml:space="preserve">1,445.95</w:t>
      </w:r>
      <w:r>
        <w:rPr>
          <w:rFonts w:hint="eastAsia" w:ascii="仿宋_GB2312" w:hAnsi="宋体" w:eastAsia="仿宋_GB2312" w:cs="宋体"/>
          <w:color w:val="000000"/>
          <w:sz w:val="32"/>
          <w:szCs w:val="32"/>
        </w:rPr>
        <w:t xml:space="preserve">万元，增长</w:t>
      </w:r>
      <w:r>
        <w:rPr>
          <w:rFonts w:hint="eastAsia" w:ascii="仿宋_GB2312" w:hAnsi="宋体" w:eastAsia="仿宋_GB2312" w:cs="宋体"/>
          <w:color w:val="000000"/>
          <w:sz w:val="32"/>
          <w:szCs w:val="32"/>
          <w:lang w:val="en-US" w:eastAsia="zh-CN"/>
        </w:rPr>
        <w:t xml:space="preserve">4.5</w:t>
      </w:r>
      <w:r>
        <w:rPr>
          <w:rFonts w:hint="eastAsia" w:ascii="仿宋_GB2312" w:hAnsi="宋体" w:eastAsia="仿宋_GB2312" w:cs="宋体"/>
          <w:color w:val="000000"/>
          <w:sz w:val="32"/>
          <w:szCs w:val="32"/>
        </w:rPr>
        <w:t xml:space="preserve">%</w:t>
      </w:r>
      <w:r>
        <w:rPr>
          <w:rFonts w:hint="eastAsia" w:ascii="仿宋_GB2312" w:hAnsi="宋体" w:eastAsia="仿宋_GB2312" w:cs="宋体"/>
          <w:sz w:val="32"/>
          <w:szCs w:val="32"/>
        </w:rPr>
        <w:t xml:space="preserve">，增加原因</w:t>
      </w:r>
      <w:r>
        <w:rPr>
          <w:rFonts w:hint="eastAsia" w:ascii="仿宋_GB2312" w:hAnsi="宋体" w:eastAsia="仿宋_GB2312" w:cs="宋体"/>
          <w:sz w:val="32"/>
          <w:szCs w:val="32"/>
          <w:lang w:val="en-US" w:eastAsia="zh-CN"/>
        </w:rPr>
        <w:t xml:space="preserve">:项目增加。部门预算项目主要为城乡居民基本养老保险财政补助项目及促进就业补贴项目等。</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（三）事业单位经营支出</w:t>
      </w:r>
      <w:r>
        <w:rPr>
          <w:rFonts w:hint="eastAsia" w:ascii="仿宋_GB2312" w:hAnsi="宋体" w:eastAsia="仿宋_GB2312" w:cs="宋体"/>
          <w:sz w:val="32"/>
          <w:szCs w:val="32"/>
          <w:highlight w:val="none"/>
          <w:lang w:val="en-US" w:eastAsia="zh-CN"/>
        </w:rPr>
        <w:t xml:space="preserve">0.00</w:t>
      </w:r>
      <w:r>
        <w:rPr>
          <w:rFonts w:hint="eastAsia" w:ascii="仿宋_GB2312" w:hAnsi="宋体" w:eastAsia="仿宋_GB2312" w:cs="宋体"/>
          <w:sz w:val="32"/>
          <w:szCs w:val="32"/>
        </w:rPr>
        <w:t xml:space="preserve">万元（变动较大的部门请说明原因）。</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（四）上缴上级支出</w:t>
      </w:r>
      <w:r>
        <w:rPr>
          <w:rFonts w:hint="eastAsia" w:ascii="仿宋_GB2312" w:hAnsi="宋体" w:eastAsia="仿宋_GB2312" w:cs="宋体"/>
          <w:sz w:val="32"/>
          <w:szCs w:val="32"/>
          <w:highlight w:val="none"/>
          <w:lang w:val="en-US" w:eastAsia="zh-CN"/>
        </w:rPr>
        <w:t xml:space="preserve">0.00</w:t>
      </w:r>
      <w:r>
        <w:rPr>
          <w:rFonts w:hint="eastAsia" w:ascii="仿宋_GB2312" w:hAnsi="宋体" w:eastAsia="仿宋_GB2312" w:cs="宋体"/>
          <w:sz w:val="32"/>
          <w:szCs w:val="32"/>
        </w:rPr>
        <w:t xml:space="preserve">万元（变动较大的部门请说明原因）。</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（五）对附属单位补助支出</w:t>
      </w:r>
      <w:r>
        <w:rPr>
          <w:rFonts w:hint="eastAsia" w:ascii="仿宋_GB2312" w:hAnsi="宋体" w:eastAsia="仿宋_GB2312" w:cs="宋体"/>
          <w:sz w:val="32"/>
          <w:szCs w:val="32"/>
          <w:highlight w:val="none"/>
          <w:lang w:val="en-US" w:eastAsia="zh-CN"/>
        </w:rPr>
        <w:t xml:space="preserve">0.00</w:t>
      </w:r>
      <w:r>
        <w:rPr>
          <w:rFonts w:hint="eastAsia" w:ascii="仿宋_GB2312" w:hAnsi="宋体" w:eastAsia="仿宋_GB2312" w:cs="宋体"/>
          <w:sz w:val="32"/>
          <w:szCs w:val="32"/>
        </w:rPr>
        <w:t xml:space="preserve">万元（变动较大的部门请说明原因）。</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黑体" w:hAnsi="黑体" w:eastAsia="黑体" w:cs="宋体"/>
          <w:sz w:val="32"/>
          <w:szCs w:val="32"/>
        </w:rPr>
      </w:pPr>
      <w:r>
        <w:rPr>
          <w:rFonts w:hint="eastAsia" w:ascii="黑体" w:hAnsi="黑体" w:eastAsia="黑体" w:cs="宋体"/>
          <w:sz w:val="32"/>
          <w:szCs w:val="32"/>
        </w:rPr>
        <w:t xml:space="preserve">四、部门“三公”经费财政拨款预算说明</w:t>
      </w:r>
      <w:r>
        <w:rPr>
          <w:rFonts w:hint="eastAsia" w:ascii="黑体" w:hAnsi="黑体" w:eastAsia="黑体" w:cs="宋体"/>
          <w:sz w:val="32"/>
          <w:szCs w:val="32"/>
        </w:rPr>
      </w:r>
      <w:r>
        <w:rPr>
          <w:rFonts w:hint="eastAsia" w:ascii="黑体" w:hAnsi="黑体" w:eastAsia="黑体" w:cs="宋体"/>
          <w:sz w:val="32"/>
          <w:szCs w:val="32"/>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（一）“三公经费”的单位范围</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 xml:space="preserve">北京市门头沟区人力资源和社会保障局</w:t>
      </w:r>
      <w:r>
        <w:rPr>
          <w:rFonts w:hint="eastAsia" w:ascii="仿宋_GB2312" w:hAnsi="宋体" w:eastAsia="仿宋_GB2312" w:cs="宋体"/>
          <w:sz w:val="32"/>
          <w:szCs w:val="32"/>
        </w:rPr>
        <w:t xml:space="preserve">部门因公出国（境）费用、公务接待费、公务用车购置和运行维护费开支单位包括</w:t>
      </w:r>
      <w:r>
        <w:rPr>
          <w:rFonts w:hint="eastAsia" w:ascii="仿宋_GB2312" w:hAnsi="宋体" w:eastAsia="仿宋_GB2312" w:cs="宋体"/>
          <w:sz w:val="32"/>
          <w:szCs w:val="32"/>
          <w:highlight w:val="none"/>
          <w:lang w:val="en-US" w:eastAsia="zh-CN"/>
        </w:rPr>
        <w:t xml:space="preserve">8</w:t>
      </w:r>
      <w:r>
        <w:rPr>
          <w:rFonts w:hint="eastAsia" w:ascii="仿宋_GB2312" w:hAnsi="宋体" w:eastAsia="仿宋_GB2312" w:cs="宋体"/>
          <w:sz w:val="32"/>
          <w:szCs w:val="32"/>
        </w:rPr>
        <w:t xml:space="preserve">个所属单位。</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（二）“三公经费”财政拨款情况说明</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2024年“三公经费”财政拨款预算</w:t>
      </w:r>
      <w:r>
        <w:rPr>
          <w:rFonts w:hint="eastAsia" w:ascii="仿宋_GB2312" w:hAnsi="宋体" w:eastAsia="仿宋_GB2312" w:cs="宋体"/>
          <w:sz w:val="32"/>
          <w:szCs w:val="32"/>
          <w:highlight w:val="none"/>
          <w:lang w:val="en-US" w:eastAsia="zh-CN"/>
        </w:rPr>
        <w:t xml:space="preserve">12.13</w:t>
      </w:r>
      <w:r>
        <w:rPr>
          <w:rFonts w:hint="eastAsia" w:ascii="仿宋_GB2312" w:hAnsi="宋体" w:eastAsia="仿宋_GB2312" w:cs="宋体"/>
          <w:sz w:val="32"/>
          <w:szCs w:val="32"/>
        </w:rPr>
        <w:t xml:space="preserve">万元，比2023年“三公经费”财政拨款预算</w:t>
      </w:r>
      <w:r>
        <w:rPr>
          <w:rFonts w:hint="eastAsia" w:ascii="仿宋_GB2312" w:hAnsi="宋体" w:eastAsia="仿宋_GB2312" w:cs="宋体"/>
          <w:sz w:val="32"/>
          <w:szCs w:val="32"/>
          <w:highlight w:val="none"/>
          <w:lang w:val="en-US" w:eastAsia="zh-CN"/>
        </w:rPr>
        <w:t xml:space="preserve">减少5.39</w:t>
      </w:r>
      <w:r>
        <w:rPr>
          <w:rFonts w:hint="eastAsia" w:ascii="仿宋_GB2312" w:hAnsi="宋体" w:eastAsia="仿宋_GB2312" w:cs="宋体"/>
          <w:sz w:val="32"/>
          <w:szCs w:val="32"/>
        </w:rPr>
        <w:t xml:space="preserve">万元。其中：</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仿宋_GB2312" w:hAnsi="宋体" w:eastAsia="仿宋_GB2312" w:cs="宋体"/>
          <w:sz w:val="32"/>
          <w:szCs w:val="32"/>
          <w:highlight w:val="none"/>
        </w:rPr>
      </w:pPr>
      <w:r>
        <w:rPr>
          <w:rFonts w:hint="eastAsia" w:ascii="仿宋_GB2312" w:hAnsi="宋体" w:eastAsia="仿宋_GB2312" w:cs="宋体"/>
          <w:sz w:val="32"/>
          <w:szCs w:val="32"/>
        </w:rPr>
        <w:t xml:space="preserve">1.因公出国（境）费用。2024年预算数</w:t>
      </w:r>
      <w:r>
        <w:rPr>
          <w:rFonts w:hint="eastAsia" w:ascii="仿宋_GB2312" w:hAnsi="宋体" w:eastAsia="仿宋_GB2312" w:cs="宋体"/>
          <w:sz w:val="32"/>
          <w:szCs w:val="32"/>
          <w:lang w:val="en-US" w:eastAsia="zh-CN"/>
        </w:rPr>
        <w:t xml:space="preserve">0</w:t>
      </w:r>
      <w:r>
        <w:rPr>
          <w:rFonts w:hint="eastAsia" w:ascii="仿宋_GB2312" w:hAnsi="宋体" w:eastAsia="仿宋_GB2312" w:cs="宋体"/>
          <w:sz w:val="32"/>
          <w:szCs w:val="32"/>
        </w:rPr>
        <w:t xml:space="preserve">万元，</w:t>
      </w:r>
      <w:r>
        <w:rPr>
          <w:rFonts w:hint="eastAsia" w:ascii="仿宋_GB2312" w:hAnsi="宋体" w:eastAsia="仿宋_GB2312" w:cs="宋体"/>
          <w:sz w:val="32"/>
          <w:szCs w:val="32"/>
          <w:highlight w:val="none"/>
        </w:rPr>
        <w:t xml:space="preserve">主要原因：此项为区级预留资金,年中根据各单位实际需求另行安排。</w:t>
      </w:r>
      <w:r>
        <w:rPr>
          <w:rFonts w:hint="eastAsia" w:ascii="仿宋_GB2312" w:hAnsi="宋体" w:eastAsia="仿宋_GB2312" w:cs="宋体"/>
          <w:sz w:val="32"/>
          <w:szCs w:val="32"/>
          <w:highlight w:val="none"/>
        </w:rPr>
      </w:r>
      <w:r>
        <w:rPr>
          <w:rFonts w:hint="eastAsia" w:ascii="仿宋_GB2312" w:hAnsi="宋体" w:eastAsia="仿宋_GB2312" w:cs="宋体"/>
          <w:sz w:val="32"/>
          <w:szCs w:val="32"/>
          <w:highlight w:val="none"/>
        </w:rPr>
      </w:r>
    </w:p>
    <w:p>
      <w:pPr>
        <w:pStyle w:val="656"/>
        <w:widowControl w:val="true"/>
        <w:pBdr/>
        <w:spacing w:line="560" w:lineRule="exact"/>
        <w:ind w:firstLine="640"/>
        <w:rPr>
          <w:rFonts w:hint="eastAsia" w:ascii="仿宋_GB2312" w:hAnsi="宋体" w:eastAsia="仿宋_GB2312" w:cs="宋体"/>
          <w:sz w:val="32"/>
          <w:szCs w:val="32"/>
          <w:highlight w:val="red"/>
        </w:rPr>
      </w:pPr>
      <w:r>
        <w:rPr>
          <w:rFonts w:hint="eastAsia" w:ascii="仿宋_GB2312" w:hAnsi="宋体" w:eastAsia="仿宋_GB2312" w:cs="宋体"/>
          <w:sz w:val="32"/>
          <w:szCs w:val="32"/>
        </w:rPr>
        <w:t xml:space="preserve">2.</w:t>
      </w:r>
      <w:r>
        <w:rPr>
          <w:rFonts w:hint="eastAsia" w:ascii="仿宋_GB2312" w:hAnsi="宋体" w:eastAsia="仿宋_GB2312" w:cs="宋体"/>
          <w:sz w:val="32"/>
          <w:szCs w:val="32"/>
          <w:highlight w:val="none"/>
        </w:rPr>
        <w:t xml:space="preserve">公务接待费。2024年预算数</w:t>
      </w:r>
      <w:r>
        <w:rPr>
          <w:rFonts w:hint="eastAsia" w:ascii="仿宋_GB2312" w:hAnsi="宋体" w:eastAsia="仿宋_GB2312" w:cs="宋体"/>
          <w:sz w:val="32"/>
          <w:szCs w:val="32"/>
          <w:highlight w:val="none"/>
          <w:lang w:val="en-US" w:eastAsia="zh-CN"/>
        </w:rPr>
        <w:t xml:space="preserve">3.13</w:t>
      </w:r>
      <w:r>
        <w:rPr>
          <w:rFonts w:hint="eastAsia" w:ascii="仿宋_GB2312" w:hAnsi="宋体" w:eastAsia="仿宋_GB2312" w:cs="宋体"/>
          <w:sz w:val="32"/>
          <w:szCs w:val="32"/>
          <w:highlight w:val="none"/>
        </w:rPr>
        <w:t xml:space="preserve">万元，比2023年预算数</w:t>
      </w:r>
      <w:r>
        <w:rPr>
          <w:rFonts w:hint="eastAsia" w:ascii="仿宋_GB2312" w:hAnsi="宋体" w:eastAsia="仿宋_GB2312" w:cs="宋体"/>
          <w:sz w:val="32"/>
          <w:szCs w:val="32"/>
          <w:highlight w:val="none"/>
          <w:lang w:val="en-US" w:eastAsia="zh-CN"/>
        </w:rPr>
        <w:t xml:space="preserve">3.12</w:t>
      </w:r>
      <w:r>
        <w:rPr>
          <w:rFonts w:hint="eastAsia" w:ascii="仿宋_GB2312" w:hAnsi="宋体" w:eastAsia="仿宋_GB2312" w:cs="宋体"/>
          <w:sz w:val="32"/>
          <w:szCs w:val="32"/>
          <w:highlight w:val="none"/>
        </w:rPr>
        <w:t xml:space="preserve">万元</w:t>
      </w:r>
      <w:r>
        <w:rPr>
          <w:rFonts w:hint="eastAsia" w:ascii="仿宋_GB2312" w:hAnsi="宋体" w:eastAsia="仿宋_GB2312" w:cs="宋体"/>
          <w:sz w:val="32"/>
          <w:szCs w:val="32"/>
          <w:highlight w:val="none"/>
          <w:lang w:val="en-US" w:eastAsia="zh-CN"/>
        </w:rPr>
        <w:t xml:space="preserve">增加0.01</w:t>
      </w:r>
      <w:r>
        <w:rPr>
          <w:rFonts w:hint="eastAsia" w:ascii="仿宋_GB2312" w:hAnsi="宋体" w:eastAsia="仿宋_GB2312" w:cs="宋体"/>
          <w:sz w:val="32"/>
          <w:szCs w:val="32"/>
          <w:highlight w:val="none"/>
        </w:rPr>
        <w:t xml:space="preserve">万元，主要原因：</w:t>
      </w:r>
      <w:r>
        <w:rPr>
          <w:rFonts w:hint="eastAsia" w:ascii="仿宋_GB2312" w:hAnsi="宋体" w:eastAsia="仿宋_GB2312" w:cs="宋体"/>
          <w:sz w:val="32"/>
          <w:szCs w:val="32"/>
          <w:highlight w:val="none"/>
          <w:lang w:eastAsia="zh-CN"/>
        </w:rPr>
        <w:t xml:space="preserve">人员增加</w:t>
      </w:r>
      <w:r>
        <w:rPr>
          <w:rFonts w:hint="eastAsia" w:ascii="仿宋_GB2312" w:hAnsi="宋体" w:eastAsia="仿宋_GB2312" w:cs="宋体"/>
          <w:sz w:val="32"/>
          <w:szCs w:val="32"/>
          <w:highlight w:val="none"/>
        </w:rPr>
        <w:t xml:space="preserve">。</w:t>
      </w:r>
      <w:r>
        <w:rPr>
          <w:rFonts w:hint="eastAsia" w:ascii="仿宋_GB2312" w:hAnsi="宋体" w:eastAsia="仿宋_GB2312" w:cs="宋体"/>
          <w:sz w:val="32"/>
          <w:szCs w:val="32"/>
          <w:highlight w:val="red"/>
        </w:rPr>
      </w:r>
      <w:r>
        <w:rPr>
          <w:rFonts w:hint="eastAsia" w:ascii="仿宋_GB2312" w:hAnsi="宋体" w:eastAsia="仿宋_GB2312" w:cs="宋体"/>
          <w:sz w:val="32"/>
          <w:szCs w:val="32"/>
          <w:highlight w:val="red"/>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3.公务用车购置及运行维护费。2024年预算数</w:t>
      </w:r>
      <w:r>
        <w:rPr>
          <w:rFonts w:hint="eastAsia" w:ascii="仿宋_GB2312" w:hAnsi="宋体" w:eastAsia="仿宋_GB2312" w:cs="宋体"/>
          <w:sz w:val="32"/>
          <w:szCs w:val="32"/>
          <w:lang w:val="en-US" w:eastAsia="zh-CN"/>
        </w:rPr>
        <w:t xml:space="preserve">9.00</w:t>
      </w:r>
      <w:r>
        <w:rPr>
          <w:rFonts w:hint="eastAsia" w:ascii="仿宋_GB2312" w:hAnsi="宋体" w:eastAsia="仿宋_GB2312" w:cs="宋体"/>
          <w:sz w:val="32"/>
          <w:szCs w:val="32"/>
        </w:rPr>
        <w:t xml:space="preserve">万元，其中，公务用车购置费2024年预算数</w:t>
      </w:r>
      <w:r>
        <w:rPr>
          <w:rFonts w:hint="eastAsia" w:ascii="仿宋_GB2312" w:hAnsi="宋体" w:eastAsia="仿宋_GB2312" w:cs="宋体"/>
          <w:sz w:val="32"/>
          <w:szCs w:val="32"/>
          <w:lang w:val="en-US" w:eastAsia="zh-CN"/>
        </w:rPr>
        <w:t xml:space="preserve">0.00</w:t>
      </w:r>
      <w:r>
        <w:rPr>
          <w:rFonts w:hint="eastAsia" w:ascii="仿宋_GB2312" w:hAnsi="宋体" w:eastAsia="仿宋_GB2312" w:cs="宋体"/>
          <w:sz w:val="32"/>
          <w:szCs w:val="32"/>
        </w:rPr>
        <w:t xml:space="preserve">万元，</w:t>
      </w:r>
      <w:r>
        <w:rPr>
          <w:rFonts w:hint="eastAsia" w:ascii="仿宋_GB2312" w:hAnsi="宋体" w:eastAsia="仿宋_GB2312" w:cs="宋体"/>
          <w:sz w:val="32"/>
          <w:szCs w:val="32"/>
          <w:highlight w:val="none"/>
        </w:rPr>
        <w:t xml:space="preserve">比2023年预算数</w:t>
      </w:r>
      <w:r>
        <w:rPr>
          <w:rFonts w:hint="eastAsia" w:ascii="仿宋_GB2312" w:hAnsi="宋体" w:eastAsia="仿宋_GB2312" w:cs="宋体"/>
          <w:sz w:val="32"/>
          <w:szCs w:val="32"/>
          <w:highlight w:val="none"/>
          <w:lang w:val="en-US" w:eastAsia="zh-CN"/>
        </w:rPr>
        <w:t xml:space="preserve">0.00</w:t>
      </w:r>
      <w:r>
        <w:rPr>
          <w:rFonts w:hint="eastAsia" w:ascii="仿宋_GB2312" w:hAnsi="宋体" w:eastAsia="仿宋_GB2312" w:cs="宋体"/>
          <w:sz w:val="32"/>
          <w:szCs w:val="32"/>
          <w:highlight w:val="none"/>
        </w:rPr>
        <w:t xml:space="preserve">万元减少</w:t>
      </w:r>
      <w:r>
        <w:rPr>
          <w:rFonts w:hint="eastAsia" w:ascii="仿宋_GB2312" w:hAnsi="宋体" w:eastAsia="仿宋_GB2312" w:cs="宋体"/>
          <w:sz w:val="32"/>
          <w:szCs w:val="32"/>
          <w:highlight w:val="none"/>
          <w:lang w:val="en-US" w:eastAsia="zh-CN"/>
        </w:rPr>
        <w:t xml:space="preserve">0.00</w:t>
      </w:r>
      <w:r>
        <w:rPr>
          <w:rFonts w:hint="eastAsia" w:ascii="仿宋_GB2312" w:hAnsi="宋体" w:eastAsia="仿宋_GB2312" w:cs="宋体"/>
          <w:sz w:val="32"/>
          <w:szCs w:val="32"/>
          <w:highlight w:val="none"/>
        </w:rPr>
        <w:t xml:space="preserve">万元；</w:t>
      </w:r>
      <w:r>
        <w:rPr>
          <w:rFonts w:hint="eastAsia" w:ascii="仿宋_GB2312" w:hAnsi="宋体" w:eastAsia="仿宋_GB2312" w:cs="宋体"/>
          <w:sz w:val="32"/>
          <w:szCs w:val="32"/>
        </w:rPr>
        <w:t xml:space="preserve">公务用车运行维护费2024年预算数</w:t>
      </w:r>
      <w:r>
        <w:rPr>
          <w:rFonts w:hint="eastAsia" w:ascii="仿宋_GB2312" w:hAnsi="宋体" w:eastAsia="仿宋_GB2312" w:cs="宋体"/>
          <w:sz w:val="32"/>
          <w:szCs w:val="32"/>
          <w:lang w:val="en-US" w:eastAsia="zh-CN"/>
        </w:rPr>
        <w:t xml:space="preserve">9.00</w:t>
      </w:r>
      <w:r>
        <w:rPr>
          <w:rFonts w:hint="eastAsia" w:ascii="仿宋_GB2312" w:hAnsi="宋体" w:eastAsia="仿宋_GB2312" w:cs="宋体"/>
          <w:sz w:val="32"/>
          <w:szCs w:val="32"/>
        </w:rPr>
        <w:t xml:space="preserve">万元，比2023年预算数</w:t>
      </w:r>
      <w:r>
        <w:rPr>
          <w:rFonts w:hint="eastAsia" w:ascii="仿宋_GB2312" w:hAnsi="宋体" w:eastAsia="仿宋_GB2312" w:cs="宋体"/>
          <w:sz w:val="32"/>
          <w:szCs w:val="32"/>
          <w:lang w:val="en-US" w:eastAsia="zh-CN"/>
        </w:rPr>
        <w:t xml:space="preserve">14.40</w:t>
      </w:r>
      <w:r>
        <w:rPr>
          <w:rFonts w:hint="eastAsia" w:ascii="仿宋_GB2312" w:hAnsi="宋体" w:eastAsia="仿宋_GB2312" w:cs="宋体"/>
          <w:sz w:val="32"/>
          <w:szCs w:val="32"/>
        </w:rPr>
        <w:t xml:space="preserve">万元减少</w:t>
      </w:r>
      <w:r>
        <w:rPr>
          <w:rFonts w:hint="eastAsia" w:ascii="仿宋_GB2312" w:hAnsi="宋体" w:eastAsia="仿宋_GB2312" w:cs="宋体"/>
          <w:sz w:val="32"/>
          <w:szCs w:val="32"/>
          <w:lang w:val="en-US" w:eastAsia="zh-CN"/>
        </w:rPr>
        <w:t xml:space="preserve">5.40</w:t>
      </w:r>
      <w:r>
        <w:rPr>
          <w:rFonts w:hint="eastAsia" w:ascii="仿宋_GB2312" w:hAnsi="宋体" w:eastAsia="仿宋_GB2312" w:cs="宋体"/>
          <w:sz w:val="32"/>
          <w:szCs w:val="32"/>
        </w:rPr>
        <w:t xml:space="preserve">万元，主要原因：</w:t>
      </w:r>
      <w:r>
        <w:rPr>
          <w:rFonts w:hint="eastAsia" w:ascii="仿宋_GB2312" w:hAnsi="宋体" w:eastAsia="仿宋_GB2312" w:cs="宋体"/>
          <w:sz w:val="32"/>
          <w:szCs w:val="32"/>
          <w:lang w:val="en-US" w:eastAsia="zh-CN"/>
        </w:rPr>
        <w:t xml:space="preserve">车辆减少</w:t>
      </w:r>
      <w:r>
        <w:rPr>
          <w:rFonts w:hint="eastAsia" w:ascii="仿宋_GB2312" w:hAnsi="宋体" w:eastAsia="仿宋_GB2312" w:cs="宋体"/>
          <w:sz w:val="32"/>
          <w:szCs w:val="32"/>
        </w:rPr>
        <w:t xml:space="preserve">。</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黑体" w:hAnsi="黑体" w:eastAsia="黑体" w:cs="宋体"/>
          <w:sz w:val="32"/>
          <w:szCs w:val="32"/>
        </w:rPr>
      </w:pPr>
      <w:r>
        <w:rPr>
          <w:rFonts w:hint="eastAsia" w:ascii="黑体" w:hAnsi="黑体" w:eastAsia="黑体" w:cs="宋体"/>
          <w:sz w:val="32"/>
          <w:szCs w:val="32"/>
        </w:rPr>
        <w:t xml:space="preserve">五、其他情况说明</w:t>
      </w:r>
      <w:r>
        <w:rPr>
          <w:rFonts w:hint="eastAsia" w:ascii="黑体" w:hAnsi="黑体" w:eastAsia="黑体" w:cs="宋体"/>
          <w:sz w:val="32"/>
          <w:szCs w:val="32"/>
        </w:rPr>
      </w:r>
      <w:r>
        <w:rPr>
          <w:rFonts w:hint="eastAsia" w:ascii="黑体" w:hAnsi="黑体" w:eastAsia="黑体" w:cs="宋体"/>
          <w:sz w:val="32"/>
          <w:szCs w:val="32"/>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（一）部门政府采购预算说明</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2024年</w:t>
      </w:r>
      <w:r>
        <w:rPr>
          <w:rFonts w:hint="eastAsia" w:ascii="仿宋_GB2312" w:hAnsi="宋体" w:eastAsia="仿宋_GB2312" w:cs="宋体"/>
          <w:sz w:val="32"/>
          <w:szCs w:val="32"/>
          <w:lang w:val="en-US" w:eastAsia="zh-CN"/>
        </w:rPr>
        <w:t xml:space="preserve">北京市门头沟区人力资源和社会保障局</w:t>
      </w:r>
      <w:r>
        <w:rPr>
          <w:rFonts w:hint="eastAsia" w:ascii="仿宋_GB2312" w:hAnsi="宋体" w:eastAsia="仿宋_GB2312" w:cs="宋体"/>
          <w:sz w:val="32"/>
          <w:szCs w:val="32"/>
        </w:rPr>
        <w:t xml:space="preserve">部门政府采购预算总额</w:t>
      </w:r>
      <w:r>
        <w:rPr>
          <w:rFonts w:hint="eastAsia" w:ascii="仿宋_GB2312" w:hAnsi="宋体" w:eastAsia="仿宋_GB2312" w:cs="宋体"/>
          <w:sz w:val="32"/>
          <w:szCs w:val="32"/>
          <w:lang w:val="en-US" w:eastAsia="zh-CN"/>
        </w:rPr>
        <w:t xml:space="preserve">68.41</w:t>
      </w:r>
      <w:r>
        <w:rPr>
          <w:rFonts w:hint="eastAsia" w:ascii="仿宋_GB2312" w:hAnsi="宋体" w:eastAsia="仿宋_GB2312" w:cs="宋体"/>
          <w:sz w:val="32"/>
          <w:szCs w:val="32"/>
        </w:rPr>
        <w:t xml:space="preserve">万元。</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（二）政府购买服务预算说明</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2024年</w:t>
      </w:r>
      <w:r>
        <w:rPr>
          <w:rFonts w:hint="eastAsia" w:ascii="仿宋_GB2312" w:hAnsi="宋体" w:eastAsia="仿宋_GB2312" w:cs="宋体"/>
          <w:sz w:val="32"/>
          <w:szCs w:val="32"/>
          <w:lang w:val="en-US" w:eastAsia="zh-CN"/>
        </w:rPr>
        <w:t xml:space="preserve">北京市门头沟区人力资源和社会保障局</w:t>
      </w:r>
      <w:r>
        <w:rPr>
          <w:rFonts w:hint="eastAsia" w:ascii="仿宋_GB2312" w:hAnsi="宋体" w:eastAsia="仿宋_GB2312" w:cs="宋体"/>
          <w:sz w:val="32"/>
          <w:szCs w:val="32"/>
        </w:rPr>
        <w:t xml:space="preserve">部门政府购买服务预算总额</w:t>
      </w:r>
      <w:r>
        <w:rPr>
          <w:rFonts w:hint="eastAsia" w:ascii="仿宋_GB2312" w:hAnsi="宋体" w:eastAsia="仿宋_GB2312" w:cs="宋体"/>
          <w:sz w:val="32"/>
          <w:szCs w:val="32"/>
          <w:lang w:val="en-US" w:eastAsia="zh-CN"/>
        </w:rPr>
        <w:t xml:space="preserve">294.71</w:t>
      </w:r>
      <w:r>
        <w:rPr>
          <w:rFonts w:hint="eastAsia" w:ascii="仿宋_GB2312" w:hAnsi="宋体" w:eastAsia="仿宋_GB2312" w:cs="宋体"/>
          <w:sz w:val="32"/>
          <w:szCs w:val="32"/>
        </w:rPr>
        <w:t xml:space="preserve">万元。</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（三）机关运行经费情况说明</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仿宋_GB2312" w:hAnsi="宋体" w:eastAsia="仿宋_GB2312" w:cs="宋体"/>
          <w:sz w:val="32"/>
          <w:szCs w:val="32"/>
          <w:highlight w:val="none"/>
        </w:rPr>
      </w:pPr>
      <w:r>
        <w:rPr>
          <w:rFonts w:hint="eastAsia" w:ascii="仿宋_GB2312" w:hAnsi="宋体" w:eastAsia="仿宋_GB2312" w:cs="宋体"/>
          <w:sz w:val="32"/>
          <w:szCs w:val="32"/>
          <w:highlight w:val="none"/>
        </w:rPr>
        <w:t xml:space="preserve">2024年</w:t>
      </w:r>
      <w:r>
        <w:rPr>
          <w:rFonts w:hint="eastAsia" w:ascii="仿宋_GB2312" w:hAnsi="宋体" w:eastAsia="仿宋_GB2312" w:cs="宋体"/>
          <w:sz w:val="32"/>
          <w:szCs w:val="32"/>
          <w:highlight w:val="none"/>
          <w:lang w:val="en-US" w:eastAsia="zh-CN"/>
        </w:rPr>
        <w:t xml:space="preserve">北京市门头沟区人力资源和社会保障局1</w:t>
      </w:r>
      <w:r>
        <w:rPr>
          <w:rFonts w:hint="eastAsia" w:ascii="仿宋_GB2312" w:hAnsi="宋体" w:eastAsia="仿宋_GB2312" w:cs="宋体"/>
          <w:sz w:val="32"/>
          <w:szCs w:val="32"/>
          <w:highlight w:val="none"/>
        </w:rPr>
        <w:t xml:space="preserve">家行政单位以及</w:t>
      </w:r>
      <w:r>
        <w:rPr>
          <w:rFonts w:hint="eastAsia" w:ascii="仿宋_GB2312" w:hAnsi="宋体" w:eastAsia="仿宋_GB2312" w:cs="宋体"/>
          <w:sz w:val="32"/>
          <w:szCs w:val="32"/>
          <w:highlight w:val="none"/>
          <w:lang w:val="en-US" w:eastAsia="zh-CN"/>
        </w:rPr>
        <w:t xml:space="preserve">5</w:t>
      </w:r>
      <w:r>
        <w:rPr>
          <w:rFonts w:hint="eastAsia" w:ascii="仿宋_GB2312" w:hAnsi="宋体" w:eastAsia="仿宋_GB2312" w:cs="宋体"/>
          <w:sz w:val="32"/>
          <w:szCs w:val="32"/>
          <w:highlight w:val="none"/>
        </w:rPr>
        <w:t xml:space="preserve">家参公管理事业单位的机关运行经费财政拨款预算</w:t>
      </w:r>
      <w:r>
        <w:rPr>
          <w:rFonts w:hint="eastAsia" w:ascii="仿宋_GB2312" w:hAnsi="宋体" w:eastAsia="仿宋_GB2312" w:cs="宋体"/>
          <w:sz w:val="32"/>
          <w:szCs w:val="32"/>
          <w:highlight w:val="none"/>
          <w:lang w:val="en-US" w:eastAsia="zh-CN"/>
        </w:rPr>
        <w:t xml:space="preserve">548.96</w:t>
      </w:r>
      <w:r>
        <w:rPr>
          <w:rFonts w:hint="eastAsia" w:ascii="仿宋_GB2312" w:hAnsi="宋体" w:eastAsia="仿宋_GB2312" w:cs="宋体"/>
          <w:sz w:val="32"/>
          <w:szCs w:val="32"/>
          <w:highlight w:val="none"/>
        </w:rPr>
        <w:t xml:space="preserve">万元。</w:t>
      </w:r>
      <w:r>
        <w:rPr>
          <w:rFonts w:hint="eastAsia" w:ascii="仿宋_GB2312" w:hAnsi="宋体" w:eastAsia="仿宋_GB2312" w:cs="宋体"/>
          <w:sz w:val="32"/>
          <w:szCs w:val="32"/>
          <w:highlight w:val="none"/>
        </w:rPr>
      </w:r>
      <w:r>
        <w:rPr>
          <w:rFonts w:hint="eastAsia" w:ascii="仿宋_GB2312" w:hAnsi="宋体" w:eastAsia="仿宋_GB2312" w:cs="宋体"/>
          <w:sz w:val="32"/>
          <w:szCs w:val="32"/>
          <w:highlight w:val="none"/>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机关运行经费：是指行政单位（含参照公务员法管理事业单位）使用一般公共预算财政拨款安排的基本支出中的日常公用经费支出，包括办公费、邮电费、差旅费、会议费、福利费、维修费、办公用房水电费、办公用房取暖费、办公用房物业管理费、公务用车运行维护费以及其他费用。</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（四）项目支出绩效目标情况说明  </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仿宋_GB2312" w:hAnsi="宋体" w:eastAsia="仿宋_GB2312" w:cs="宋体"/>
          <w:sz w:val="32"/>
          <w:szCs w:val="32"/>
          <w:highlight w:val="none"/>
        </w:rPr>
      </w:pPr>
      <w:r>
        <w:rPr>
          <w:rFonts w:hint="eastAsia" w:ascii="仿宋_GB2312" w:hAnsi="宋体" w:eastAsia="仿宋_GB2312" w:cs="宋体"/>
          <w:sz w:val="32"/>
          <w:szCs w:val="32"/>
          <w:highlight w:val="none"/>
        </w:rPr>
        <w:t xml:space="preserve">2024年，</w:t>
      </w:r>
      <w:r>
        <w:rPr>
          <w:rFonts w:hint="eastAsia" w:ascii="仿宋_GB2312" w:hAnsi="宋体" w:eastAsia="仿宋_GB2312" w:cs="宋体"/>
          <w:sz w:val="32"/>
          <w:szCs w:val="32"/>
          <w:highlight w:val="none"/>
          <w:lang w:val="en-US" w:eastAsia="zh-CN"/>
        </w:rPr>
        <w:t xml:space="preserve">北京市门头沟区人力资源和社会保障局</w:t>
      </w:r>
      <w:r>
        <w:rPr>
          <w:rFonts w:hint="eastAsia" w:ascii="仿宋_GB2312" w:hAnsi="宋体" w:eastAsia="仿宋_GB2312" w:cs="宋体"/>
          <w:sz w:val="32"/>
          <w:szCs w:val="32"/>
          <w:highlight w:val="none"/>
        </w:rPr>
        <w:t xml:space="preserve">填报绩效目标的预算项目</w:t>
      </w:r>
      <w:r>
        <w:rPr>
          <w:rFonts w:hint="eastAsia" w:ascii="仿宋_GB2312" w:hAnsi="宋体" w:eastAsia="仿宋_GB2312" w:cs="宋体"/>
          <w:sz w:val="32"/>
          <w:szCs w:val="32"/>
          <w:highlight w:val="none"/>
          <w:lang w:val="en-US" w:eastAsia="zh-CN"/>
        </w:rPr>
        <w:t xml:space="preserve">55</w:t>
      </w:r>
      <w:r>
        <w:rPr>
          <w:rFonts w:hint="eastAsia" w:ascii="仿宋_GB2312" w:hAnsi="宋体" w:eastAsia="仿宋_GB2312" w:cs="宋体"/>
          <w:sz w:val="32"/>
          <w:szCs w:val="32"/>
          <w:highlight w:val="none"/>
        </w:rPr>
        <w:t xml:space="preserve">个，占全部预算项目</w:t>
      </w:r>
      <w:r>
        <w:rPr>
          <w:rFonts w:hint="eastAsia" w:ascii="仿宋_GB2312" w:hAnsi="宋体" w:eastAsia="仿宋_GB2312" w:cs="宋体"/>
          <w:sz w:val="32"/>
          <w:szCs w:val="32"/>
          <w:highlight w:val="none"/>
          <w:lang w:val="en-US" w:eastAsia="zh-CN"/>
        </w:rPr>
        <w:t xml:space="preserve">55</w:t>
      </w:r>
      <w:r>
        <w:rPr>
          <w:rFonts w:hint="eastAsia" w:ascii="仿宋_GB2312" w:hAnsi="宋体" w:eastAsia="仿宋_GB2312" w:cs="宋体"/>
          <w:sz w:val="32"/>
          <w:szCs w:val="32"/>
          <w:highlight w:val="none"/>
        </w:rPr>
        <w:t xml:space="preserve">个的</w:t>
      </w:r>
      <w:r>
        <w:rPr>
          <w:rFonts w:hint="eastAsia" w:ascii="仿宋_GB2312" w:hAnsi="宋体" w:eastAsia="仿宋_GB2312" w:cs="宋体"/>
          <w:sz w:val="32"/>
          <w:szCs w:val="32"/>
          <w:highlight w:val="none"/>
          <w:lang w:val="en-US" w:eastAsia="zh-CN"/>
        </w:rPr>
        <w:t xml:space="preserve">100.0</w:t>
      </w:r>
      <w:r>
        <w:rPr>
          <w:rFonts w:hint="eastAsia" w:ascii="仿宋_GB2312" w:hAnsi="宋体" w:eastAsia="仿宋_GB2312" w:cs="宋体"/>
          <w:sz w:val="32"/>
          <w:szCs w:val="32"/>
          <w:highlight w:val="none"/>
        </w:rPr>
        <w:t xml:space="preserve">%。填报绩效目标的项目支出预算</w:t>
      </w:r>
      <w:r>
        <w:rPr>
          <w:rFonts w:hint="eastAsia" w:ascii="仿宋_GB2312" w:hAnsi="宋体" w:eastAsia="仿宋_GB2312" w:cs="宋体"/>
          <w:sz w:val="32"/>
          <w:szCs w:val="32"/>
          <w:highlight w:val="none"/>
          <w:lang w:val="en-US" w:eastAsia="zh-CN"/>
        </w:rPr>
        <w:t xml:space="preserve">33,627.63</w:t>
      </w:r>
      <w:r>
        <w:rPr>
          <w:rFonts w:hint="eastAsia" w:ascii="仿宋_GB2312" w:hAnsi="宋体" w:eastAsia="仿宋_GB2312" w:cs="宋体"/>
          <w:sz w:val="32"/>
          <w:szCs w:val="32"/>
          <w:highlight w:val="none"/>
        </w:rPr>
        <w:t xml:space="preserve">万元，占本部门全部项目支出预算的</w:t>
      </w:r>
      <w:r>
        <w:rPr>
          <w:rFonts w:hint="eastAsia" w:ascii="仿宋_GB2312" w:hAnsi="宋体" w:eastAsia="仿宋_GB2312" w:cs="宋体"/>
          <w:sz w:val="32"/>
          <w:szCs w:val="32"/>
          <w:highlight w:val="none"/>
          <w:lang w:val="en-US" w:eastAsia="zh-CN"/>
        </w:rPr>
        <w:t xml:space="preserve">100.0</w:t>
      </w:r>
      <w:r>
        <w:rPr>
          <w:rFonts w:hint="eastAsia" w:ascii="仿宋_GB2312" w:hAnsi="宋体" w:eastAsia="仿宋_GB2312" w:cs="宋体"/>
          <w:sz w:val="32"/>
          <w:szCs w:val="32"/>
          <w:highlight w:val="none"/>
        </w:rPr>
        <w:t xml:space="preserve">%。（注：取数范围是只提取项目支出，不含基本支出）</w:t>
      </w:r>
      <w:r>
        <w:rPr>
          <w:rFonts w:hint="eastAsia" w:ascii="仿宋_GB2312" w:hAnsi="宋体" w:eastAsia="仿宋_GB2312" w:cs="宋体"/>
          <w:sz w:val="32"/>
          <w:szCs w:val="32"/>
          <w:highlight w:val="none"/>
        </w:rPr>
      </w:r>
      <w:r>
        <w:rPr>
          <w:rFonts w:hint="eastAsia" w:ascii="仿宋_GB2312" w:hAnsi="宋体" w:eastAsia="仿宋_GB2312" w:cs="宋体"/>
          <w:sz w:val="32"/>
          <w:szCs w:val="32"/>
          <w:highlight w:val="none"/>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（五）财政拨款重点项目情况</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仿宋_GB2312" w:hAnsi="宋体" w:eastAsia="仿宋_GB2312" w:cs="宋体"/>
          <w:sz w:val="32"/>
          <w:szCs w:val="32"/>
          <w:highlight w:val="none"/>
        </w:rPr>
      </w:pPr>
      <w:r>
        <w:rPr>
          <w:rFonts w:hint="eastAsia" w:ascii="仿宋_GB2312" w:hAnsi="宋体" w:eastAsia="仿宋_GB2312" w:cs="宋体"/>
          <w:sz w:val="32"/>
          <w:szCs w:val="32"/>
        </w:rPr>
        <w:t xml:space="preserve">1.城乡居民基本养老保险财政补助（基础养老金）项目</w:t>
      </w:r>
      <w:r>
        <w:rPr>
          <w:rFonts w:hint="eastAsia" w:ascii="仿宋_GB2312" w:hAnsi="宋体" w:eastAsia="仿宋_GB2312" w:cs="宋体"/>
          <w:sz w:val="32"/>
          <w:szCs w:val="32"/>
          <w:lang w:val="en-US" w:eastAsia="zh-CN"/>
        </w:rPr>
        <w:t xml:space="preserve">26,225.88</w:t>
      </w:r>
      <w:r>
        <w:rPr>
          <w:rFonts w:hint="eastAsia" w:ascii="仿宋_GB2312" w:hAnsi="宋体" w:eastAsia="仿宋_GB2312" w:cs="宋体"/>
          <w:sz w:val="32"/>
          <w:szCs w:val="32"/>
        </w:rPr>
        <w:t xml:space="preserve">万元：用于安排</w:t>
      </w:r>
      <w:r>
        <w:rPr>
          <w:rFonts w:hint="eastAsia" w:ascii="仿宋_GB2312" w:hAnsi="宋体" w:eastAsia="仿宋_GB2312" w:cs="宋体"/>
          <w:sz w:val="32"/>
          <w:szCs w:val="32"/>
          <w:lang w:val="en-US" w:eastAsia="zh-CN"/>
        </w:rPr>
        <w:t xml:space="preserve">城乡居民基本养老保险缴费补贴</w:t>
      </w:r>
      <w:r>
        <w:rPr>
          <w:rFonts w:hint="eastAsia" w:ascii="仿宋_GB2312" w:hAnsi="宋体" w:eastAsia="仿宋_GB2312" w:cs="宋体"/>
          <w:sz w:val="32"/>
          <w:szCs w:val="32"/>
        </w:rPr>
        <w:t xml:space="preserve">支出</w:t>
      </w:r>
      <w:r>
        <w:rPr>
          <w:rFonts w:hint="eastAsia" w:ascii="仿宋_GB2312" w:hAnsi="宋体" w:eastAsia="仿宋_GB2312" w:cs="宋体"/>
          <w:sz w:val="32"/>
          <w:szCs w:val="32"/>
          <w:highlight w:val="none"/>
        </w:rPr>
        <w:t xml:space="preserve">。</w:t>
      </w:r>
      <w:r>
        <w:rPr>
          <w:rFonts w:hint="eastAsia" w:ascii="仿宋_GB2312" w:hAnsi="宋体" w:eastAsia="仿宋_GB2312" w:cs="宋体"/>
          <w:sz w:val="32"/>
          <w:szCs w:val="32"/>
          <w:highlight w:val="none"/>
          <w:lang w:val="en-US" w:eastAsia="zh-CN"/>
        </w:rPr>
        <w:t xml:space="preserve">是完成城乡居民基本养老保险制度全覆盖，增加参保人员的参保积极性，确保老有所养、老有所依的一项惠民政策。参保人员达到领取年龄及满足缴费条件后，可按月领取城乡居民基本养老保险待遇。</w:t>
      </w:r>
      <w:r>
        <w:rPr>
          <w:rFonts w:hint="eastAsia" w:ascii="仿宋_GB2312" w:hAnsi="宋体" w:eastAsia="仿宋_GB2312" w:cs="宋体"/>
          <w:sz w:val="32"/>
          <w:szCs w:val="32"/>
          <w:highlight w:val="none"/>
        </w:rPr>
      </w:r>
      <w:r>
        <w:rPr>
          <w:rFonts w:hint="eastAsia" w:ascii="仿宋_GB2312" w:hAnsi="宋体" w:eastAsia="仿宋_GB2312" w:cs="宋体"/>
          <w:sz w:val="32"/>
          <w:szCs w:val="32"/>
          <w:highlight w:val="none"/>
        </w:rPr>
      </w:r>
    </w:p>
    <w:p>
      <w:pPr>
        <w:pStyle w:val="656"/>
        <w:widowControl w:val="true"/>
        <w:pBdr/>
        <w:spacing w:line="560" w:lineRule="exact"/>
        <w:ind w:firstLine="640"/>
        <w:rPr>
          <w:rFonts w:hint="eastAsia" w:ascii="仿宋_GB2312" w:hAnsi="宋体" w:eastAsia="仿宋_GB2312" w:cs="宋体"/>
          <w:sz w:val="32"/>
          <w:szCs w:val="32"/>
          <w:highlight w:val="none"/>
          <w:lang w:val="en-US" w:eastAsia="zh-CN"/>
        </w:rPr>
      </w:pPr>
      <w:r>
        <w:rPr>
          <w:rFonts w:hint="eastAsia" w:ascii="仿宋_GB2312" w:hAnsi="宋体" w:eastAsia="仿宋_GB2312" w:cs="宋体"/>
          <w:sz w:val="32"/>
          <w:szCs w:val="32"/>
          <w:highlight w:val="none"/>
        </w:rPr>
        <w:t xml:space="preserve">2.对口支援项目</w:t>
      </w:r>
      <w:r>
        <w:rPr>
          <w:rFonts w:hint="eastAsia" w:ascii="仿宋_GB2312" w:hAnsi="宋体" w:eastAsia="仿宋_GB2312" w:cs="宋体"/>
          <w:sz w:val="32"/>
          <w:szCs w:val="32"/>
          <w:highlight w:val="none"/>
          <w:lang w:val="en-US" w:eastAsia="zh-CN"/>
        </w:rPr>
        <w:t xml:space="preserve">2.16</w:t>
      </w:r>
      <w:r>
        <w:rPr>
          <w:rFonts w:hint="eastAsia" w:ascii="仿宋_GB2312" w:hAnsi="宋体" w:eastAsia="仿宋_GB2312" w:cs="宋体"/>
          <w:sz w:val="32"/>
          <w:szCs w:val="32"/>
          <w:highlight w:val="none"/>
        </w:rPr>
        <w:t xml:space="preserve">万元：用于安排</w:t>
      </w:r>
      <w:r>
        <w:rPr>
          <w:rFonts w:hint="eastAsia" w:ascii="仿宋_GB2312" w:hAnsi="宋体" w:eastAsia="仿宋_GB2312" w:cs="宋体"/>
          <w:sz w:val="32"/>
          <w:szCs w:val="32"/>
          <w:highlight w:val="none"/>
          <w:lang w:val="en-US" w:eastAsia="zh-CN"/>
        </w:rPr>
        <w:t xml:space="preserve">根据有关要求，对受援助地区进行工作对接，开展招聘会等就业帮扶工作</w:t>
      </w:r>
      <w:r>
        <w:rPr>
          <w:rFonts w:hint="eastAsia" w:ascii="仿宋_GB2312" w:hAnsi="宋体" w:eastAsia="仿宋_GB2312" w:cs="宋体"/>
          <w:sz w:val="32"/>
          <w:szCs w:val="32"/>
          <w:highlight w:val="none"/>
        </w:rPr>
        <w:t xml:space="preserve">支出</w:t>
      </w:r>
      <w:r>
        <w:rPr>
          <w:rFonts w:hint="eastAsia" w:ascii="仿宋_GB2312" w:hAnsi="宋体" w:eastAsia="仿宋_GB2312" w:cs="宋体"/>
          <w:sz w:val="32"/>
          <w:szCs w:val="32"/>
          <w:highlight w:val="none"/>
          <w:lang w:val="en-US" w:eastAsia="zh-CN"/>
        </w:rPr>
        <w:t xml:space="preserve">。</w:t>
      </w:r>
      <w:r>
        <w:rPr>
          <w:rFonts w:hint="eastAsia" w:ascii="仿宋_GB2312" w:hAnsi="宋体" w:eastAsia="仿宋_GB2312" w:cs="宋体"/>
          <w:sz w:val="32"/>
          <w:szCs w:val="32"/>
          <w:highlight w:val="none"/>
          <w:lang w:val="en-US" w:eastAsia="zh-CN"/>
        </w:rPr>
      </w:r>
      <w:r>
        <w:rPr>
          <w:rFonts w:hint="eastAsia" w:ascii="仿宋_GB2312" w:hAnsi="宋体" w:eastAsia="仿宋_GB2312" w:cs="宋体"/>
          <w:sz w:val="32"/>
          <w:szCs w:val="32"/>
          <w:highlight w:val="none"/>
          <w:lang w:val="en-US" w:eastAsia="zh-CN"/>
        </w:rPr>
      </w:r>
    </w:p>
    <w:p>
      <w:pPr>
        <w:pStyle w:val="656"/>
        <w:widowControl w:val="true"/>
        <w:pBdr/>
        <w:spacing w:line="560" w:lineRule="exact"/>
        <w:ind w:firstLine="640"/>
        <w:rPr>
          <w:rFonts w:hint="eastAsia" w:ascii="仿宋_GB2312" w:hAnsi="宋体" w:eastAsia="仿宋_GB2312" w:cs="宋体"/>
          <w:sz w:val="32"/>
          <w:szCs w:val="32"/>
          <w:highlight w:val="none"/>
        </w:rPr>
      </w:pPr>
      <w:r>
        <w:rPr>
          <w:rFonts w:hint="eastAsia" w:ascii="仿宋_GB2312" w:hAnsi="宋体" w:eastAsia="仿宋_GB2312" w:cs="宋体"/>
          <w:sz w:val="32"/>
          <w:szCs w:val="32"/>
          <w:highlight w:val="none"/>
        </w:rPr>
        <w:t xml:space="preserve"> </w:t>
      </w:r>
      <w:r>
        <w:rPr>
          <w:rFonts w:hint="eastAsia" w:ascii="仿宋_GB2312" w:hAnsi="宋体" w:eastAsia="仿宋_GB2312" w:cs="宋体"/>
          <w:sz w:val="32"/>
          <w:szCs w:val="32"/>
          <w:highlight w:val="none"/>
          <w:lang w:val="en-US" w:eastAsia="zh-CN"/>
        </w:rPr>
        <w:t xml:space="preserve">3.事业单位专业技术人才选派项目3.41万元：用于安排通过选派对口支援地区专业技术人才，完成市委组织部和市支援合作办下达的扶贫指标任务支出。</w:t>
      </w:r>
      <w:r>
        <w:rPr>
          <w:rFonts w:hint="eastAsia" w:ascii="仿宋_GB2312" w:hAnsi="宋体" w:eastAsia="仿宋_GB2312" w:cs="宋体"/>
          <w:sz w:val="32"/>
          <w:szCs w:val="32"/>
          <w:highlight w:val="none"/>
        </w:rPr>
      </w:r>
      <w:r>
        <w:rPr>
          <w:rFonts w:hint="eastAsia" w:ascii="仿宋_GB2312" w:hAnsi="宋体" w:eastAsia="仿宋_GB2312" w:cs="宋体"/>
          <w:sz w:val="32"/>
          <w:szCs w:val="32"/>
          <w:highlight w:val="none"/>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（六）重点行政事业性收费情况说明</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仿宋_GB2312" w:hAnsi="宋体" w:eastAsia="仿宋_GB2312" w:cs="宋体"/>
          <w:sz w:val="32"/>
          <w:szCs w:val="32"/>
          <w:highlight w:val="yellow"/>
        </w:rPr>
      </w:pPr>
      <w:r>
        <w:rPr>
          <w:rFonts w:hint="eastAsia" w:ascii="仿宋_GB2312" w:hAnsi="宋体" w:eastAsia="仿宋_GB2312" w:cs="宋体"/>
          <w:sz w:val="32"/>
          <w:szCs w:val="32"/>
        </w:rPr>
        <w:t xml:space="preserve">本部门2024年无重点行政事业性收费。</w:t>
      </w:r>
      <w:r>
        <w:rPr>
          <w:rFonts w:hint="eastAsia" w:ascii="仿宋_GB2312" w:hAnsi="宋体" w:eastAsia="仿宋_GB2312" w:cs="宋体"/>
          <w:sz w:val="32"/>
          <w:szCs w:val="32"/>
          <w:highlight w:val="yellow"/>
        </w:rPr>
      </w:r>
      <w:r>
        <w:rPr>
          <w:rFonts w:hint="eastAsia" w:ascii="仿宋_GB2312" w:hAnsi="宋体" w:eastAsia="仿宋_GB2312" w:cs="宋体"/>
          <w:sz w:val="32"/>
          <w:szCs w:val="32"/>
          <w:highlight w:val="yellow"/>
        </w:rPr>
      </w:r>
    </w:p>
    <w:p>
      <w:pPr>
        <w:pStyle w:val="656"/>
        <w:widowControl w:val="true"/>
        <w:pBdr/>
        <w:spacing w:line="560" w:lineRule="exact"/>
        <w:ind w:firstLine="640"/>
        <w:rPr>
          <w:rFonts w:hint="eastAsia" w:ascii="楷体_GB2312" w:hAnsi="宋体" w:eastAsia="楷体_GB2312" w:cs="宋体"/>
          <w:sz w:val="32"/>
          <w:szCs w:val="32"/>
        </w:rPr>
      </w:pPr>
      <w:r>
        <w:rPr>
          <w:rFonts w:hint="eastAsia" w:ascii="楷体_GB2312" w:hAnsi="宋体" w:eastAsia="楷体_GB2312" w:cs="宋体"/>
          <w:sz w:val="32"/>
          <w:szCs w:val="32"/>
        </w:rPr>
        <w:t xml:space="preserve">（七）国有资产占用情况</w:t>
      </w:r>
      <w:r>
        <w:rPr>
          <w:rFonts w:hint="eastAsia" w:ascii="楷体_GB2312" w:hAnsi="宋体" w:eastAsia="楷体_GB2312" w:cs="宋体"/>
          <w:sz w:val="32"/>
          <w:szCs w:val="32"/>
        </w:rPr>
      </w:r>
      <w:r>
        <w:rPr>
          <w:rFonts w:hint="eastAsia" w:ascii="楷体_GB2312" w:hAnsi="宋体" w:eastAsia="楷体_GB2312" w:cs="宋体"/>
          <w:sz w:val="32"/>
          <w:szCs w:val="32"/>
        </w:rPr>
      </w:r>
    </w:p>
    <w:p>
      <w:pPr>
        <w:pStyle w:val="656"/>
        <w:widowControl w:val="true"/>
        <w:pBdr/>
        <w:spacing w:line="560" w:lineRule="exact"/>
        <w:ind w:firstLine="640"/>
        <w:rPr>
          <w:rFonts w:hint="eastAsia" w:ascii="仿宋_GB2312" w:hAnsi="宋体" w:eastAsia="仿宋_GB2312" w:cs="宋体"/>
          <w:sz w:val="32"/>
          <w:szCs w:val="32"/>
        </w:rPr>
      </w:pPr>
      <w:r>
        <w:rPr>
          <w:rFonts w:hint="eastAsia" w:ascii="仿宋_GB2312" w:hAnsi="宋体" w:eastAsia="仿宋_GB2312" w:cs="宋体"/>
          <w:sz w:val="32"/>
          <w:szCs w:val="32"/>
        </w:rPr>
        <w:t xml:space="preserve">截至2023年底，固定资产总额</w:t>
      </w:r>
      <w:r>
        <w:rPr>
          <w:rFonts w:hint="eastAsia" w:ascii="仿宋_GB2312" w:hAnsi="宋体" w:eastAsia="仿宋_GB2312" w:cs="宋体"/>
          <w:sz w:val="32"/>
          <w:szCs w:val="32"/>
          <w:highlight w:val="none"/>
          <w:lang w:val="en-US" w:eastAsia="zh-CN"/>
        </w:rPr>
        <w:t xml:space="preserve">2,622.88</w:t>
      </w:r>
      <w:r>
        <w:rPr>
          <w:rFonts w:hint="eastAsia" w:ascii="仿宋_GB2312" w:hAnsi="宋体" w:eastAsia="仿宋_GB2312" w:cs="宋体"/>
          <w:sz w:val="32"/>
          <w:szCs w:val="32"/>
        </w:rPr>
        <w:t xml:space="preserve">万元，其中：房屋面积</w:t>
      </w:r>
      <w:r>
        <w:rPr>
          <w:rFonts w:hint="eastAsia" w:ascii="仿宋_GB2312" w:hAnsi="宋体" w:eastAsia="仿宋_GB2312" w:cs="宋体"/>
          <w:sz w:val="32"/>
          <w:szCs w:val="32"/>
          <w:lang w:val="en-US" w:eastAsia="zh-CN"/>
        </w:rPr>
        <w:t xml:space="preserve">0.00</w:t>
      </w:r>
      <w:r>
        <w:rPr>
          <w:rFonts w:hint="eastAsia" w:ascii="仿宋_GB2312" w:hAnsi="宋体" w:eastAsia="仿宋_GB2312" w:cs="宋体"/>
          <w:sz w:val="32"/>
          <w:szCs w:val="32"/>
        </w:rPr>
        <w:t xml:space="preserve">平方米，</w:t>
      </w:r>
      <w:r>
        <w:rPr>
          <w:rFonts w:hint="eastAsia" w:ascii="仿宋_GB2312" w:hAnsi="宋体" w:eastAsia="仿宋_GB2312" w:cs="宋体"/>
          <w:sz w:val="32"/>
          <w:szCs w:val="32"/>
          <w:lang w:val="en-US" w:eastAsia="zh-CN"/>
        </w:rPr>
        <w:t xml:space="preserve">0.00</w:t>
      </w:r>
      <w:r>
        <w:rPr>
          <w:rFonts w:hint="eastAsia" w:ascii="仿宋_GB2312" w:hAnsi="宋体" w:eastAsia="仿宋_GB2312" w:cs="宋体"/>
          <w:sz w:val="32"/>
          <w:szCs w:val="32"/>
        </w:rPr>
        <w:t xml:space="preserve">万元；汽车</w:t>
      </w:r>
      <w:r>
        <w:rPr>
          <w:rFonts w:hint="eastAsia" w:ascii="仿宋_GB2312" w:hAnsi="宋体" w:eastAsia="仿宋_GB2312" w:cs="宋体"/>
          <w:sz w:val="32"/>
          <w:szCs w:val="32"/>
          <w:lang w:val="en-US" w:eastAsia="zh-CN"/>
        </w:rPr>
        <w:t xml:space="preserve">5</w:t>
      </w:r>
      <w:r>
        <w:rPr>
          <w:rFonts w:hint="eastAsia" w:ascii="仿宋_GB2312" w:hAnsi="宋体" w:eastAsia="仿宋_GB2312" w:cs="宋体"/>
          <w:sz w:val="32"/>
          <w:szCs w:val="32"/>
        </w:rPr>
        <w:t xml:space="preserve">辆，</w:t>
      </w:r>
      <w:r>
        <w:rPr>
          <w:rFonts w:hint="eastAsia" w:ascii="仿宋_GB2312" w:hAnsi="宋体" w:eastAsia="仿宋_GB2312" w:cs="宋体"/>
          <w:sz w:val="32"/>
          <w:szCs w:val="32"/>
          <w:highlight w:val="none"/>
          <w:lang w:val="en-US" w:eastAsia="zh-CN"/>
        </w:rPr>
        <w:t xml:space="preserve">83.56</w:t>
      </w:r>
      <w:r>
        <w:rPr>
          <w:rFonts w:hint="eastAsia" w:ascii="仿宋_GB2312" w:hAnsi="宋体" w:eastAsia="仿宋_GB2312" w:cs="宋体"/>
          <w:sz w:val="32"/>
          <w:szCs w:val="32"/>
        </w:rPr>
        <w:t xml:space="preserve">万元；单价50万元以上的设备</w:t>
      </w:r>
      <w:r>
        <w:rPr>
          <w:rFonts w:hint="eastAsia" w:ascii="仿宋_GB2312" w:hAnsi="宋体" w:eastAsia="仿宋_GB2312" w:cs="宋体"/>
          <w:sz w:val="32"/>
          <w:szCs w:val="32"/>
          <w:lang w:val="en-US" w:eastAsia="zh-CN"/>
        </w:rPr>
        <w:t xml:space="preserve">7</w:t>
      </w:r>
      <w:r>
        <w:rPr>
          <w:rFonts w:hint="eastAsia" w:ascii="仿宋_GB2312" w:hAnsi="宋体" w:eastAsia="仿宋_GB2312" w:cs="宋体"/>
          <w:sz w:val="32"/>
          <w:szCs w:val="32"/>
        </w:rPr>
        <w:t xml:space="preserve">台（套），1,001.79万元。</w:t>
      </w:r>
      <w:r>
        <w:rPr>
          <w:rFonts w:hint="eastAsia" w:ascii="仿宋_GB2312" w:hAnsi="宋体" w:eastAsia="仿宋_GB2312" w:cs="宋体"/>
          <w:sz w:val="32"/>
          <w:szCs w:val="32"/>
        </w:rPr>
      </w:r>
      <w:r>
        <w:rPr>
          <w:rFonts w:hint="eastAsia" w:ascii="仿宋_GB2312" w:hAnsi="宋体" w:eastAsia="仿宋_GB2312" w:cs="宋体"/>
          <w:sz w:val="32"/>
          <w:szCs w:val="32"/>
        </w:rPr>
      </w:r>
    </w:p>
    <w:p>
      <w:pPr>
        <w:pStyle w:val="656"/>
        <w:pBdr/>
        <w:spacing w:line="560" w:lineRule="exact"/>
        <w:ind w:firstLine="630"/>
        <w:rPr>
          <w:rFonts w:hint="eastAsia" w:ascii="楷体_GB2312" w:eastAsia="楷体_GB2312"/>
          <w:sz w:val="32"/>
          <w:szCs w:val="32"/>
        </w:rPr>
      </w:pPr>
      <w:r>
        <w:rPr>
          <w:rFonts w:hint="eastAsia" w:ascii="楷体_GB2312" w:hAnsi="宋体" w:eastAsia="楷体_GB2312" w:cs="宋体"/>
          <w:sz w:val="32"/>
          <w:szCs w:val="32"/>
        </w:rPr>
        <w:t xml:space="preserve">（八）</w:t>
      </w:r>
      <w:r>
        <w:rPr>
          <w:rFonts w:hint="eastAsia" w:ascii="楷体_GB2312" w:eastAsia="楷体_GB2312"/>
          <w:sz w:val="32"/>
          <w:szCs w:val="32"/>
        </w:rPr>
        <w:t xml:space="preserve">专业名词解释</w:t>
      </w:r>
      <w:r>
        <w:rPr>
          <w:rFonts w:hint="eastAsia" w:ascii="楷体_GB2312" w:eastAsia="楷体_GB2312"/>
          <w:sz w:val="32"/>
          <w:szCs w:val="32"/>
        </w:rPr>
      </w:r>
      <w:r>
        <w:rPr>
          <w:rFonts w:hint="eastAsia" w:ascii="楷体_GB2312" w:eastAsia="楷体_GB2312"/>
          <w:sz w:val="32"/>
          <w:szCs w:val="32"/>
        </w:rPr>
      </w:r>
    </w:p>
    <w:p>
      <w:pPr>
        <w:pStyle w:val="656"/>
        <w:pBdr/>
        <w:spacing w:line="560" w:lineRule="exact"/>
        <w:ind w:firstLine="640"/>
        <w:rPr>
          <w:rFonts w:hint="eastAsia" w:ascii="仿宋_GB2312" w:eastAsia="仿宋_GB2312"/>
          <w:sz w:val="32"/>
          <w:szCs w:val="32"/>
        </w:rPr>
      </w:pPr>
      <w:r>
        <w:rPr>
          <w:rFonts w:hint="eastAsia" w:ascii="仿宋_GB2312" w:eastAsia="仿宋_GB2312"/>
          <w:sz w:val="32"/>
          <w:szCs w:val="32"/>
        </w:rPr>
        <w:t xml:space="preserve">1.基本支出：指为保障机构正常运转、完成日常工作任务而发生的人员支出和公用支出。</w:t>
      </w:r>
      <w:r>
        <w:rPr>
          <w:rFonts w:hint="eastAsia" w:ascii="仿宋_GB2312" w:eastAsia="仿宋_GB2312"/>
          <w:sz w:val="32"/>
          <w:szCs w:val="32"/>
        </w:rPr>
      </w:r>
      <w:r>
        <w:rPr>
          <w:rFonts w:hint="eastAsia" w:ascii="仿宋_GB2312" w:eastAsia="仿宋_GB2312"/>
          <w:sz w:val="32"/>
          <w:szCs w:val="32"/>
        </w:rPr>
      </w:r>
    </w:p>
    <w:p>
      <w:pPr>
        <w:pStyle w:val="656"/>
        <w:pBdr/>
        <w:spacing w:line="560" w:lineRule="exact"/>
        <w:ind w:firstLine="640"/>
        <w:rPr>
          <w:rFonts w:hint="eastAsia" w:ascii="仿宋_GB2312" w:eastAsia="仿宋_GB2312"/>
          <w:sz w:val="32"/>
          <w:szCs w:val="32"/>
        </w:rPr>
      </w:pPr>
      <w:r>
        <w:rPr>
          <w:rFonts w:hint="eastAsia" w:ascii="仿宋_GB2312" w:eastAsia="仿宋_GB2312"/>
          <w:sz w:val="32"/>
          <w:szCs w:val="32"/>
        </w:rPr>
        <w:t xml:space="preserve">2.项目支出：指在基本支出之外为完成特定行政任务或事业发展目标所发生的支出。</w:t>
      </w:r>
      <w:r>
        <w:rPr>
          <w:rFonts w:hint="eastAsia" w:ascii="仿宋_GB2312" w:eastAsia="仿宋_GB2312"/>
          <w:sz w:val="32"/>
          <w:szCs w:val="32"/>
        </w:rPr>
      </w:r>
      <w:r>
        <w:rPr>
          <w:rFonts w:hint="eastAsia" w:ascii="仿宋_GB2312" w:eastAsia="仿宋_GB2312"/>
          <w:sz w:val="32"/>
          <w:szCs w:val="32"/>
        </w:rPr>
      </w:r>
    </w:p>
    <w:p>
      <w:pPr>
        <w:pStyle w:val="656"/>
        <w:pBdr/>
        <w:spacing w:line="560" w:lineRule="exact"/>
        <w:ind w:firstLine="640"/>
        <w:rPr>
          <w:rFonts w:hint="eastAsia" w:ascii="仿宋_GB2312" w:eastAsia="仿宋_GB2312"/>
          <w:sz w:val="32"/>
          <w:szCs w:val="32"/>
        </w:rPr>
      </w:pPr>
      <w:r>
        <w:rPr>
          <w:rFonts w:hint="eastAsia" w:ascii="仿宋_GB2312" w:eastAsia="仿宋_GB2312"/>
          <w:sz w:val="32"/>
          <w:szCs w:val="32"/>
        </w:rPr>
        <w:t xml:space="preserve">3.“三公”经费：是指单位通过一般公共预算财政拨款资金安排的因公出国（境）费、公务用车购置及运行维护费和公务接待费。其中，因公出国（境）费指单位公务出国（境）的国际旅费、国外城市间交通费、住宿费、伙食费、培训费、公杂费等支出；公务用车购置及运行维护费指单位公务用车车辆购置支出（含车辆购置税）及公务用车燃料费、维修费、过路过桥费、保险费等支出；公务接待费指单位按规定开支的各类公务接待（含外宾接待）支出。</w:t>
      </w:r>
      <w:r>
        <w:rPr>
          <w:rFonts w:hint="eastAsia" w:ascii="仿宋_GB2312" w:eastAsia="仿宋_GB2312"/>
          <w:sz w:val="32"/>
          <w:szCs w:val="32"/>
        </w:rPr>
      </w:r>
      <w:r>
        <w:rPr>
          <w:rFonts w:hint="eastAsia" w:ascii="仿宋_GB2312" w:eastAsia="仿宋_GB2312"/>
          <w:sz w:val="32"/>
          <w:szCs w:val="32"/>
        </w:rPr>
      </w:r>
    </w:p>
    <w:p>
      <w:pPr>
        <w:pStyle w:val="656"/>
        <w:pBdr/>
        <w:spacing w:line="560" w:lineRule="exact"/>
        <w:ind w:firstLine="640"/>
        <w:rPr>
          <w:rFonts w:hint="eastAsia" w:ascii="仿宋_GB2312" w:eastAsia="仿宋_GB2312"/>
          <w:sz w:val="32"/>
          <w:szCs w:val="32"/>
        </w:rPr>
      </w:pPr>
      <w:r>
        <w:rPr>
          <w:rFonts w:hint="eastAsia" w:ascii="仿宋_GB2312" w:eastAsia="仿宋_GB2312"/>
          <w:sz w:val="32"/>
          <w:szCs w:val="32"/>
        </w:rPr>
        <w:t xml:space="preserve">4.机关运行经费：指为本部门行政单位（含参照公务员法管理事业单位）使用一般公共预算财政拨款安排的基本支出中的日常公用经费。</w:t>
      </w:r>
      <w:r>
        <w:rPr>
          <w:rFonts w:hint="eastAsia" w:ascii="仿宋_GB2312" w:hAnsi="宋体" w:eastAsia="仿宋_GB2312" w:cs="宋体"/>
          <w:sz w:val="32"/>
          <w:szCs w:val="32"/>
        </w:rPr>
        <w:t xml:space="preserve">包括办公费、邮电费、差旅费、会议费、福利费、维修费、办公用房水电费、办公用房取暖费、办公用房物业管理费、公务用车运行维护费以及其他费用。</w:t>
      </w: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rPr>
      </w:r>
      <w:r>
        <w:rPr>
          <w:rFonts w:hint="eastAsia" w:ascii="仿宋_GB2312" w:eastAsia="仿宋_GB2312"/>
          <w:sz w:val="32"/>
          <w:szCs w:val="32"/>
        </w:rPr>
      </w:r>
    </w:p>
    <w:p>
      <w:pPr>
        <w:pStyle w:val="656"/>
        <w:pBdr/>
        <w:spacing w:line="500" w:lineRule="exact"/>
        <w:ind w:firstLine="480"/>
        <w:rPr>
          <w:rFonts w:hint="eastAsia"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5.公益性就业岗位：指面向社区居民生活服务、机关企事业单位后勤保障和社区公共管理服务的就业岗位，以及清洁、绿化、社区保安、公共设施养护等就业岗位。凡由政府投资兴办的公益性岗位，要优先安置大龄就业困难人员，街道、社区要对大龄就业困难人员给予重点帮助。</w:t>
      </w:r>
      <w:r>
        <w:rPr>
          <w:rFonts w:hint="eastAsia" w:ascii="仿宋_GB2312" w:hAnsi="宋体" w:eastAsia="仿宋_GB2312" w:cs="宋体"/>
          <w:color w:val="000000"/>
          <w:sz w:val="32"/>
          <w:szCs w:val="32"/>
        </w:rPr>
      </w:r>
      <w:r>
        <w:rPr>
          <w:rFonts w:hint="eastAsia" w:ascii="仿宋_GB2312" w:hAnsi="宋体" w:eastAsia="仿宋_GB2312" w:cs="宋体"/>
          <w:color w:val="000000"/>
          <w:sz w:val="32"/>
          <w:szCs w:val="32"/>
        </w:rPr>
      </w:r>
    </w:p>
    <w:p>
      <w:pPr>
        <w:pStyle w:val="656"/>
        <w:pBdr/>
        <w:spacing w:line="500" w:lineRule="exact"/>
        <w:ind w:firstLine="480"/>
        <w:rPr>
          <w:rFonts w:hint="eastAsia" w:ascii="仿宋_GB2312" w:hAnsi="宋体" w:eastAsia="仿宋_GB2312" w:cs="宋体"/>
          <w:color w:val="ff0000"/>
          <w:sz w:val="32"/>
          <w:szCs w:val="32"/>
        </w:rPr>
      </w:pPr>
      <w:r>
        <w:rPr>
          <w:rFonts w:hint="eastAsia" w:ascii="仿宋_GB2312" w:hAnsi="宋体" w:eastAsia="仿宋_GB2312" w:cs="宋体"/>
          <w:color w:val="ff0000"/>
          <w:sz w:val="32"/>
          <w:szCs w:val="32"/>
        </w:rPr>
      </w:r>
      <w:r>
        <w:rPr>
          <w:rFonts w:hint="eastAsia" w:ascii="仿宋_GB2312" w:hAnsi="宋体" w:eastAsia="仿宋_GB2312" w:cs="宋体"/>
          <w:color w:val="ff0000"/>
          <w:sz w:val="32"/>
          <w:szCs w:val="32"/>
        </w:rPr>
      </w:r>
    </w:p>
    <w:p>
      <w:pPr>
        <w:pStyle w:val="656"/>
        <w:pBdr/>
        <w:spacing w:line="500" w:lineRule="exact"/>
        <w:ind/>
        <w:jc w:val="center"/>
        <w:rPr>
          <w:rFonts w:ascii="华文中宋" w:hAnsi="华文中宋" w:eastAsia="华文中宋"/>
          <w:b/>
          <w:sz w:val="36"/>
          <w:szCs w:val="36"/>
        </w:rPr>
      </w:pPr>
      <w:r>
        <w:rPr>
          <w:rFonts w:hint="eastAsia" w:ascii="华文中宋" w:hAnsi="华文中宋" w:eastAsia="华文中宋"/>
          <w:b/>
          <w:sz w:val="36"/>
          <w:szCs w:val="36"/>
        </w:rPr>
        <w:t xml:space="preserve">　第二部分  2024年度门头沟区</w:t>
      </w:r>
      <w:r>
        <w:rPr>
          <w:rFonts w:hint="eastAsia" w:ascii="宋体" w:hAnsi="宋体" w:cs="宋体"/>
          <w:b/>
          <w:sz w:val="36"/>
          <w:szCs w:val="36"/>
        </w:rPr>
        <w:t xml:space="preserve">人力资源和社会保障局</w:t>
      </w:r>
      <w:r>
        <w:rPr>
          <w:rFonts w:hint="eastAsia" w:ascii="华文中宋" w:hAnsi="华文中宋" w:eastAsia="华文中宋"/>
          <w:b/>
          <w:sz w:val="36"/>
          <w:szCs w:val="36"/>
        </w:rPr>
        <w:t xml:space="preserve">部门预算报表</w:t>
      </w:r>
      <w:r>
        <w:rPr>
          <w:rFonts w:ascii="华文中宋" w:hAnsi="华文中宋" w:eastAsia="华文中宋"/>
          <w:b/>
          <w:sz w:val="36"/>
          <w:szCs w:val="36"/>
        </w:rPr>
      </w:r>
      <w:r>
        <w:rPr>
          <w:rFonts w:ascii="华文中宋" w:hAnsi="华文中宋" w:eastAsia="华文中宋"/>
          <w:b/>
          <w:sz w:val="36"/>
          <w:szCs w:val="36"/>
        </w:rPr>
      </w:r>
    </w:p>
    <w:p>
      <w:pPr>
        <w:pStyle w:val="656"/>
        <w:pBdr/>
        <w:spacing w:line="500" w:lineRule="exact"/>
        <w:ind/>
        <w:jc w:val="center"/>
        <w:rPr>
          <w:rFonts w:ascii="仿宋_GB2312" w:eastAsia="仿宋_GB2312"/>
          <w:sz w:val="28"/>
          <w:szCs w:val="32"/>
        </w:rPr>
      </w:pPr>
      <w:r>
        <w:rPr>
          <w:rFonts w:ascii="仿宋_GB2312" w:eastAsia="仿宋_GB2312"/>
          <w:sz w:val="28"/>
          <w:szCs w:val="32"/>
        </w:rPr>
      </w:r>
      <w:r>
        <w:rPr>
          <w:rFonts w:ascii="仿宋_GB2312" w:eastAsia="仿宋_GB2312"/>
          <w:sz w:val="28"/>
          <w:szCs w:val="32"/>
        </w:rPr>
      </w:r>
    </w:p>
    <w:p>
      <w:pPr>
        <w:pStyle w:val="656"/>
        <w:pBdr/>
        <w:spacing w:line="500" w:lineRule="exact"/>
        <w:ind w:firstLine="560"/>
        <w:rPr>
          <w:rFonts w:hint="eastAsia" w:ascii="仿宋_GB2312" w:eastAsia="仿宋_GB2312"/>
          <w:sz w:val="28"/>
          <w:szCs w:val="32"/>
        </w:rPr>
      </w:pPr>
      <w:r>
        <w:rPr>
          <w:rFonts w:hint="eastAsia" w:ascii="仿宋_GB2312" w:eastAsia="仿宋_GB2312"/>
          <w:sz w:val="28"/>
          <w:szCs w:val="32"/>
        </w:rPr>
        <w:t xml:space="preserve">附件：2024年度门头沟区人力资源和社会保障局</w:t>
      </w:r>
      <w:r>
        <w:rPr>
          <w:rFonts w:ascii="仿宋_GB2312" w:eastAsia="仿宋_GB2312"/>
          <w:sz w:val="28"/>
          <w:szCs w:val="32"/>
        </w:rPr>
        <w:t xml:space="preserve">部门</w:t>
      </w:r>
      <w:bookmarkStart w:id="0" w:name="_Hlt61896700"/>
      <w:r>
        <w:rPr>
          <w:rFonts w:hint="eastAsia" w:ascii="仿宋_GB2312" w:eastAsia="仿宋_GB2312"/>
          <w:sz w:val="28"/>
          <w:szCs w:val="32"/>
        </w:rPr>
        <w:t xml:space="preserve">预</w:t>
      </w:r>
      <w:bookmarkEnd w:id="0"/>
      <w:r>
        <w:rPr>
          <w:rFonts w:hint="eastAsia" w:ascii="仿宋_GB2312" w:eastAsia="仿宋_GB2312"/>
          <w:sz w:val="28"/>
          <w:szCs w:val="32"/>
        </w:rPr>
        <w:t xml:space="preserve">算报表</w:t>
      </w:r>
      <w:r>
        <w:rPr>
          <w:rFonts w:hint="eastAsia" w:ascii="仿宋_GB2312" w:eastAsia="仿宋_GB2312"/>
          <w:sz w:val="28"/>
          <w:szCs w:val="32"/>
        </w:rPr>
      </w:r>
    </w:p>
    <w:sectPr>
      <w:footerReference w:type="default" r:id="rId9"/>
      <w:footerReference w:type="even" r:id="rId10"/>
      <w:footnotePr/>
      <w:endnotePr/>
      <w:type w:val="nextPage"/>
      <w:pgSz w:h="16838" w:orient="landscape" w:w="11906"/>
      <w:pgMar w:top="1440" w:right="1800" w:bottom="1440" w:left="1800" w:header="851" w:footer="992" w:gutter="0"/>
      <w:cols w:num="1" w:sep="0" w:space="1701"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r>
        <w:separator/>
      </w:r>
      <w:r/>
    </w:p>
  </w:endnote>
  <w:endnote w:type="continuationSeparator" w:id="0">
    <w:p>
      <w:pPr>
        <w:pBdr/>
        <w:spacing w:after="0" w:line="240" w:lineRule="auto"/>
        <w:ind/>
        <w:rPr/>
      </w:pPr>
      <w: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楷体_GB2312">
    <w:panose1 w:val="02010609060101010101"/>
  </w:font>
  <w:font w:name="仿宋_GB2312">
    <w:panose1 w:val="02010609060101010101"/>
  </w:font>
  <w:font w:name="黑体">
    <w:panose1 w:val="02010609060101010101"/>
  </w:font>
  <w:font w:name="Symbol">
    <w:panose1 w:val="05050102010706020507"/>
  </w:font>
  <w:font w:name="Wingdings">
    <w:panose1 w:val="05000000000000000000"/>
  </w:font>
  <w:font w:name="Arial">
    <w:panose1 w:val="020B0604020202020204"/>
  </w:font>
  <w:font w:name="Calibri">
    <w:panose1 w:val="020F0502020204030204"/>
  </w:font>
  <w:font w:name="等线">
    <w:panose1 w:val="020B0604020202020204"/>
  </w:font>
  <w:font w:name="宋体">
    <w:panose1 w:val="02010600030101010101"/>
  </w:font>
  <w:font w:name="华文中宋">
    <w:panose1 w:val="02010600030101010101"/>
  </w:font>
  <w:font w:name="Courier New">
    <w:panose1 w:val="020703090202050204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660"/>
      <w:framePr w:hAnchor="margin" w:vAnchor="text" w:wrap="around" w:xAlign="right" w:y="1"/>
      <w:pBdr/>
      <w:tabs>
        <w:tab w:val="center" w:leader="none" w:pos="4153"/>
        <w:tab w:val="right" w:leader="none" w:pos="8306"/>
      </w:tabs>
      <w:spacing/>
      <w:ind/>
      <w:rPr>
        <w:rStyle w:val="664"/>
      </w:rPr>
    </w:pPr>
    <w:r>
      <w:rPr>
        <w:rStyle w:val="664"/>
      </w:rPr>
      <w:fldChar w:fldCharType="begin"/>
    </w:r>
    <w:r>
      <w:rPr>
        <w:rStyle w:val="664"/>
      </w:rPr>
      <w:instrText xml:space="preserve">PAGE  </w:instrText>
    </w:r>
    <w:r>
      <w:rPr>
        <w:rStyle w:val="664"/>
      </w:rPr>
      <w:fldChar w:fldCharType="separate"/>
    </w:r>
    <w:r>
      <w:rPr>
        <w:rStyle w:val="664"/>
      </w:rPr>
      <w:t xml:space="preserve">6</w:t>
    </w:r>
    <w:r>
      <w:rPr>
        <w:rStyle w:val="664"/>
      </w:rPr>
      <w:fldChar w:fldCharType="end"/>
    </w:r>
    <w:r>
      <w:rPr>
        <w:rStyle w:val="664"/>
      </w:rPr>
    </w:r>
    <w:r>
      <w:rPr>
        <w:rStyle w:val="664"/>
      </w:rPr>
    </w:r>
  </w:p>
  <w:p>
    <w:pPr>
      <w:pStyle w:val="660"/>
      <w:pBdr/>
      <w:tabs>
        <w:tab w:val="center" w:leader="none" w:pos="4153"/>
        <w:tab w:val="right" w:leader="none" w:pos="8306"/>
      </w:tabs>
      <w:spacing/>
      <w:ind w:right="360"/>
      <w:rPr/>
    </w:pPr>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660"/>
      <w:framePr w:hAnchor="margin" w:vAnchor="text" w:wrap="around" w:xAlign="right" w:y="1"/>
      <w:pBdr/>
      <w:tabs>
        <w:tab w:val="center" w:leader="none" w:pos="4153"/>
        <w:tab w:val="right" w:leader="none" w:pos="8306"/>
      </w:tabs>
      <w:spacing/>
      <w:ind/>
      <w:rPr>
        <w:rStyle w:val="664"/>
      </w:rPr>
    </w:pPr>
    <w:r>
      <w:rPr>
        <w:rStyle w:val="664"/>
      </w:rPr>
      <w:fldChar w:fldCharType="begin"/>
    </w:r>
    <w:r>
      <w:rPr>
        <w:rStyle w:val="664"/>
      </w:rPr>
      <w:instrText xml:space="preserve">PAGE  </w:instrText>
    </w:r>
    <w:r>
      <w:rPr>
        <w:rStyle w:val="664"/>
      </w:rPr>
      <w:fldChar w:fldCharType="separate"/>
    </w:r>
    <w:r>
      <w:rPr>
        <w:rStyle w:val="664"/>
      </w:rPr>
      <w:t xml:space="preserve">1</w:t>
    </w:r>
    <w:r>
      <w:rPr>
        <w:rStyle w:val="664"/>
      </w:rPr>
      <w:fldChar w:fldCharType="end"/>
    </w:r>
    <w:r>
      <w:rPr>
        <w:rStyle w:val="664"/>
      </w:rPr>
    </w:r>
    <w:r>
      <w:rPr>
        <w:rStyle w:val="664"/>
      </w:rPr>
    </w:r>
  </w:p>
  <w:p>
    <w:pPr>
      <w:pStyle w:val="660"/>
      <w:pBdr/>
      <w:tabs>
        <w:tab w:val="center" w:leader="none" w:pos="4153"/>
        <w:tab w:val="right" w:leader="none" w:pos="8306"/>
      </w:tabs>
      <w:spacing/>
      <w:ind w:right="360"/>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after="0" w:line="240" w:lineRule="auto"/>
        <w:ind/>
        <w:rPr/>
      </w:pPr>
      <w:r/>
      <w:r>
        <w:separator/>
      </w:r>
      <w:r/>
    </w:p>
  </w:footnote>
  <w:footnote w:type="continuationSeparator" w:id="0">
    <w:p>
      <w:pPr>
        <w:pBdr/>
        <w:spacing w:after="0" w:line="240" w:lineRule="auto"/>
        <w:ind/>
        <w:rPr/>
      </w:pPr>
      <w:r/>
      <w:r>
        <w:continuationSeparator/>
      </w: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1）"/>
      <w:numFmt w:val="chineseCounting"/>
      <w:pPr>
        <w:pBdr/>
        <w:spacing/>
        <w:ind/>
      </w:pPr>
      <w:rPr>
        <w:rFonts w:hint="eastAsia"/>
      </w:rPr>
      <w:start w:val="3"/>
      <w:suff w:val="nothing"/>
    </w:lvl>
    <w:lvl w:ilvl="1">
      <w:isLgl w:val="false"/>
      <w:lvlJc w:val="left"/>
      <w:lvlText w:val="o"/>
      <w:numFmt w:val="bullet"/>
      <w:pPr>
        <w:pBdr/>
        <w:spacing/>
        <w:ind w:hanging="360" w:left="1440"/>
      </w:pPr>
      <w:rPr>
        <w:rFonts w:hint="default" w:ascii="Courier New" w:hAnsi="Courier New" w:eastAsia="Courier New" w:cs="Courier New"/>
      </w:rPr>
      <w:start w:val="1"/>
      <w:suff w:val="space"/>
    </w:lvl>
    <w:lvl w:ilvl="2">
      <w:isLgl w:val="false"/>
      <w:lvlJc w:val="left"/>
      <w:lvlText w:val="§"/>
      <w:numFmt w:val="bullet"/>
      <w:pPr>
        <w:pBdr/>
        <w:spacing/>
        <w:ind w:hanging="360" w:left="2160"/>
      </w:pPr>
      <w:rPr>
        <w:rFonts w:hint="default" w:ascii="Wingdings" w:hAnsi="Wingdings" w:eastAsia="Wingdings" w:cs="Wingdings"/>
      </w:rPr>
      <w:start w:val="1"/>
      <w:suff w:val="space"/>
    </w:lvl>
    <w:lvl w:ilvl="3">
      <w:isLgl w:val="false"/>
      <w:lvlJc w:val="left"/>
      <w:lvlText w:val="·"/>
      <w:numFmt w:val="bullet"/>
      <w:pPr>
        <w:pBdr/>
        <w:spacing/>
        <w:ind w:hanging="360" w:left="2880"/>
      </w:pPr>
      <w:rPr>
        <w:rFonts w:hint="default" w:ascii="Symbol" w:hAnsi="Symbol" w:eastAsia="Symbol" w:cs="Symbol"/>
      </w:rPr>
      <w:start w:val="1"/>
      <w:suff w:val="space"/>
    </w:lvl>
    <w:lvl w:ilvl="4">
      <w:isLgl w:val="false"/>
      <w:lvlJc w:val="left"/>
      <w:lvlText w:val="o"/>
      <w:numFmt w:val="bullet"/>
      <w:pPr>
        <w:pBdr/>
        <w:spacing/>
        <w:ind w:hanging="360" w:left="3600"/>
      </w:pPr>
      <w:rPr>
        <w:rFonts w:hint="default" w:ascii="Courier New" w:hAnsi="Courier New" w:eastAsia="Courier New" w:cs="Courier New"/>
      </w:rPr>
      <w:start w:val="1"/>
      <w:suff w:val="space"/>
    </w:lvl>
    <w:lvl w:ilvl="5">
      <w:isLgl w:val="false"/>
      <w:lvlJc w:val="left"/>
      <w:lvlText w:val="§"/>
      <w:numFmt w:val="bullet"/>
      <w:pPr>
        <w:pBdr/>
        <w:spacing/>
        <w:ind w:hanging="360" w:left="4320"/>
      </w:pPr>
      <w:rPr>
        <w:rFonts w:hint="default" w:ascii="Wingdings" w:hAnsi="Wingdings" w:eastAsia="Wingdings" w:cs="Wingdings"/>
      </w:rPr>
      <w:start w:val="1"/>
      <w:suff w:val="space"/>
    </w:lvl>
    <w:lvl w:ilvl="6">
      <w:isLgl w:val="false"/>
      <w:lvlJc w:val="left"/>
      <w:lvlText w:val="·"/>
      <w:numFmt w:val="bullet"/>
      <w:pPr>
        <w:pBdr/>
        <w:spacing/>
        <w:ind w:hanging="360" w:left="5040"/>
      </w:pPr>
      <w:rPr>
        <w:rFonts w:hint="default" w:ascii="Symbol" w:hAnsi="Symbol" w:eastAsia="Symbol" w:cs="Symbol"/>
      </w:rPr>
      <w:start w:val="1"/>
      <w:suff w:val="space"/>
    </w:lvl>
    <w:lvl w:ilvl="7">
      <w:isLgl w:val="false"/>
      <w:lvlJc w:val="left"/>
      <w:lvlText w:val="o"/>
      <w:numFmt w:val="bullet"/>
      <w:pPr>
        <w:pBdr/>
        <w:spacing/>
        <w:ind w:hanging="360" w:left="5760"/>
      </w:pPr>
      <w:rPr>
        <w:rFonts w:hint="default" w:ascii="Courier New" w:hAnsi="Courier New" w:eastAsia="Courier New" w:cs="Courier New"/>
      </w:rPr>
      <w:start w:val="1"/>
      <w:suff w:val="space"/>
    </w:lvl>
    <w:lvl w:ilvl="8">
      <w:isLgl w:val="false"/>
      <w:lvlJc w:val="left"/>
      <w:lvlText w:val="§"/>
      <w:numFmt w:val="bullet"/>
      <w:pPr>
        <w:pBdr/>
        <w:spacing/>
        <w:ind w:hanging="360" w:left="6480"/>
      </w:pPr>
      <w:rPr>
        <w:rFonts w:hint="default" w:ascii="Wingdings" w:hAnsi="Wingdings" w:eastAsia="Wingdings" w:cs="Wingdings"/>
      </w:rPr>
      <w:start w:val="1"/>
      <w:suff w:val="space"/>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420"/>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balanceSingleByteDoubleByteWidth w:val="true"/>
    <w:ulTrailSpace w:val="true"/>
    <w:doNotExpandShiftReturn w:val="true"/>
    <w:splitPgBreakAndParaMark w:val="tru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Times New Roman" w:hAnsi="Times New Roman" w:eastAsia="宋体" w:cs="Times New Roma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styleId="13">
    <w:name w:val="Heading 1"/>
    <w:basedOn w:val="656"/>
    <w:next w:val="656"/>
    <w:link w:val="14"/>
    <w:uiPriority w:val="9"/>
    <w:qFormat/>
    <w:pPr>
      <w:keepNext w:val="true"/>
      <w:keepLines w:val="true"/>
      <w:pBdr/>
      <w:spacing w:after="200" w:before="480"/>
      <w:ind/>
      <w:outlineLvl w:val="0"/>
    </w:pPr>
    <w:rPr>
      <w:rFonts w:ascii="等线" w:hAnsi="等线" w:eastAsia="等线" w:cs="等线"/>
      <w:sz w:val="40"/>
      <w:szCs w:val="40"/>
    </w:rPr>
  </w:style>
  <w:style w:type="character" w:styleId="14">
    <w:name w:val="Heading 1 Char"/>
    <w:basedOn w:val="11"/>
    <w:link w:val="13"/>
    <w:uiPriority w:val="9"/>
    <w:pPr>
      <w:pBdr/>
      <w:spacing/>
      <w:ind/>
    </w:pPr>
    <w:rPr>
      <w:rFonts w:ascii="等线" w:hAnsi="等线" w:eastAsia="等线" w:cs="等线"/>
      <w:sz w:val="40"/>
      <w:szCs w:val="40"/>
    </w:rPr>
  </w:style>
  <w:style w:type="paragraph" w:styleId="15">
    <w:name w:val="Heading 2"/>
    <w:basedOn w:val="656"/>
    <w:next w:val="656"/>
    <w:link w:val="16"/>
    <w:uiPriority w:val="9"/>
    <w:unhideWhenUsed/>
    <w:qFormat/>
    <w:pPr>
      <w:keepNext w:val="true"/>
      <w:keepLines w:val="true"/>
      <w:pBdr/>
      <w:spacing w:after="200" w:before="360"/>
      <w:ind/>
      <w:outlineLvl w:val="1"/>
    </w:pPr>
    <w:rPr>
      <w:rFonts w:ascii="等线" w:hAnsi="等线" w:eastAsia="等线" w:cs="等线"/>
      <w:sz w:val="34"/>
    </w:rPr>
  </w:style>
  <w:style w:type="character" w:styleId="16">
    <w:name w:val="Heading 2 Char"/>
    <w:basedOn w:val="11"/>
    <w:link w:val="15"/>
    <w:uiPriority w:val="9"/>
    <w:pPr>
      <w:pBdr/>
      <w:spacing/>
      <w:ind/>
    </w:pPr>
    <w:rPr>
      <w:rFonts w:ascii="等线" w:hAnsi="等线" w:eastAsia="等线" w:cs="等线"/>
      <w:sz w:val="34"/>
    </w:rPr>
  </w:style>
  <w:style w:type="paragraph" w:styleId="17">
    <w:name w:val="Heading 3"/>
    <w:basedOn w:val="656"/>
    <w:next w:val="656"/>
    <w:link w:val="18"/>
    <w:uiPriority w:val="9"/>
    <w:unhideWhenUsed/>
    <w:qFormat/>
    <w:pPr>
      <w:keepNext w:val="true"/>
      <w:keepLines w:val="true"/>
      <w:pBdr/>
      <w:spacing w:after="200" w:before="320"/>
      <w:ind/>
      <w:outlineLvl w:val="2"/>
    </w:pPr>
    <w:rPr>
      <w:rFonts w:ascii="等线" w:hAnsi="等线" w:eastAsia="等线" w:cs="等线"/>
      <w:sz w:val="30"/>
      <w:szCs w:val="30"/>
    </w:rPr>
  </w:style>
  <w:style w:type="character" w:styleId="18">
    <w:name w:val="Heading 3 Char"/>
    <w:basedOn w:val="11"/>
    <w:link w:val="17"/>
    <w:uiPriority w:val="9"/>
    <w:pPr>
      <w:pBdr/>
      <w:spacing/>
      <w:ind/>
    </w:pPr>
    <w:rPr>
      <w:rFonts w:ascii="等线" w:hAnsi="等线" w:eastAsia="等线" w:cs="等线"/>
      <w:sz w:val="30"/>
      <w:szCs w:val="30"/>
    </w:rPr>
  </w:style>
  <w:style w:type="paragraph" w:styleId="19">
    <w:name w:val="Heading 4"/>
    <w:basedOn w:val="656"/>
    <w:next w:val="656"/>
    <w:link w:val="20"/>
    <w:uiPriority w:val="9"/>
    <w:unhideWhenUsed/>
    <w:qFormat/>
    <w:pPr>
      <w:keepNext w:val="true"/>
      <w:keepLines w:val="true"/>
      <w:pBdr/>
      <w:spacing w:after="200" w:before="320"/>
      <w:ind/>
      <w:outlineLvl w:val="3"/>
    </w:pPr>
    <w:rPr>
      <w:rFonts w:ascii="等线" w:hAnsi="等线" w:eastAsia="等线" w:cs="等线"/>
      <w:b/>
      <w:bCs/>
      <w:sz w:val="26"/>
      <w:szCs w:val="26"/>
    </w:rPr>
  </w:style>
  <w:style w:type="character" w:styleId="20">
    <w:name w:val="Heading 4 Char"/>
    <w:basedOn w:val="11"/>
    <w:link w:val="19"/>
    <w:uiPriority w:val="9"/>
    <w:pPr>
      <w:pBdr/>
      <w:spacing/>
      <w:ind/>
    </w:pPr>
    <w:rPr>
      <w:rFonts w:ascii="等线" w:hAnsi="等线" w:eastAsia="等线" w:cs="等线"/>
      <w:b/>
      <w:bCs/>
      <w:sz w:val="26"/>
      <w:szCs w:val="26"/>
    </w:rPr>
  </w:style>
  <w:style w:type="paragraph" w:styleId="21">
    <w:name w:val="Heading 5"/>
    <w:basedOn w:val="656"/>
    <w:next w:val="656"/>
    <w:link w:val="22"/>
    <w:uiPriority w:val="9"/>
    <w:unhideWhenUsed/>
    <w:qFormat/>
    <w:pPr>
      <w:keepNext w:val="true"/>
      <w:keepLines w:val="true"/>
      <w:pBdr/>
      <w:spacing w:after="200" w:before="320"/>
      <w:ind/>
      <w:outlineLvl w:val="4"/>
    </w:pPr>
    <w:rPr>
      <w:rFonts w:ascii="等线" w:hAnsi="等线" w:eastAsia="等线" w:cs="等线"/>
      <w:b/>
      <w:bCs/>
      <w:sz w:val="24"/>
      <w:szCs w:val="24"/>
    </w:rPr>
  </w:style>
  <w:style w:type="character" w:styleId="22">
    <w:name w:val="Heading 5 Char"/>
    <w:basedOn w:val="11"/>
    <w:link w:val="21"/>
    <w:uiPriority w:val="9"/>
    <w:pPr>
      <w:pBdr/>
      <w:spacing/>
      <w:ind/>
    </w:pPr>
    <w:rPr>
      <w:rFonts w:ascii="等线" w:hAnsi="等线" w:eastAsia="等线" w:cs="等线"/>
      <w:b/>
      <w:bCs/>
      <w:sz w:val="24"/>
      <w:szCs w:val="24"/>
    </w:rPr>
  </w:style>
  <w:style w:type="paragraph" w:styleId="23">
    <w:name w:val="Heading 6"/>
    <w:basedOn w:val="656"/>
    <w:next w:val="656"/>
    <w:link w:val="24"/>
    <w:uiPriority w:val="9"/>
    <w:unhideWhenUsed/>
    <w:qFormat/>
    <w:pPr>
      <w:keepNext w:val="true"/>
      <w:keepLines w:val="true"/>
      <w:pBdr/>
      <w:spacing w:after="200" w:before="320"/>
      <w:ind/>
      <w:outlineLvl w:val="5"/>
    </w:pPr>
    <w:rPr>
      <w:rFonts w:ascii="等线" w:hAnsi="等线" w:eastAsia="等线" w:cs="等线"/>
      <w:b/>
      <w:bCs/>
      <w:sz w:val="22"/>
      <w:szCs w:val="22"/>
    </w:rPr>
  </w:style>
  <w:style w:type="character" w:styleId="24">
    <w:name w:val="Heading 6 Char"/>
    <w:basedOn w:val="11"/>
    <w:link w:val="23"/>
    <w:uiPriority w:val="9"/>
    <w:pPr>
      <w:pBdr/>
      <w:spacing/>
      <w:ind/>
    </w:pPr>
    <w:rPr>
      <w:rFonts w:ascii="等线" w:hAnsi="等线" w:eastAsia="等线" w:cs="等线"/>
      <w:b/>
      <w:bCs/>
      <w:sz w:val="22"/>
      <w:szCs w:val="22"/>
    </w:rPr>
  </w:style>
  <w:style w:type="paragraph" w:styleId="25">
    <w:name w:val="Heading 7"/>
    <w:basedOn w:val="656"/>
    <w:next w:val="656"/>
    <w:link w:val="26"/>
    <w:uiPriority w:val="9"/>
    <w:unhideWhenUsed/>
    <w:qFormat/>
    <w:pPr>
      <w:keepNext w:val="true"/>
      <w:keepLines w:val="true"/>
      <w:pBdr/>
      <w:spacing w:after="200" w:before="320"/>
      <w:ind/>
      <w:outlineLvl w:val="6"/>
    </w:pPr>
    <w:rPr>
      <w:rFonts w:ascii="等线" w:hAnsi="等线" w:eastAsia="等线" w:cs="等线"/>
      <w:b/>
      <w:bCs/>
      <w:i/>
      <w:iCs/>
      <w:sz w:val="22"/>
      <w:szCs w:val="22"/>
    </w:rPr>
  </w:style>
  <w:style w:type="character" w:styleId="26">
    <w:name w:val="Heading 7 Char"/>
    <w:basedOn w:val="11"/>
    <w:link w:val="25"/>
    <w:uiPriority w:val="9"/>
    <w:pPr>
      <w:pBdr/>
      <w:spacing/>
      <w:ind/>
    </w:pPr>
    <w:rPr>
      <w:rFonts w:ascii="等线" w:hAnsi="等线" w:eastAsia="等线" w:cs="等线"/>
      <w:b/>
      <w:bCs/>
      <w:i/>
      <w:iCs/>
      <w:sz w:val="22"/>
      <w:szCs w:val="22"/>
    </w:rPr>
  </w:style>
  <w:style w:type="paragraph" w:styleId="27">
    <w:name w:val="Heading 8"/>
    <w:basedOn w:val="656"/>
    <w:next w:val="656"/>
    <w:link w:val="28"/>
    <w:uiPriority w:val="9"/>
    <w:unhideWhenUsed/>
    <w:qFormat/>
    <w:pPr>
      <w:keepNext w:val="true"/>
      <w:keepLines w:val="true"/>
      <w:pBdr/>
      <w:spacing w:after="200" w:before="320"/>
      <w:ind/>
      <w:outlineLvl w:val="7"/>
    </w:pPr>
    <w:rPr>
      <w:rFonts w:ascii="等线" w:hAnsi="等线" w:eastAsia="等线" w:cs="等线"/>
      <w:i/>
      <w:iCs/>
      <w:sz w:val="22"/>
      <w:szCs w:val="22"/>
    </w:rPr>
  </w:style>
  <w:style w:type="character" w:styleId="28">
    <w:name w:val="Heading 8 Char"/>
    <w:basedOn w:val="11"/>
    <w:link w:val="27"/>
    <w:uiPriority w:val="9"/>
    <w:pPr>
      <w:pBdr/>
      <w:spacing/>
      <w:ind/>
    </w:pPr>
    <w:rPr>
      <w:rFonts w:ascii="等线" w:hAnsi="等线" w:eastAsia="等线" w:cs="等线"/>
      <w:i/>
      <w:iCs/>
      <w:sz w:val="22"/>
      <w:szCs w:val="22"/>
    </w:rPr>
  </w:style>
  <w:style w:type="paragraph" w:styleId="29">
    <w:name w:val="Heading 9"/>
    <w:basedOn w:val="656"/>
    <w:next w:val="656"/>
    <w:link w:val="30"/>
    <w:uiPriority w:val="9"/>
    <w:unhideWhenUsed/>
    <w:qFormat/>
    <w:pPr>
      <w:keepNext w:val="true"/>
      <w:keepLines w:val="true"/>
      <w:pBdr/>
      <w:spacing w:after="200" w:before="320"/>
      <w:ind/>
      <w:outlineLvl w:val="8"/>
    </w:pPr>
    <w:rPr>
      <w:rFonts w:ascii="等线" w:hAnsi="等线" w:eastAsia="等线" w:cs="等线"/>
      <w:i/>
      <w:iCs/>
      <w:sz w:val="21"/>
      <w:szCs w:val="21"/>
    </w:rPr>
  </w:style>
  <w:style w:type="character" w:styleId="30">
    <w:name w:val="Heading 9 Char"/>
    <w:basedOn w:val="11"/>
    <w:link w:val="29"/>
    <w:uiPriority w:val="9"/>
    <w:pPr>
      <w:pBdr/>
      <w:spacing/>
      <w:ind/>
    </w:pPr>
    <w:rPr>
      <w:rFonts w:ascii="等线" w:hAnsi="等线" w:eastAsia="等线" w:cs="等线"/>
      <w:i/>
      <w:iCs/>
      <w:sz w:val="21"/>
      <w:szCs w:val="21"/>
    </w:rPr>
  </w:style>
  <w:style w:type="paragraph" w:styleId="31">
    <w:name w:val="List Paragraph"/>
    <w:basedOn w:val="656"/>
    <w:uiPriority w:val="34"/>
    <w:qFormat/>
    <w:pPr>
      <w:pBdr/>
      <w:spacing/>
      <w:ind w:left="720"/>
      <w:contextualSpacing w:val="true"/>
    </w:pPr>
  </w:style>
  <w:style w:type="paragraph" w:styleId="33">
    <w:name w:val="No Spacing"/>
    <w:uiPriority w:val="1"/>
    <w:qFormat/>
    <w:pPr>
      <w:pBdr/>
      <w:spacing w:after="0" w:before="0" w:line="240" w:lineRule="auto"/>
      <w:ind/>
    </w:pPr>
  </w:style>
  <w:style w:type="paragraph" w:styleId="34">
    <w:name w:val="Title"/>
    <w:basedOn w:val="656"/>
    <w:next w:val="656"/>
    <w:link w:val="35"/>
    <w:uiPriority w:val="10"/>
    <w:qFormat/>
    <w:pPr>
      <w:pBdr/>
      <w:spacing w:after="200" w:before="300"/>
      <w:ind/>
      <w:contextualSpacing w:val="true"/>
    </w:pPr>
    <w:rPr>
      <w:sz w:val="48"/>
      <w:szCs w:val="48"/>
    </w:rPr>
  </w:style>
  <w:style w:type="character" w:styleId="35">
    <w:name w:val="Title Char"/>
    <w:basedOn w:val="11"/>
    <w:link w:val="34"/>
    <w:uiPriority w:val="10"/>
    <w:pPr>
      <w:pBdr/>
      <w:spacing/>
      <w:ind/>
    </w:pPr>
    <w:rPr>
      <w:sz w:val="48"/>
      <w:szCs w:val="48"/>
    </w:rPr>
  </w:style>
  <w:style w:type="paragraph" w:styleId="36">
    <w:name w:val="Subtitle"/>
    <w:basedOn w:val="656"/>
    <w:next w:val="656"/>
    <w:link w:val="37"/>
    <w:uiPriority w:val="11"/>
    <w:qFormat/>
    <w:pPr>
      <w:pBdr/>
      <w:spacing w:after="200" w:before="200"/>
      <w:ind/>
    </w:pPr>
    <w:rPr>
      <w:sz w:val="24"/>
      <w:szCs w:val="24"/>
    </w:rPr>
  </w:style>
  <w:style w:type="character" w:styleId="37">
    <w:name w:val="Subtitle Char"/>
    <w:basedOn w:val="11"/>
    <w:link w:val="36"/>
    <w:uiPriority w:val="11"/>
    <w:pPr>
      <w:pBdr/>
      <w:spacing/>
      <w:ind/>
    </w:pPr>
    <w:rPr>
      <w:sz w:val="24"/>
      <w:szCs w:val="24"/>
    </w:rPr>
  </w:style>
  <w:style w:type="paragraph" w:styleId="38">
    <w:name w:val="Quote"/>
    <w:basedOn w:val="656"/>
    <w:next w:val="656"/>
    <w:link w:val="39"/>
    <w:uiPriority w:val="29"/>
    <w:qFormat/>
    <w:pPr>
      <w:pBdr/>
      <w:spacing/>
      <w:ind w:right="720" w:left="720"/>
    </w:pPr>
    <w:rPr>
      <w:i/>
    </w:rPr>
  </w:style>
  <w:style w:type="character" w:styleId="39">
    <w:name w:val="Quote Char"/>
    <w:link w:val="38"/>
    <w:uiPriority w:val="29"/>
    <w:pPr>
      <w:pBdr/>
      <w:spacing/>
      <w:ind/>
    </w:pPr>
    <w:rPr>
      <w:i/>
    </w:rPr>
  </w:style>
  <w:style w:type="paragraph" w:styleId="40">
    <w:name w:val="Intense Quote"/>
    <w:basedOn w:val="656"/>
    <w:next w:val="656"/>
    <w:link w:val="41"/>
    <w:uiPriority w:val="30"/>
    <w:qFormat/>
    <w:pPr>
      <w:pBdr>
        <w:top w:val="single" w:color="ffffff" w:sz="4" w:space="5"/>
        <w:left w:val="single" w:color="ffffff" w:sz="4" w:space="10"/>
        <w:bottom w:val="single" w:color="ffffff" w:sz="4" w:space="5"/>
        <w:right w:val="single" w:color="ffffff" w:sz="4" w:space="10"/>
      </w:pBdr>
      <w:shd w:val="clear" w:color="auto" w:fill="f2f2f2"/>
      <w:spacing/>
      <w:ind w:right="720" w:left="720"/>
      <w:contextualSpacing w:val="false"/>
    </w:pPr>
    <w:rPr>
      <w:i/>
    </w:rPr>
  </w:style>
  <w:style w:type="character" w:styleId="41">
    <w:name w:val="Intense Quote Char"/>
    <w:link w:val="40"/>
    <w:uiPriority w:val="30"/>
    <w:pPr>
      <w:pBdr/>
      <w:spacing/>
      <w:ind/>
    </w:pPr>
    <w:rPr>
      <w:i/>
    </w:rPr>
  </w:style>
  <w:style w:type="paragraph" w:styleId="42">
    <w:name w:val="Header"/>
    <w:basedOn w:val="656"/>
    <w:link w:val="43"/>
    <w:uiPriority w:val="99"/>
    <w:unhideWhenUsed/>
    <w:pPr>
      <w:pBdr/>
      <w:tabs>
        <w:tab w:val="center" w:leader="none" w:pos="7143"/>
        <w:tab w:val="right" w:leader="none" w:pos="14287"/>
      </w:tabs>
      <w:spacing w:after="0" w:line="240" w:lineRule="auto"/>
      <w:ind/>
    </w:pPr>
  </w:style>
  <w:style w:type="character" w:styleId="43">
    <w:name w:val="Header Char"/>
    <w:basedOn w:val="11"/>
    <w:link w:val="42"/>
    <w:uiPriority w:val="99"/>
    <w:pPr>
      <w:pBdr/>
      <w:spacing/>
      <w:ind/>
    </w:pPr>
  </w:style>
  <w:style w:type="paragraph" w:styleId="44">
    <w:name w:val="Footer"/>
    <w:basedOn w:val="656"/>
    <w:link w:val="47"/>
    <w:uiPriority w:val="99"/>
    <w:unhideWhenUsed/>
    <w:pPr>
      <w:pBdr/>
      <w:tabs>
        <w:tab w:val="center" w:leader="none" w:pos="7143"/>
        <w:tab w:val="right" w:leader="none" w:pos="14287"/>
      </w:tabs>
      <w:spacing w:after="0" w:line="240" w:lineRule="auto"/>
      <w:ind/>
    </w:pPr>
  </w:style>
  <w:style w:type="character" w:styleId="45">
    <w:name w:val="Footer Char"/>
    <w:basedOn w:val="11"/>
    <w:link w:val="44"/>
    <w:uiPriority w:val="99"/>
    <w:pPr>
      <w:pBdr/>
      <w:spacing/>
      <w:ind/>
    </w:pPr>
  </w:style>
  <w:style w:type="paragraph" w:styleId="46">
    <w:name w:val="Caption"/>
    <w:basedOn w:val="656"/>
    <w:next w:val="656"/>
    <w:uiPriority w:val="35"/>
    <w:semiHidden/>
    <w:unhideWhenUsed/>
    <w:qFormat/>
    <w:pPr>
      <w:pBdr/>
      <w:spacing w:line="276" w:lineRule="auto"/>
      <w:ind/>
    </w:pPr>
    <w:rPr>
      <w:b/>
      <w:bCs/>
      <w:color w:val="4f81bd" w:themeColor="accent1"/>
      <w:sz w:val="18"/>
      <w:szCs w:val="18"/>
    </w:rPr>
  </w:style>
  <w:style w:type="character" w:styleId="47">
    <w:name w:val="Caption Char"/>
    <w:basedOn w:val="46"/>
    <w:link w:val="44"/>
    <w:uiPriority w:val="99"/>
    <w:pPr>
      <w:pBdr/>
      <w:spacing/>
      <w:ind/>
    </w:pPr>
  </w:style>
  <w:style w:type="table" w:styleId="48">
    <w:name w:val="Table Grid"/>
    <w:basedOn w:val="32"/>
    <w:uiPriority w:val="59"/>
    <w:pPr>
      <w:pBdr/>
      <w:spacing w:after="0" w:line="240" w:lineRule="auto"/>
      <w:ind/>
    </w:pPr>
    <w:tblP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49">
    <w:name w:val="Table Grid Light"/>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0">
    <w:name w:val="Plain Table 1"/>
    <w:basedOn w:val="32"/>
    <w:uiPriority w:val="59"/>
    <w:pPr>
      <w:pBdr/>
      <w:spacing w:after="0" w:line="240" w:lineRule="auto"/>
      <w:ind/>
    </w:pPr>
    <w:tblPr>
      <w:tblInd w:w="0" w:type="dxa"/>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CellMar>
        <w:left w:w="108" w:type="dxa"/>
        <w:top w:w="0" w:type="dxa"/>
        <w:right w:w="108" w:type="dxa"/>
        <w:bottom w:w="0" w:type="dxa"/>
      </w:tblCellMar>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1">
    <w:name w:val="Plain Table 2"/>
    <w:basedOn w:val="32"/>
    <w:uiPriority w:val="59"/>
    <w:pPr>
      <w:pBdr/>
      <w:spacing w:after="0" w:line="240" w:lineRule="auto"/>
      <w:ind/>
    </w:pPr>
    <w:tblPr>
      <w:tblInd w:w="0" w:type="dxa"/>
      <w:tblBorders>
        <w:top w:val="single" w:color="000000" w:themeColor="text1" w:sz="4" w:space="0"/>
        <w:left w:val="none" w:color="000000" w:themeColor="text1" w:sz="4" w:space="0"/>
        <w:bottom w:val="single" w:color="000000" w:themeColor="text1" w:sz="4" w:space="0"/>
        <w:right w:val="none" w:color="000000" w:themeColor="text1" w:sz="4" w:space="0"/>
      </w:tblBorders>
      <w:tblCellMar>
        <w:left w:w="108" w:type="dxa"/>
        <w:top w:w="0" w:type="dxa"/>
        <w:right w:w="108" w:type="dxa"/>
        <w:bottom w:w="0" w:type="dxa"/>
      </w:tblCellMar>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2">
    <w:name w:val="Plain Table 3"/>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3">
    <w:name w:val="Plain Table 4"/>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4">
    <w:name w:val="Plain Table 5"/>
    <w:basedOn w:val="32"/>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5">
    <w:name w:val="Grid Table 1 Light"/>
    <w:basedOn w:val="32"/>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6">
    <w:name w:val="Grid Table 1 Light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7">
    <w:name w:val="Grid Table 1 Light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8">
    <w:name w:val="Grid Table 1 Light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59">
    <w:name w:val="Grid Table 1 Light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0">
    <w:name w:val="Grid Table 1 Light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1">
    <w:name w:val="Grid Table 1 Light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2">
    <w:name w:val="Grid Table 2"/>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3">
    <w:name w:val="Grid Table 2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4">
    <w:name w:val="Grid Table 2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5">
    <w:name w:val="Grid Table 2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6">
    <w:name w:val="Grid Table 2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7">
    <w:name w:val="Grid Table 2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8">
    <w:name w:val="Grid Table 2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69">
    <w:name w:val="Grid Table 3"/>
    <w:basedOn w:val="32"/>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0">
    <w:name w:val="Grid Table 3 - Accent 1"/>
    <w:basedOn w:val="32"/>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dae5f1"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1">
    <w:name w:val="Grid Table 3 - Accent 2"/>
    <w:basedOn w:val="32"/>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2">
    <w:name w:val="Grid Table 3 - Accent 3"/>
    <w:basedOn w:val="32"/>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3">
    <w:name w:val="Grid Table 3 - Accent 4"/>
    <w:basedOn w:val="32"/>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4">
    <w:name w:val="Grid Table 3 - Accent 5"/>
    <w:basedOn w:val="32"/>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5">
    <w:name w:val="Grid Table 3 - Accent 6"/>
    <w:basedOn w:val="32"/>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6">
    <w:name w:val="Grid Table 4"/>
    <w:basedOn w:val="32"/>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7">
    <w:name w:val="Grid Table 4 - Accent 1"/>
    <w:basedOn w:val="32"/>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dce6f1"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5d8dc2"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8">
    <w:name w:val="Grid Table 4 - Accent 2"/>
    <w:basedOn w:val="32"/>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79">
    <w:name w:val="Grid Table 4 - Accent 3"/>
    <w:basedOn w:val="32"/>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9bba59"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
    <w:name w:val="Grid Table 4 - Accent 4"/>
    <w:basedOn w:val="32"/>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
    <w:name w:val="Grid Table 4 - Accent 5"/>
    <w:basedOn w:val="32"/>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
    <w:name w:val="Grid Table 4 - Accent 6"/>
    <w:basedOn w:val="32"/>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
    <w:name w:val="Grid Table 5 Dark"/>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
    <w:name w:val="Grid Table 5 Dark- Accent 1"/>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dae5f1" w:themeFill="accent1" w:themeFillTint="34"/>
    </w:tblPr>
    <w:tcPr>
      <w:tcBorders/>
    </w:tcPr>
    <w:tblStylePr w:type="band1Horz">
      <w:pPr>
        <w:pBdr/>
        <w:spacing/>
        <w:ind/>
      </w:pPr>
      <w:tblPr>
        <w:tblBorders/>
      </w:tblPr>
      <w:tcPr>
        <w:shd w:val="clear" w:color="ffffff" w:themeColor="accent1" w:themeTint="75" w:fill="adc5e0" w:themeFill="accent1" w:themeFillTint="75"/>
        <w:tcBorders/>
      </w:tcPr>
    </w:tblStylePr>
    <w:tblStylePr w:type="band1Vert">
      <w:pPr>
        <w:pBdr/>
        <w:spacing/>
        <w:ind/>
      </w:pPr>
      <w:tblPr>
        <w:tblBorders/>
      </w:tblPr>
      <w:tcPr>
        <w:shd w:val="clear" w:color="ffffff" w:themeColor="accent1" w:themeTint="75" w:fill="adc5e0"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4f81bd" w:themeFill="accent1"/>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rFonts w:ascii="Arial" w:hAnsi="Arial"/>
        <w:b/>
        <w:color w:val="ffffff"/>
        <w:sz w:val="22"/>
      </w:rPr>
      <w:pPr>
        <w:pBdr/>
        <w:spacing/>
        <w:ind/>
      </w:pPr>
      <w:tblPr>
        <w:tblBorders/>
      </w:tblPr>
      <w:tcPr>
        <w:shd w:val="clear" w:color="ffffff" w:themeColor="accent1" w:fill="4f81bd" w:themeFill="accent1"/>
        <w:tcBorders/>
      </w:tcPr>
    </w:tblStylePr>
    <w:tblStylePr w:type="lastRow">
      <w:rPr>
        <w:rFonts w:ascii="Arial" w:hAnsi="Arial"/>
        <w:b/>
        <w:color w:val="ffffff"/>
        <w:sz w:val="22"/>
      </w:rPr>
      <w:pPr>
        <w:pBdr/>
        <w:spacing/>
        <w:ind/>
      </w:pPr>
      <w:tblPr>
        <w:tblBorders/>
      </w:tblPr>
      <w:tcPr>
        <w:shd w:val="clear" w:color="ffffff" w:themeColor="accent1" w:fill="4f81bd"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
    <w:name w:val="Grid Table 5 Dark - Accent 2"/>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f2dcdb" w:themeFill="accent2" w:themeFillTint="32"/>
    </w:tblPr>
    <w:tcPr>
      <w:tcBorders/>
    </w:tcPr>
    <w:tblStylePr w:type="band1Horz">
      <w:pPr>
        <w:pBdr/>
        <w:spacing/>
        <w:ind/>
      </w:pPr>
      <w:tblPr>
        <w:tblBorders/>
      </w:tblPr>
      <w:tcPr>
        <w:shd w:val="clear" w:color="ffffff" w:themeColor="accent2" w:themeTint="75" w:fill="e1adac" w:themeFill="accent2" w:themeFillTint="75"/>
        <w:tcBorders/>
      </w:tcPr>
    </w:tblStylePr>
    <w:tblStylePr w:type="band1Vert">
      <w:pPr>
        <w:pBdr/>
        <w:spacing/>
        <w:ind/>
      </w:pPr>
      <w:tblPr>
        <w:tblBorders/>
      </w:tblPr>
      <w:tcPr>
        <w:shd w:val="clear" w:color="ffffff" w:themeColor="accent2" w:themeTint="75" w:fill="e1ada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c0504d" w:themeFill="accent2"/>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rFonts w:ascii="Arial" w:hAnsi="Arial"/>
        <w:b/>
        <w:color w:val="ffffff"/>
        <w:sz w:val="22"/>
      </w:rPr>
      <w:pPr>
        <w:pBdr/>
        <w:spacing/>
        <w:ind/>
      </w:pPr>
      <w:tblPr>
        <w:tblBorders/>
      </w:tblPr>
      <w:tcPr>
        <w:shd w:val="clear" w:color="ffffff" w:themeColor="accent2" w:fill="c0504d" w:themeFill="accent2"/>
        <w:tcBorders/>
      </w:tcPr>
    </w:tblStylePr>
    <w:tblStylePr w:type="lastRow">
      <w:rPr>
        <w:rFonts w:ascii="Arial" w:hAnsi="Arial"/>
        <w:b/>
        <w:color w:val="ffffff"/>
        <w:sz w:val="22"/>
      </w:rPr>
      <w:pPr>
        <w:pBdr/>
        <w:spacing/>
        <w:ind/>
      </w:pPr>
      <w:tblPr>
        <w:tblBorders/>
      </w:tblPr>
      <w:tcPr>
        <w:shd w:val="clear" w:color="ffffff" w:themeColor="accent2" w:fill="c0504d"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
    <w:name w:val="Grid Table 5 Dark - Accent 3"/>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eaf0dd" w:themeFill="accent3" w:themeFillTint="34"/>
    </w:tblPr>
    <w:tcPr>
      <w:tcBorders/>
    </w:tcPr>
    <w:tblStylePr w:type="band1Horz">
      <w:pPr>
        <w:pBdr/>
        <w:spacing/>
        <w:ind/>
      </w:pPr>
      <w:tblPr>
        <w:tblBorders/>
      </w:tblPr>
      <w:tcPr>
        <w:shd w:val="clear" w:color="ffffff" w:themeColor="accent3" w:themeTint="75" w:fill="d1dfb2" w:themeFill="accent3" w:themeFillTint="75"/>
        <w:tcBorders/>
      </w:tcPr>
    </w:tblStylePr>
    <w:tblStylePr w:type="band1Vert">
      <w:pPr>
        <w:pBdr/>
        <w:spacing/>
        <w:ind/>
      </w:pPr>
      <w:tblPr>
        <w:tblBorders/>
      </w:tblPr>
      <w:tcPr>
        <w:shd w:val="clear" w:color="ffffff" w:themeColor="accent3" w:themeTint="75" w:fill="d1dfb2"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9bbb59" w:themeFill="accent3"/>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rFonts w:ascii="Arial" w:hAnsi="Arial"/>
        <w:b/>
        <w:color w:val="ffffff"/>
        <w:sz w:val="22"/>
      </w:rPr>
      <w:pPr>
        <w:pBdr/>
        <w:spacing/>
        <w:ind/>
      </w:pPr>
      <w:tblPr>
        <w:tblBorders/>
      </w:tblPr>
      <w:tcPr>
        <w:shd w:val="clear" w:color="ffffff" w:themeColor="accent3" w:fill="9bbb59" w:themeFill="accent3"/>
        <w:tcBorders/>
      </w:tcPr>
    </w:tblStylePr>
    <w:tblStylePr w:type="lastRow">
      <w:rPr>
        <w:rFonts w:ascii="Arial" w:hAnsi="Arial"/>
        <w:b/>
        <w:color w:val="ffffff"/>
        <w:sz w:val="22"/>
      </w:rPr>
      <w:pPr>
        <w:pBdr/>
        <w:spacing/>
        <w:ind/>
      </w:pPr>
      <w:tblPr>
        <w:tblBorders/>
      </w:tblPr>
      <w:tcPr>
        <w:shd w:val="clear" w:color="ffffff" w:themeColor="accent3" w:fill="9bbb59"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
    <w:name w:val="Grid Table 5 Dark- Accent 4"/>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e5dfec" w:themeFill="accent4" w:themeFillTint="34"/>
    </w:tblPr>
    <w:tcPr>
      <w:tcBorders/>
    </w:tcPr>
    <w:tblStylePr w:type="band1Horz">
      <w:pPr>
        <w:pBdr/>
        <w:spacing/>
        <w:ind/>
      </w:pPr>
      <w:tblPr>
        <w:tblBorders/>
      </w:tblPr>
      <w:tcPr>
        <w:shd w:val="clear" w:color="ffffff" w:themeColor="accent4" w:themeTint="75" w:fill="c4b7d4" w:themeFill="accent4" w:themeFillTint="75"/>
        <w:tcBorders/>
      </w:tcPr>
    </w:tblStylePr>
    <w:tblStylePr w:type="band1Vert">
      <w:pPr>
        <w:pBdr/>
        <w:spacing/>
        <w:ind/>
      </w:pPr>
      <w:tblPr>
        <w:tblBorders/>
      </w:tblPr>
      <w:tcPr>
        <w:shd w:val="clear" w:color="ffffff" w:themeColor="accent4" w:themeTint="75" w:fill="c4b7d4"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064a2" w:themeFill="accent4"/>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rFonts w:ascii="Arial" w:hAnsi="Arial"/>
        <w:b/>
        <w:color w:val="ffffff"/>
        <w:sz w:val="22"/>
      </w:rPr>
      <w:pPr>
        <w:pBdr/>
        <w:spacing/>
        <w:ind/>
      </w:pPr>
      <w:tblPr>
        <w:tblBorders/>
      </w:tblPr>
      <w:tcPr>
        <w:shd w:val="clear" w:color="ffffff" w:themeColor="accent4" w:fill="8064a2" w:themeFill="accent4"/>
        <w:tcBorders/>
      </w:tcPr>
    </w:tblStylePr>
    <w:tblStylePr w:type="lastRow">
      <w:rPr>
        <w:rFonts w:ascii="Arial" w:hAnsi="Arial"/>
        <w:b/>
        <w:color w:val="ffffff"/>
        <w:sz w:val="22"/>
      </w:rPr>
      <w:pPr>
        <w:pBdr/>
        <w:spacing/>
        <w:ind/>
      </w:pPr>
      <w:tblPr>
        <w:tblBorders/>
      </w:tblPr>
      <w:tcPr>
        <w:shd w:val="clear" w:color="ffffff" w:themeColor="accent4" w:fill="8064a2"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
    <w:name w:val="Grid Table 5 Dark - Accent 5"/>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daeef3" w:themeFill="accent5" w:themeFillTint="34"/>
    </w:tblPr>
    <w:tcPr>
      <w:tcBorders/>
    </w:tcPr>
    <w:tblStylePr w:type="band1Horz">
      <w:pPr>
        <w:pBdr/>
        <w:spacing/>
        <w:ind/>
      </w:pPr>
      <w:tblPr>
        <w:tblBorders/>
      </w:tblPr>
      <w:tcPr>
        <w:shd w:val="clear" w:color="ffffff" w:themeColor="accent5" w:themeTint="75" w:fill="abd9e4" w:themeFill="accent5" w:themeFillTint="75"/>
        <w:tcBorders/>
      </w:tcPr>
    </w:tblStylePr>
    <w:tblStylePr w:type="band1Vert">
      <w:pPr>
        <w:pBdr/>
        <w:spacing/>
        <w:ind/>
      </w:pPr>
      <w:tblPr>
        <w:tblBorders/>
      </w:tblPr>
      <w:tcPr>
        <w:shd w:val="clear" w:color="ffffff" w:themeColor="accent5" w:themeTint="75" w:fill="abd9e4"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4bacc6" w:themeFill="accent5"/>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rFonts w:ascii="Arial" w:hAnsi="Arial"/>
        <w:b/>
        <w:color w:val="ffffff"/>
        <w:sz w:val="22"/>
      </w:rPr>
      <w:pPr>
        <w:pBdr/>
        <w:spacing/>
        <w:ind/>
      </w:pPr>
      <w:tblPr>
        <w:tblBorders/>
      </w:tblPr>
      <w:tcPr>
        <w:shd w:val="clear" w:color="ffffff" w:themeColor="accent5" w:fill="4bacc6" w:themeFill="accent5"/>
        <w:tcBorders/>
      </w:tcPr>
    </w:tblStylePr>
    <w:tblStylePr w:type="lastRow">
      <w:rPr>
        <w:rFonts w:ascii="Arial" w:hAnsi="Arial"/>
        <w:b/>
        <w:color w:val="ffffff"/>
        <w:sz w:val="22"/>
      </w:rPr>
      <w:pPr>
        <w:pBdr/>
        <w:spacing/>
        <w:ind/>
      </w:pPr>
      <w:tblPr>
        <w:tblBorders/>
      </w:tblPr>
      <w:tcPr>
        <w:shd w:val="clear" w:color="ffffff" w:themeColor="accent5" w:fill="4bacc6"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
    <w:name w:val="Grid Table 5 Dark - Accent 6"/>
    <w:basedOn w:val="32"/>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de9d8" w:themeFill="accent6" w:themeFillTint="34"/>
    </w:tblPr>
    <w:tcPr>
      <w:tcBorders/>
    </w:tcPr>
    <w:tblStylePr w:type="band1Horz">
      <w:pPr>
        <w:pBdr/>
        <w:spacing/>
        <w:ind/>
      </w:pPr>
      <w:tblPr>
        <w:tblBorders/>
      </w:tblPr>
      <w:tcPr>
        <w:shd w:val="clear" w:color="ffffff" w:themeColor="accent6" w:themeTint="75" w:fill="fbcda8" w:themeFill="accent6" w:themeFillTint="75"/>
        <w:tcBorders/>
      </w:tcPr>
    </w:tblStylePr>
    <w:tblStylePr w:type="band1Vert">
      <w:pPr>
        <w:pBdr/>
        <w:spacing/>
        <w:ind/>
      </w:pPr>
      <w:tblPr>
        <w:tblBorders/>
      </w:tblPr>
      <w:tcPr>
        <w:shd w:val="clear" w:color="ffffff" w:themeColor="accent6" w:themeTint="75" w:fill="fbcda8"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f79646" w:themeFill="accent6"/>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rFonts w:ascii="Arial" w:hAnsi="Arial"/>
        <w:b/>
        <w:color w:val="ffffff"/>
        <w:sz w:val="22"/>
      </w:rPr>
      <w:pPr>
        <w:pBdr/>
        <w:spacing/>
        <w:ind/>
      </w:pPr>
      <w:tblPr>
        <w:tblBorders/>
      </w:tblPr>
      <w:tcPr>
        <w:shd w:val="clear" w:color="ffffff" w:themeColor="accent6" w:fill="f79646" w:themeFill="accent6"/>
        <w:tcBorders/>
      </w:tcPr>
    </w:tblStylePr>
    <w:tblStylePr w:type="lastRow">
      <w:rPr>
        <w:rFonts w:ascii="Arial" w:hAnsi="Arial"/>
        <w:b/>
        <w:color w:val="ffffff"/>
        <w:sz w:val="22"/>
      </w:rPr>
      <w:pPr>
        <w:pBdr/>
        <w:spacing/>
        <w:ind/>
      </w:pPr>
      <w:tblPr>
        <w:tblBorders/>
      </w:tblPr>
      <w:tcPr>
        <w:shd w:val="clear" w:color="ffffff" w:themeColor="accent6" w:fill="f79646"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
    <w:name w:val="Grid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91">
    <w:name w:val="Grid Table 6 Colorful - Accent 1"/>
    <w:basedOn w:val="32"/>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e70a3" w:themeColor="accent1" w:themeTint="80" w:themeShade="95"/>
      </w:rPr>
      <w:pPr>
        <w:pBdr/>
        <w:spacing/>
        <w:ind/>
      </w:pPr>
      <w:tblPr>
        <w:tblBorders/>
      </w:tblPr>
      <w:tcPr>
        <w:tcBorders/>
      </w:tcPr>
    </w:tblStylePr>
    <w:tblStylePr w:type="firstRow">
      <w:rPr>
        <w:b/>
        <w:color w:val="3e70a3" w:themeColor="accent1" w:themeTint="80" w:themeShade="95"/>
      </w:rPr>
      <w:pPr>
        <w:pBdr/>
        <w:spacing/>
        <w:ind/>
      </w:pPr>
      <w:tblPr>
        <w:tblBorders/>
      </w:tblPr>
      <w:tcPr>
        <w:tcBorders>
          <w:bottom w:val="single" w:color="000000" w:themeColor="accent1" w:themeTint="80" w:sz="12" w:space="0"/>
        </w:tcBorders>
      </w:tcPr>
    </w:tblStylePr>
    <w:tblStylePr w:type="lastCol">
      <w:rPr>
        <w:b/>
        <w:color w:val="3e70a3" w:themeColor="accent1" w:themeTint="80" w:themeShade="95"/>
      </w:rPr>
      <w:pPr>
        <w:pBdr/>
        <w:spacing/>
        <w:ind/>
      </w:pPr>
      <w:tblPr>
        <w:tblBorders/>
      </w:tblPr>
      <w:tcPr>
        <w:tcBorders/>
      </w:tcPr>
    </w:tblStylePr>
    <w:tblStylePr w:type="lastRow">
      <w:rPr>
        <w:b/>
        <w:color w:val="3e70a3"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92">
    <w:name w:val="Grid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12"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93">
    <w:name w:val="Grid Table 6 Colorful - Accent 3"/>
    <w:basedOn w:val="32"/>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5c702f" w:themeColor="accent3" w:themeTint="FE" w:themeShade="95"/>
      </w:rPr>
      <w:pPr>
        <w:pBdr/>
        <w:spacing/>
        <w:ind/>
      </w:pPr>
      <w:tblPr>
        <w:tblBorders/>
      </w:tblPr>
      <w:tcPr>
        <w:tcBorders/>
      </w:tcPr>
    </w:tblStylePr>
    <w:tblStylePr w:type="firstRow">
      <w:rPr>
        <w:b/>
        <w:color w:val="5c702f" w:themeColor="accent3" w:themeTint="FE" w:themeShade="95"/>
      </w:rPr>
      <w:pPr>
        <w:pBdr/>
        <w:spacing/>
        <w:ind/>
      </w:pPr>
      <w:tblPr>
        <w:tblBorders/>
      </w:tblPr>
      <w:tcPr>
        <w:tcBorders>
          <w:bottom w:val="single" w:color="000000" w:themeColor="accent3" w:themeTint="FE" w:sz="12" w:space="0"/>
        </w:tcBorders>
      </w:tcPr>
    </w:tblStylePr>
    <w:tblStylePr w:type="lastCol">
      <w:rPr>
        <w:b/>
        <w:color w:val="5c702f" w:themeColor="accent3" w:themeTint="FE" w:themeShade="95"/>
      </w:rPr>
      <w:pPr>
        <w:pBdr/>
        <w:spacing/>
        <w:ind/>
      </w:pPr>
      <w:tblPr>
        <w:tblBorders/>
      </w:tblPr>
      <w:tcPr>
        <w:tcBorders/>
      </w:tcPr>
    </w:tblStylePr>
    <w:tblStylePr w:type="lastRow">
      <w:rPr>
        <w:b/>
        <w:color w:val="5c702f"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94">
    <w:name w:val="Grid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12"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95">
    <w:name w:val="Grid Table 6 Colorful - Accent 5"/>
    <w:basedOn w:val="32"/>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5"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6">
    <w:name w:val="Grid Table 6 Colorful - Accent 6"/>
    <w:basedOn w:val="32"/>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66777" w:themeColor="accent5" w:themeShade="95"/>
      </w:rPr>
      <w:pPr>
        <w:pBdr/>
        <w:spacing/>
        <w:ind/>
      </w:pPr>
      <w:tblPr>
        <w:tblBorders/>
      </w:tblPr>
      <w:tcPr>
        <w:tcBorders/>
      </w:tcPr>
    </w:tblStylePr>
    <w:tblStylePr w:type="firstRow">
      <w:rPr>
        <w:b/>
        <w:color w:val="266777" w:themeColor="accent5" w:themeShade="95"/>
      </w:rPr>
      <w:pPr>
        <w:pBdr/>
        <w:spacing/>
        <w:ind/>
      </w:pPr>
      <w:tblPr>
        <w:tblBorders/>
      </w:tblPr>
      <w:tcPr>
        <w:tcBorders>
          <w:bottom w:val="single" w:color="000000" w:themeColor="accent6" w:sz="12" w:space="0"/>
        </w:tcBorders>
      </w:tcPr>
    </w:tblStylePr>
    <w:tblStylePr w:type="lastCol">
      <w:rPr>
        <w:b/>
        <w:color w:val="266777" w:themeColor="accent5" w:themeShade="95"/>
      </w:rPr>
      <w:pPr>
        <w:pBdr/>
        <w:spacing/>
        <w:ind/>
      </w:pPr>
      <w:tblPr>
        <w:tblBorders/>
      </w:tblPr>
      <w:tcPr>
        <w:tcBorders/>
      </w:tcPr>
    </w:tblStylePr>
    <w:tblStylePr w:type="lastRow">
      <w:rPr>
        <w:b/>
        <w:color w:val="266777"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97">
    <w:name w:val="Grid Table 7 Colorful"/>
    <w:basedOn w:val="32"/>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8">
    <w:name w:val="Grid Table 7 Colorful - Accent 1"/>
    <w:basedOn w:val="32"/>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3e70a3" w:themeColor="accent1" w:themeTint="80" w:themeShade="95"/>
        <w:sz w:val="22"/>
      </w:rPr>
      <w:pPr>
        <w:pBdr/>
        <w:spacing/>
        <w:ind/>
      </w:pPr>
      <w:tblPr>
        <w:tblBorders/>
      </w:tblPr>
      <w:tcPr>
        <w:shd w:val="clear" w:color="ffffff" w:themeColor="accent1" w:themeTint="34" w:fill="dae5f1" w:themeFill="accent1" w:themeFillTint="34"/>
        <w:tcBorders/>
      </w:tcPr>
    </w:tblStylePr>
    <w:tblStylePr w:type="band1Vert">
      <w:pPr>
        <w:pBdr/>
        <w:spacing/>
        <w:ind/>
      </w:pPr>
      <w:tblPr>
        <w:tblBorders/>
      </w:tblPr>
      <w:tcPr>
        <w:shd w:val="clear" w:color="ffffff" w:themeColor="accent1" w:themeTint="34" w:fill="dae5f1" w:themeFill="accent1" w:themeFillTint="34"/>
        <w:tcBorders/>
      </w:tcPr>
    </w:tblStylePr>
    <w:tblStylePr w:type="band2Horz">
      <w:rPr>
        <w:rFonts w:ascii="Arial" w:hAnsi="Arial"/>
        <w:color w:val="3e70a3"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e70a3" w:themeColor="accent1" w:themeTint="80" w:themeShade="95"/>
        <w:sz w:val="22"/>
      </w:rPr>
      <w:pPr>
        <w:pBdr/>
        <w:spacing/>
        <w:ind/>
        <w:jc w:val="right"/>
      </w:pPr>
      <w:tblPr>
        <w:tblBorders/>
      </w:tblPr>
      <w:tcPr>
        <w:shd w:color="ffffff"/>
        <w:tcBorders>
          <w:top w:val="none"/>
          <w:left w:val="none"/>
          <w:bottom w:val="none"/>
          <w:right w:val="single" w:color="000000" w:themeColor="accent1" w:themeTint="80" w:sz="4" w:space="0"/>
        </w:tcBorders>
      </w:tcPr>
    </w:tblStylePr>
    <w:tblStylePr w:type="fir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none"/>
          <w:left w:val="none"/>
          <w:bottom w:val="single" w:color="000000" w:themeColor="accent1" w:themeTint="80" w:sz="4" w:space="0"/>
          <w:right w:val="none"/>
        </w:tcBorders>
      </w:tcPr>
    </w:tblStylePr>
    <w:tblStylePr w:type="lastCol">
      <w:rPr>
        <w:rFonts w:ascii="Arial" w:hAnsi="Arial"/>
        <w:i/>
        <w:color w:val="3e70a3" w:themeColor="accent1" w:themeTint="80" w:themeShade="95"/>
        <w:sz w:val="22"/>
      </w:rPr>
      <w:pPr>
        <w:pBdr/>
        <w:spacing/>
        <w:ind/>
      </w:pPr>
      <w:tblPr>
        <w:tblBorders/>
      </w:tblPr>
      <w:tcPr>
        <w:shd w:color="ffffff"/>
        <w:tcBorders>
          <w:top w:val="none"/>
          <w:left w:val="single" w:color="000000" w:themeColor="accent1" w:themeTint="80" w:sz="4" w:space="0"/>
          <w:bottom w:val="none"/>
          <w:right w:val="none"/>
        </w:tcBorders>
      </w:tcPr>
    </w:tblStylePr>
    <w:tblStylePr w:type="lastRow">
      <w:rPr>
        <w:rFonts w:ascii="Arial" w:hAnsi="Arial"/>
        <w:b/>
        <w:color w:val="3e70a3"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9">
    <w:name w:val="Grid Table 7 Colorful - Accent 2"/>
    <w:basedOn w:val="32"/>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32" w:fill="f2dcdb" w:themeFill="accent2" w:themeFillTint="32"/>
        <w:tcBorders/>
      </w:tcPr>
    </w:tblStylePr>
    <w:tblStylePr w:type="band1Vert">
      <w:pPr>
        <w:pBdr/>
        <w:spacing/>
        <w:ind/>
      </w:pPr>
      <w:tblPr>
        <w:tblBorders/>
      </w:tblPr>
      <w:tcPr>
        <w:shd w:val="clear" w:color="ffffff" w:themeColor="accent2" w:themeTint="32" w:fill="f2dcdb" w:themeFill="accent2" w:themeFillTint="32"/>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b/>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0">
    <w:name w:val="Grid Table 7 Colorful - Accent 3"/>
    <w:basedOn w:val="32"/>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5c702f" w:themeColor="accent3" w:themeTint="FE" w:themeShade="95"/>
        <w:sz w:val="22"/>
      </w:rPr>
      <w:pPr>
        <w:pBdr/>
        <w:spacing/>
        <w:ind/>
      </w:pPr>
      <w:tblPr>
        <w:tblBorders/>
      </w:tblPr>
      <w:tcPr>
        <w:shd w:val="clear" w:color="ffffff" w:themeColor="accent3" w:themeTint="34" w:fill="eaf0dd" w:themeFill="accent3" w:themeFillTint="34"/>
        <w:tcBorders/>
      </w:tcPr>
    </w:tblStylePr>
    <w:tblStylePr w:type="band1Vert">
      <w:pPr>
        <w:pBdr/>
        <w:spacing/>
        <w:ind/>
      </w:pPr>
      <w:tblPr>
        <w:tblBorders/>
      </w:tblPr>
      <w:tcPr>
        <w:shd w:val="clear" w:color="ffffff" w:themeColor="accent3" w:themeTint="34" w:fill="eaf0dd" w:themeFill="accent3" w:themeFillTint="34"/>
        <w:tcBorders/>
      </w:tcPr>
    </w:tblStylePr>
    <w:tblStylePr w:type="band2Horz">
      <w:rPr>
        <w:rFonts w:ascii="Arial" w:hAnsi="Arial"/>
        <w:color w:val="5c702f"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5c702f" w:themeColor="accent3" w:themeTint="FE" w:themeShade="95"/>
        <w:sz w:val="22"/>
      </w:rPr>
      <w:pPr>
        <w:pBdr/>
        <w:spacing/>
        <w:ind/>
        <w:jc w:val="right"/>
      </w:pPr>
      <w:tblPr>
        <w:tblBorders/>
      </w:tblPr>
      <w:tcPr>
        <w:shd w:color="ffffff"/>
        <w:tcBorders>
          <w:top w:val="none"/>
          <w:left w:val="none"/>
          <w:bottom w:val="none"/>
          <w:right w:val="single" w:color="000000" w:themeColor="accent3" w:themeTint="FE" w:sz="4" w:space="0"/>
        </w:tcBorders>
      </w:tcPr>
    </w:tblStylePr>
    <w:tblStylePr w:type="fir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none"/>
          <w:left w:val="none"/>
          <w:bottom w:val="single" w:color="000000" w:themeColor="accent3" w:themeTint="FE" w:sz="4" w:space="0"/>
          <w:right w:val="none"/>
        </w:tcBorders>
      </w:tcPr>
    </w:tblStylePr>
    <w:tblStylePr w:type="lastCol">
      <w:rPr>
        <w:rFonts w:ascii="Arial" w:hAnsi="Arial"/>
        <w:i/>
        <w:color w:val="5c702f" w:themeColor="accent3" w:themeTint="FE" w:themeShade="95"/>
        <w:sz w:val="22"/>
      </w:rPr>
      <w:pPr>
        <w:pBdr/>
        <w:spacing/>
        <w:ind/>
      </w:pPr>
      <w:tblPr>
        <w:tblBorders/>
      </w:tblPr>
      <w:tcPr>
        <w:shd w:color="ffffff"/>
        <w:tcBorders>
          <w:top w:val="none"/>
          <w:left w:val="single" w:color="000000" w:themeColor="accent3" w:themeTint="FE" w:sz="4" w:space="0"/>
          <w:bottom w:val="none"/>
          <w:right w:val="none"/>
        </w:tcBorders>
      </w:tcPr>
    </w:tblStylePr>
    <w:tblStylePr w:type="lastRow">
      <w:rPr>
        <w:rFonts w:ascii="Arial" w:hAnsi="Arial"/>
        <w:b/>
        <w:color w:val="5c702f"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1">
    <w:name w:val="Grid Table 7 Colorful - Accent 4"/>
    <w:basedOn w:val="32"/>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34" w:fill="e5dfec" w:themeFill="accent4" w:themeFillTint="34"/>
        <w:tcBorders/>
      </w:tcPr>
    </w:tblStylePr>
    <w:tblStylePr w:type="band1Vert">
      <w:pPr>
        <w:pBdr/>
        <w:spacing/>
        <w:ind/>
      </w:pPr>
      <w:tblPr>
        <w:tblBorders/>
      </w:tblPr>
      <w:tcPr>
        <w:shd w:val="clear" w:color="ffffff" w:themeColor="accent4" w:themeTint="34" w:fill="e5dfec" w:themeFill="accent4" w:themeFillTint="34"/>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b/>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2">
    <w:name w:val="Grid Table 7 Colorful - Accent 5"/>
    <w:basedOn w:val="32"/>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266777" w:themeColor="accent5" w:themeShade="95"/>
        <w:sz w:val="22"/>
      </w:rPr>
      <w:pPr>
        <w:pBdr/>
        <w:spacing/>
        <w:ind/>
      </w:pPr>
      <w:tblPr>
        <w:tblBorders/>
      </w:tblPr>
      <w:tcPr>
        <w:shd w:val="clear" w:color="ffffff" w:themeColor="accent5" w:themeTint="34" w:fill="daeef3" w:themeFill="accent5" w:themeFillTint="34"/>
        <w:tcBorders/>
      </w:tcPr>
    </w:tblStylePr>
    <w:tblStylePr w:type="band1Vert">
      <w:pPr>
        <w:pBdr/>
        <w:spacing/>
        <w:ind/>
      </w:pPr>
      <w:tblPr>
        <w:tblBorders/>
      </w:tblPr>
      <w:tcPr>
        <w:shd w:val="clear" w:color="ffffff" w:themeColor="accent5" w:themeTint="34" w:fill="daeef3" w:themeFill="accent5" w:themeFillTint="34"/>
        <w:tcBorders/>
      </w:tcPr>
    </w:tblStylePr>
    <w:tblStylePr w:type="band2Horz">
      <w:rPr>
        <w:rFonts w:ascii="Arial" w:hAnsi="Arial"/>
        <w:color w:val="266777"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66777" w:themeColor="accent5" w:themeShade="95"/>
        <w:sz w:val="22"/>
      </w:rPr>
      <w:pPr>
        <w:pBdr/>
        <w:spacing/>
        <w:ind/>
        <w:jc w:val="right"/>
      </w:pPr>
      <w:tblPr>
        <w:tblBorders/>
      </w:tblPr>
      <w:tcPr>
        <w:shd w:color="ffffff"/>
        <w:tcBorders>
          <w:top w:val="none"/>
          <w:left w:val="none"/>
          <w:bottom w:val="none"/>
          <w:right w:val="single" w:color="000000" w:themeColor="accent5" w:themeTint="90" w:sz="4" w:space="0"/>
        </w:tcBorders>
      </w:tcPr>
    </w:tblStylePr>
    <w:tblStylePr w:type="firstRow">
      <w:rPr>
        <w:rFonts w:ascii="Arial" w:hAnsi="Arial"/>
        <w:b/>
        <w:color w:val="266777" w:themeColor="accent5" w:themeShade="95"/>
        <w:sz w:val="22"/>
      </w:rPr>
      <w:pPr>
        <w:pBdr/>
        <w:spacing/>
        <w:ind/>
      </w:pPr>
      <w:tblPr>
        <w:tblBorders/>
      </w:tblPr>
      <w:tcPr>
        <w:shd w:val="clear" w:color="ffffff" w:themeColor="light1" w:fill="ffffff" w:themeFill="light1"/>
        <w:tcBorders>
          <w:top w:val="none"/>
          <w:left w:val="none"/>
          <w:bottom w:val="single" w:color="000000" w:themeColor="accent5" w:themeTint="90" w:sz="4" w:space="0"/>
          <w:right w:val="none"/>
        </w:tcBorders>
      </w:tcPr>
    </w:tblStylePr>
    <w:tblStylePr w:type="lastCol">
      <w:rPr>
        <w:rFonts w:ascii="Arial" w:hAnsi="Arial"/>
        <w:i/>
        <w:color w:val="266777" w:themeColor="accent5" w:themeShade="95"/>
        <w:sz w:val="22"/>
      </w:rPr>
      <w:pPr>
        <w:pBdr/>
        <w:spacing/>
        <w:ind/>
      </w:pPr>
      <w:tblPr>
        <w:tblBorders/>
      </w:tblPr>
      <w:tcPr>
        <w:shd w:color="ffffff"/>
        <w:tcBorders>
          <w:top w:val="none"/>
          <w:left w:val="single" w:color="000000" w:themeColor="accent5" w:themeTint="90" w:sz="4" w:space="0"/>
          <w:bottom w:val="none"/>
          <w:right w:val="none"/>
        </w:tcBorders>
      </w:tcPr>
    </w:tblStylePr>
    <w:tblStylePr w:type="lastRow">
      <w:rPr>
        <w:rFonts w:ascii="Arial" w:hAnsi="Arial"/>
        <w:b/>
        <w:color w:val="266777"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3">
    <w:name w:val="Grid Table 7 Colorful - Accent 6"/>
    <w:basedOn w:val="32"/>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b05307" w:themeColor="accent6" w:themeShade="95"/>
        <w:sz w:val="22"/>
      </w:rPr>
      <w:pPr>
        <w:pBdr/>
        <w:spacing/>
        <w:ind/>
      </w:pPr>
      <w:tblPr>
        <w:tblBorders/>
      </w:tblPr>
      <w:tcPr>
        <w:shd w:val="clear" w:color="ffffff" w:themeColor="accent6" w:themeTint="34" w:fill="fde9d8" w:themeFill="accent6" w:themeFillTint="34"/>
        <w:tcBorders/>
      </w:tcPr>
    </w:tblStylePr>
    <w:tblStylePr w:type="band1Vert">
      <w:pPr>
        <w:pBdr/>
        <w:spacing/>
        <w:ind/>
      </w:pPr>
      <w:tblPr>
        <w:tblBorders/>
      </w:tblPr>
      <w:tcPr>
        <w:shd w:val="clear" w:color="ffffff" w:themeColor="accent6" w:themeTint="34" w:fill="fde9d8" w:themeFill="accent6" w:themeFillTint="34"/>
        <w:tcBorders/>
      </w:tcPr>
    </w:tblStylePr>
    <w:tblStylePr w:type="band2Horz">
      <w:rPr>
        <w:rFonts w:ascii="Arial" w:hAnsi="Arial"/>
        <w:color w:val="b05307"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05307" w:themeColor="accent6" w:themeShade="95"/>
        <w:sz w:val="22"/>
      </w:rPr>
      <w:pPr>
        <w:pBdr/>
        <w:spacing/>
        <w:ind/>
        <w:jc w:val="right"/>
      </w:pPr>
      <w:tblPr>
        <w:tblBorders/>
      </w:tblPr>
      <w:tcPr>
        <w:shd w:color="ffffff"/>
        <w:tcBorders>
          <w:top w:val="none"/>
          <w:left w:val="none"/>
          <w:bottom w:val="none"/>
          <w:right w:val="single" w:color="000000" w:themeColor="accent6" w:themeTint="90" w:sz="4" w:space="0"/>
        </w:tcBorders>
      </w:tcPr>
    </w:tblStylePr>
    <w:tblStylePr w:type="firstRow">
      <w:rPr>
        <w:rFonts w:ascii="Arial" w:hAnsi="Arial"/>
        <w:b/>
        <w:color w:val="b05307" w:themeColor="accent6" w:themeShade="95"/>
        <w:sz w:val="22"/>
      </w:rPr>
      <w:pPr>
        <w:pBdr/>
        <w:spacing/>
        <w:ind/>
      </w:pPr>
      <w:tblPr>
        <w:tblBorders/>
      </w:tblPr>
      <w:tcPr>
        <w:shd w:val="clear" w:color="ffffff" w:themeColor="light1" w:fill="ffffff" w:themeFill="light1"/>
        <w:tcBorders>
          <w:top w:val="none"/>
          <w:left w:val="none"/>
          <w:bottom w:val="single" w:color="000000" w:themeColor="accent6" w:themeTint="90" w:sz="4" w:space="0"/>
          <w:right w:val="none"/>
        </w:tcBorders>
      </w:tcPr>
    </w:tblStylePr>
    <w:tblStylePr w:type="lastCol">
      <w:rPr>
        <w:rFonts w:ascii="Arial" w:hAnsi="Arial"/>
        <w:i/>
        <w:color w:val="b05307" w:themeColor="accent6" w:themeShade="95"/>
        <w:sz w:val="22"/>
      </w:rPr>
      <w:pPr>
        <w:pBdr/>
        <w:spacing/>
        <w:ind/>
      </w:pPr>
      <w:tblPr>
        <w:tblBorders/>
      </w:tblPr>
      <w:tcPr>
        <w:shd w:color="ffffff"/>
        <w:tcBorders>
          <w:top w:val="none"/>
          <w:left w:val="single" w:color="000000" w:themeColor="accent6" w:themeTint="90" w:sz="4" w:space="0"/>
          <w:bottom w:val="none"/>
          <w:right w:val="none"/>
        </w:tcBorders>
      </w:tcPr>
    </w:tblStylePr>
    <w:tblStylePr w:type="lastRow">
      <w:rPr>
        <w:rFonts w:ascii="Arial" w:hAnsi="Arial"/>
        <w:b/>
        <w:color w:val="b05307"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4">
    <w:name w:val="List Table 1 Light"/>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5">
    <w:name w:val="List Table 1 Light - Accent 1"/>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6">
    <w:name w:val="List Table 1 Light - Accent 2"/>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7">
    <w:name w:val="List Table 1 Light - Accent 3"/>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8">
    <w:name w:val="List Table 1 Light - Accent 4"/>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09">
    <w:name w:val="List Table 1 Light - Accent 5"/>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0">
    <w:name w:val="List Table 1 Light - Accent 6"/>
    <w:basedOn w:val="32"/>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1">
    <w:name w:val="List Table 2"/>
    <w:basedOn w:val="32"/>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2">
    <w:name w:val="List Table 2 - Accent 1"/>
    <w:basedOn w:val="32"/>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3">
    <w:name w:val="List Table 2 - Accent 2"/>
    <w:basedOn w:val="32"/>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4">
    <w:name w:val="List Table 2 - Accent 3"/>
    <w:basedOn w:val="32"/>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5">
    <w:name w:val="List Table 2 - Accent 4"/>
    <w:basedOn w:val="32"/>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6">
    <w:name w:val="List Table 2 - Accent 5"/>
    <w:basedOn w:val="32"/>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7">
    <w:name w:val="List Table 2 - Accent 6"/>
    <w:basedOn w:val="32"/>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8">
    <w:name w:val="List Table 3"/>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19">
    <w:name w:val="List Table 3 - Accent 1"/>
    <w:basedOn w:val="32"/>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0">
    <w:name w:val="List Table 3 - Accent 2"/>
    <w:basedOn w:val="32"/>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d99694"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1">
    <w:name w:val="List Table 3 - Accent 3"/>
    <w:basedOn w:val="32"/>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c3d69b"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2">
    <w:name w:val="List Table 3 - Accent 4"/>
    <w:basedOn w:val="32"/>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b2a1c6"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3">
    <w:name w:val="List Table 3 - Accent 5"/>
    <w:basedOn w:val="32"/>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91cddc"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4">
    <w:name w:val="List Table 3 - Accent 6"/>
    <w:basedOn w:val="32"/>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f9bf90"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5">
    <w:name w:val="List Table 4"/>
    <w:basedOn w:val="32"/>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6">
    <w:name w:val="List Table 4 - Accent 1"/>
    <w:basedOn w:val="32"/>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d3e0ee"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4f81bd"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7">
    <w:name w:val="List Table 4 - Accent 2"/>
    <w:basedOn w:val="32"/>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efd3d2"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c0504d"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8">
    <w:name w:val="List Table 4 - Accent 3"/>
    <w:basedOn w:val="32"/>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e6eed5"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9bbb59"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29">
    <w:name w:val="List Table 4 - Accent 4"/>
    <w:basedOn w:val="32"/>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dfd8e7"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064a2"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0">
    <w:name w:val="List Table 4 - Accent 5"/>
    <w:basedOn w:val="32"/>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d1eaf0"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4bacc6"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1">
    <w:name w:val="List Table 4 - Accent 6"/>
    <w:basedOn w:val="32"/>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ce4d1"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f79646"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32">
    <w:name w:val="List Table 5 Dark"/>
    <w:basedOn w:val="32"/>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3">
    <w:name w:val="List Table 5 Dark - Accent 1"/>
    <w:basedOn w:val="32"/>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4f81bd" w:themeFill="accent1"/>
    </w:tblPr>
    <w:tcPr>
      <w:tcBorders/>
    </w:tcPr>
    <w:tblStylePr w:type="band1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4f81bd"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4f81bd"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4f81bd"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4">
    <w:name w:val="List Table 5 Dark - Accent 2"/>
    <w:basedOn w:val="32"/>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d99694" w:themeFill="accent2" w:themeFillTint="97"/>
    </w:tblPr>
    <w:tcPr>
      <w:tcBorders/>
    </w:tcPr>
    <w:tblStylePr w:type="band1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d99694"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d99694"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d99694"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5">
    <w:name w:val="List Table 5 Dark - Accent 3"/>
    <w:basedOn w:val="32"/>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c3d69b" w:themeFill="accent3" w:themeFillTint="98"/>
    </w:tblPr>
    <w:tcPr>
      <w:tcBorders/>
    </w:tcPr>
    <w:tblStylePr w:type="band1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c3d69b"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c3d69b"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c3d69b"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6">
    <w:name w:val="List Table 5 Dark - Accent 4"/>
    <w:basedOn w:val="32"/>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b2a1c6" w:themeFill="accent4" w:themeFillTint="9A"/>
    </w:tblPr>
    <w:tcPr>
      <w:tcBorders/>
    </w:tcPr>
    <w:tblStylePr w:type="band1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b2a1c6"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b2a1c6"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b2a1c6"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7">
    <w:name w:val="List Table 5 Dark - Accent 5"/>
    <w:basedOn w:val="32"/>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91cddc" w:themeFill="accent5" w:themeFillTint="9A"/>
    </w:tblPr>
    <w:tcPr>
      <w:tcBorders/>
    </w:tcPr>
    <w:tblStylePr w:type="band1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91cddc"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91cddc"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91cddc"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8">
    <w:name w:val="List Table 5 Dark - Accent 6"/>
    <w:basedOn w:val="32"/>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f9bf90" w:themeFill="accent6" w:themeFillTint="98"/>
    </w:tblPr>
    <w:tcPr>
      <w:tcBorders/>
    </w:tcPr>
    <w:tblStylePr w:type="band1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f9bf90"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f9bf90"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f9bf90"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139">
    <w:name w:val="List Table 6 Colorful"/>
    <w:basedOn w:val="32"/>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0">
    <w:name w:val="List Table 6 Colorful - Accent 1"/>
    <w:basedOn w:val="32"/>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2a4b71" w:themeColor="accent1" w:themeShade="95"/>
      </w:rPr>
      <w:pPr>
        <w:pBdr/>
        <w:spacing/>
        <w:ind/>
      </w:pPr>
      <w:tblPr>
        <w:tblBorders/>
      </w:tblPr>
      <w:tcPr>
        <w:tcBorders/>
      </w:tcPr>
    </w:tblStylePr>
    <w:tblStylePr w:type="firstRow">
      <w:rPr>
        <w:b/>
        <w:color w:val="2a4b71" w:themeColor="accent1" w:themeShade="95"/>
      </w:rPr>
      <w:pPr>
        <w:pBdr/>
        <w:spacing/>
        <w:ind/>
      </w:pPr>
      <w:tblPr>
        <w:tblBorders/>
      </w:tblPr>
      <w:tcPr>
        <w:tcBorders>
          <w:bottom w:val="single" w:color="000000" w:themeColor="accent1" w:sz="4" w:space="0"/>
        </w:tcBorders>
      </w:tcPr>
    </w:tblStylePr>
    <w:tblStylePr w:type="lastCol">
      <w:rPr>
        <w:b/>
        <w:color w:val="2a4b71" w:themeColor="accent1" w:themeShade="95"/>
      </w:rPr>
      <w:pPr>
        <w:pBdr/>
        <w:spacing/>
        <w:ind/>
      </w:pPr>
      <w:tblPr>
        <w:tblBorders/>
      </w:tblPr>
      <w:tcPr>
        <w:tcBorders/>
      </w:tcPr>
    </w:tblStylePr>
    <w:tblStylePr w:type="lastRow">
      <w:rPr>
        <w:b/>
        <w:color w:val="2a4b71"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1">
    <w:name w:val="List Table 6 Colorful - Accent 2"/>
    <w:basedOn w:val="32"/>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c3a37" w:themeColor="accent2" w:themeTint="97" w:themeShade="95"/>
      </w:rPr>
      <w:pPr>
        <w:pBdr/>
        <w:spacing/>
        <w:ind/>
      </w:pPr>
      <w:tblPr>
        <w:tblBorders/>
      </w:tblPr>
      <w:tcPr>
        <w:tcBorders/>
      </w:tcPr>
    </w:tblStylePr>
    <w:tblStylePr w:type="firstRow">
      <w:rPr>
        <w:b/>
        <w:color w:val="9c3a37" w:themeColor="accent2" w:themeTint="97" w:themeShade="95"/>
      </w:rPr>
      <w:pPr>
        <w:pBdr/>
        <w:spacing/>
        <w:ind/>
      </w:pPr>
      <w:tblPr>
        <w:tblBorders/>
      </w:tblPr>
      <w:tcPr>
        <w:tcBorders>
          <w:bottom w:val="single" w:color="000000" w:themeColor="accent2" w:themeTint="97" w:sz="4" w:space="0"/>
        </w:tcBorders>
      </w:tcPr>
    </w:tblStylePr>
    <w:tblStylePr w:type="lastCol">
      <w:rPr>
        <w:b/>
        <w:color w:val="9c3a37" w:themeColor="accent2" w:themeTint="97" w:themeShade="95"/>
      </w:rPr>
      <w:pPr>
        <w:pBdr/>
        <w:spacing/>
        <w:ind/>
      </w:pPr>
      <w:tblPr>
        <w:tblBorders/>
      </w:tblPr>
      <w:tcPr>
        <w:tcBorders/>
      </w:tcPr>
    </w:tblStylePr>
    <w:tblStylePr w:type="lastRow">
      <w:rPr>
        <w:b/>
        <w:color w:val="9c3a37"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2">
    <w:name w:val="List Table 6 Colorful - Accent 3"/>
    <w:basedOn w:val="32"/>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c983f" w:themeColor="accent3" w:themeTint="98" w:themeShade="95"/>
      </w:rPr>
      <w:pPr>
        <w:pBdr/>
        <w:spacing/>
        <w:ind/>
      </w:pPr>
      <w:tblPr>
        <w:tblBorders/>
      </w:tblPr>
      <w:tcPr>
        <w:tcBorders/>
      </w:tcPr>
    </w:tblStylePr>
    <w:tblStylePr w:type="firstRow">
      <w:rPr>
        <w:b/>
        <w:color w:val="7c983f" w:themeColor="accent3" w:themeTint="98" w:themeShade="95"/>
      </w:rPr>
      <w:pPr>
        <w:pBdr/>
        <w:spacing/>
        <w:ind/>
      </w:pPr>
      <w:tblPr>
        <w:tblBorders/>
      </w:tblPr>
      <w:tcPr>
        <w:tcBorders>
          <w:bottom w:val="single" w:color="000000" w:themeColor="accent3" w:themeTint="98" w:sz="4" w:space="0"/>
        </w:tcBorders>
      </w:tcPr>
    </w:tblStylePr>
    <w:tblStylePr w:type="lastCol">
      <w:rPr>
        <w:b/>
        <w:color w:val="7c983f" w:themeColor="accent3" w:themeTint="98" w:themeShade="95"/>
      </w:rPr>
      <w:pPr>
        <w:pBdr/>
        <w:spacing/>
        <w:ind/>
      </w:pPr>
      <w:tblPr>
        <w:tblBorders/>
      </w:tblPr>
      <w:tcPr>
        <w:tcBorders/>
      </w:tcPr>
    </w:tblStylePr>
    <w:tblStylePr w:type="lastRow">
      <w:rPr>
        <w:b/>
        <w:color w:val="7c983f"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3">
    <w:name w:val="List Table 6 Colorful - Accent 4"/>
    <w:basedOn w:val="32"/>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64f82" w:themeColor="accent4" w:themeTint="9A" w:themeShade="95"/>
      </w:rPr>
      <w:pPr>
        <w:pBdr/>
        <w:spacing/>
        <w:ind/>
      </w:pPr>
      <w:tblPr>
        <w:tblBorders/>
      </w:tblPr>
      <w:tcPr>
        <w:tcBorders/>
      </w:tcPr>
    </w:tblStylePr>
    <w:tblStylePr w:type="firstRow">
      <w:rPr>
        <w:b/>
        <w:color w:val="664f82" w:themeColor="accent4" w:themeTint="9A" w:themeShade="95"/>
      </w:rPr>
      <w:pPr>
        <w:pBdr/>
        <w:spacing/>
        <w:ind/>
      </w:pPr>
      <w:tblPr>
        <w:tblBorders/>
      </w:tblPr>
      <w:tcPr>
        <w:tcBorders>
          <w:bottom w:val="single" w:color="000000" w:themeColor="accent4" w:themeTint="9A" w:sz="4" w:space="0"/>
        </w:tcBorders>
      </w:tcPr>
    </w:tblStylePr>
    <w:tblStylePr w:type="lastCol">
      <w:rPr>
        <w:b/>
        <w:color w:val="664f82" w:themeColor="accent4" w:themeTint="9A" w:themeShade="95"/>
      </w:rPr>
      <w:pPr>
        <w:pBdr/>
        <w:spacing/>
        <w:ind/>
      </w:pPr>
      <w:tblPr>
        <w:tblBorders/>
      </w:tblPr>
      <w:tcPr>
        <w:tcBorders/>
      </w:tcPr>
    </w:tblStylePr>
    <w:tblStylePr w:type="lastRow">
      <w:rPr>
        <w:b/>
        <w:color w:val="664f82"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4">
    <w:name w:val="List Table 6 Colorful - Accent 5"/>
    <w:basedOn w:val="32"/>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338aa0" w:themeColor="accent5" w:themeTint="9A" w:themeShade="95"/>
      </w:rPr>
      <w:pPr>
        <w:pBdr/>
        <w:spacing/>
        <w:ind/>
      </w:pPr>
      <w:tblPr>
        <w:tblBorders/>
      </w:tblPr>
      <w:tcPr>
        <w:tcBorders/>
      </w:tcPr>
    </w:tblStylePr>
    <w:tblStylePr w:type="firstRow">
      <w:rPr>
        <w:b/>
        <w:color w:val="338aa0" w:themeColor="accent5" w:themeTint="9A" w:themeShade="95"/>
      </w:rPr>
      <w:pPr>
        <w:pBdr/>
        <w:spacing/>
        <w:ind/>
      </w:pPr>
      <w:tblPr>
        <w:tblBorders/>
      </w:tblPr>
      <w:tcPr>
        <w:tcBorders>
          <w:bottom w:val="single" w:color="000000" w:themeColor="accent5" w:themeTint="9A" w:sz="4" w:space="0"/>
        </w:tcBorders>
      </w:tcPr>
    </w:tblStylePr>
    <w:tblStylePr w:type="lastCol">
      <w:rPr>
        <w:b/>
        <w:color w:val="338aa0" w:themeColor="accent5" w:themeTint="9A" w:themeShade="95"/>
      </w:rPr>
      <w:pPr>
        <w:pBdr/>
        <w:spacing/>
        <w:ind/>
      </w:pPr>
      <w:tblPr>
        <w:tblBorders/>
      </w:tblPr>
      <w:tcPr>
        <w:tcBorders/>
      </w:tcPr>
    </w:tblStylePr>
    <w:tblStylePr w:type="lastRow">
      <w:rPr>
        <w:b/>
        <w:color w:val="338aa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5">
    <w:name w:val="List Table 6 Colorful - Accent 6"/>
    <w:basedOn w:val="32"/>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d9680c" w:themeColor="accent6" w:themeTint="98" w:themeShade="95"/>
      </w:rPr>
      <w:pPr>
        <w:pBdr/>
        <w:spacing/>
        <w:ind/>
      </w:pPr>
      <w:tblPr>
        <w:tblBorders/>
      </w:tblPr>
      <w:tcPr>
        <w:tcBorders/>
      </w:tcPr>
    </w:tblStylePr>
    <w:tblStylePr w:type="firstRow">
      <w:rPr>
        <w:b/>
        <w:color w:val="d9680c" w:themeColor="accent6" w:themeTint="98" w:themeShade="95"/>
      </w:rPr>
      <w:pPr>
        <w:pBdr/>
        <w:spacing/>
        <w:ind/>
      </w:pPr>
      <w:tblPr>
        <w:tblBorders/>
      </w:tblPr>
      <w:tcPr>
        <w:tcBorders>
          <w:bottom w:val="single" w:color="000000" w:themeColor="accent6" w:themeTint="98" w:sz="4" w:space="0"/>
        </w:tcBorders>
      </w:tcPr>
    </w:tblStylePr>
    <w:tblStylePr w:type="lastCol">
      <w:rPr>
        <w:b/>
        <w:color w:val="d9680c" w:themeColor="accent6" w:themeTint="98" w:themeShade="95"/>
      </w:rPr>
      <w:pPr>
        <w:pBdr/>
        <w:spacing/>
        <w:ind/>
      </w:pPr>
      <w:tblPr>
        <w:tblBorders/>
      </w:tblPr>
      <w:tcPr>
        <w:tcBorders/>
      </w:tcPr>
    </w:tblStylePr>
    <w:tblStylePr w:type="lastRow">
      <w:rPr>
        <w:b/>
        <w:color w:val="d9680c"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46">
    <w:name w:val="List Table 7 Colorful"/>
    <w:basedOn w:val="32"/>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color="ffffff"/>
        <w:tcBorders>
          <w:top w:val="none"/>
          <w:left w:val="none"/>
          <w:bottom w:val="none"/>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left w:val="none"/>
          <w:bottom w:val="single" w:color="000000" w:themeColor="text1" w:themeTint="80" w:sz="4" w:space="0"/>
          <w:right w:val="none"/>
        </w:tcBorders>
      </w:tcPr>
    </w:tblStylePr>
    <w:tblStylePr w:type="lastCol">
      <w:rPr>
        <w:rFonts w:ascii="Arial" w:hAnsi="Arial"/>
        <w:i/>
        <w:color w:val="4a4a4a" w:themeColor="text1" w:themeTint="80" w:themeShade="95"/>
        <w:sz w:val="22"/>
      </w:rPr>
      <w:pPr>
        <w:pBdr/>
        <w:spacing/>
        <w:ind/>
      </w:pPr>
      <w:tblPr>
        <w:tblBorders/>
      </w:tblPr>
      <w:tcPr>
        <w:shd w:color="ffffff"/>
        <w:tcBorders>
          <w:top w:val="none"/>
          <w:left w:val="single" w:color="000000" w:themeColor="text1" w:themeTint="80" w:sz="4" w:space="0"/>
          <w:bottom w:val="none"/>
          <w:right w:val="none"/>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147">
    <w:name w:val="List Table 7 Colorful - Accent 1"/>
    <w:basedOn w:val="32"/>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2a4b71" w:themeColor="accent1" w:themeShade="95"/>
        <w:sz w:val="22"/>
      </w:rPr>
      <w:pPr>
        <w:pBdr/>
        <w:spacing/>
        <w:ind/>
      </w:pPr>
      <w:tblPr>
        <w:tblBorders/>
      </w:tblPr>
      <w:tcPr>
        <w:shd w:val="clear" w:color="ffffff" w:themeColor="accent1" w:themeTint="40" w:fill="d3e0ee" w:themeFill="accent1" w:themeFillTint="40"/>
        <w:tcBorders/>
      </w:tcPr>
    </w:tblStylePr>
    <w:tblStylePr w:type="band1Vert">
      <w:pPr>
        <w:pBdr/>
        <w:spacing/>
        <w:ind/>
      </w:pPr>
      <w:tblPr>
        <w:tblBorders/>
      </w:tblPr>
      <w:tcPr>
        <w:shd w:val="clear" w:color="ffffff" w:themeColor="accent1" w:themeTint="40" w:fill="d3e0ee" w:themeFill="accent1" w:themeFillTint="40"/>
        <w:tcBorders/>
      </w:tcPr>
    </w:tblStylePr>
    <w:tblStylePr w:type="band2Horz">
      <w:rPr>
        <w:rFonts w:ascii="Arial" w:hAnsi="Arial"/>
        <w:color w:val="2a4b71"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2a4b71" w:themeColor="accent1" w:themeShade="95"/>
        <w:sz w:val="22"/>
      </w:rPr>
      <w:pPr>
        <w:pBdr/>
        <w:spacing/>
        <w:ind/>
        <w:jc w:val="right"/>
      </w:pPr>
      <w:tblPr>
        <w:tblBorders/>
      </w:tblPr>
      <w:tcPr>
        <w:shd w:color="ffffff"/>
        <w:tcBorders>
          <w:top w:val="none"/>
          <w:left w:val="none"/>
          <w:bottom w:val="none"/>
          <w:right w:val="single" w:color="000000" w:themeColor="accent1" w:sz="4" w:space="0"/>
        </w:tcBorders>
      </w:tcPr>
    </w:tblStylePr>
    <w:tblStylePr w:type="firstRow">
      <w:rPr>
        <w:rFonts w:ascii="Arial" w:hAnsi="Arial"/>
        <w:i/>
        <w:color w:val="2a4b71" w:themeColor="accent1" w:themeShade="95"/>
        <w:sz w:val="22"/>
      </w:rPr>
      <w:pPr>
        <w:pBdr/>
        <w:spacing/>
        <w:ind/>
      </w:pPr>
      <w:tblPr>
        <w:tblBorders/>
      </w:tblPr>
      <w:tcPr>
        <w:shd w:val="clear" w:color="ffffff" w:themeColor="light1" w:fill="ffffff" w:themeFill="light1"/>
        <w:tcBorders>
          <w:top w:val="none"/>
          <w:left w:val="none"/>
          <w:bottom w:val="single" w:color="000000" w:themeColor="accent1" w:sz="4" w:space="0"/>
          <w:right w:val="none"/>
        </w:tcBorders>
      </w:tcPr>
    </w:tblStylePr>
    <w:tblStylePr w:type="lastCol">
      <w:rPr>
        <w:rFonts w:ascii="Arial" w:hAnsi="Arial"/>
        <w:i/>
        <w:color w:val="2a4b71" w:themeColor="accent1" w:themeShade="95"/>
        <w:sz w:val="22"/>
      </w:rPr>
      <w:pPr>
        <w:pBdr/>
        <w:spacing/>
        <w:ind/>
      </w:pPr>
      <w:tblPr>
        <w:tblBorders/>
      </w:tblPr>
      <w:tcPr>
        <w:shd w:color="ffffff"/>
        <w:tcBorders>
          <w:top w:val="none"/>
          <w:left w:val="single" w:color="000000" w:themeColor="accent1" w:sz="4" w:space="0"/>
          <w:bottom w:val="none"/>
          <w:right w:val="none"/>
        </w:tcBorders>
      </w:tcPr>
    </w:tblStylePr>
    <w:tblStylePr w:type="lastRow">
      <w:rPr>
        <w:rFonts w:ascii="Arial" w:hAnsi="Arial"/>
        <w:i/>
        <w:color w:val="2a4b71" w:themeColor="accent1" w:themeShade="95"/>
        <w:sz w:val="22"/>
      </w:rPr>
      <w:pPr>
        <w:pBdr/>
        <w:spacing/>
        <w:ind/>
      </w:pPr>
      <w:tblPr>
        <w:tblBorders/>
      </w:tblPr>
      <w:tcPr>
        <w:shd w:val="clear" w:color="ffffff" w:themeColor="light1" w:fill="ffffff" w:themeFill="light1"/>
        <w:tcBorders>
          <w:top w:val="single" w:color="000000" w:themeColor="accent1"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2a4b71" w:themeColor="accent1" w:themeShade="95"/>
        <w:sz w:val="22"/>
      </w:rPr>
      <w:pPr>
        <w:pBdr/>
        <w:spacing/>
        <w:ind/>
      </w:pPr>
      <w:tblPr>
        <w:tblBorders/>
      </w:tblPr>
      <w:tcPr>
        <w:tcBorders/>
      </w:tcPr>
    </w:tblStylePr>
  </w:style>
  <w:style w:type="table" w:styleId="148">
    <w:name w:val="List Table 7 Colorful - Accent 2"/>
    <w:basedOn w:val="32"/>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9c3a37" w:themeColor="accent2" w:themeTint="97" w:themeShade="95"/>
        <w:sz w:val="22"/>
      </w:rPr>
      <w:pPr>
        <w:pBdr/>
        <w:spacing/>
        <w:ind/>
      </w:pPr>
      <w:tblPr>
        <w:tblBorders/>
      </w:tblPr>
      <w:tcPr>
        <w:shd w:val="clear" w:color="ffffff" w:themeColor="accent2" w:themeTint="40" w:fill="efd3d2" w:themeFill="accent2" w:themeFillTint="40"/>
        <w:tcBorders/>
      </w:tcPr>
    </w:tblStylePr>
    <w:tblStylePr w:type="band1Vert">
      <w:pPr>
        <w:pBdr/>
        <w:spacing/>
        <w:ind/>
      </w:pPr>
      <w:tblPr>
        <w:tblBorders/>
      </w:tblPr>
      <w:tcPr>
        <w:shd w:val="clear" w:color="ffffff" w:themeColor="accent2" w:themeTint="40" w:fill="efd3d2" w:themeFill="accent2" w:themeFillTint="40"/>
        <w:tcBorders/>
      </w:tcPr>
    </w:tblStylePr>
    <w:tblStylePr w:type="band2Horz">
      <w:rPr>
        <w:rFonts w:ascii="Arial" w:hAnsi="Arial"/>
        <w:color w:val="9c3a37"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c3a37" w:themeColor="accent2" w:themeTint="97" w:themeShade="95"/>
        <w:sz w:val="22"/>
      </w:rPr>
      <w:pPr>
        <w:pBdr/>
        <w:spacing/>
        <w:ind/>
        <w:jc w:val="right"/>
      </w:pPr>
      <w:tblPr>
        <w:tblBorders/>
      </w:tblPr>
      <w:tcPr>
        <w:shd w:color="ffffff"/>
        <w:tcBorders>
          <w:top w:val="none"/>
          <w:left w:val="none"/>
          <w:bottom w:val="none"/>
          <w:right w:val="single" w:color="000000" w:themeColor="accent2" w:themeTint="97" w:sz="4" w:space="0"/>
        </w:tcBorders>
      </w:tcPr>
    </w:tblStylePr>
    <w:tblStylePr w:type="fir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none"/>
          <w:left w:val="none"/>
          <w:bottom w:val="single" w:color="000000" w:themeColor="accent2" w:themeTint="97" w:sz="4" w:space="0"/>
          <w:right w:val="none"/>
        </w:tcBorders>
      </w:tcPr>
    </w:tblStylePr>
    <w:tblStylePr w:type="lastCol">
      <w:rPr>
        <w:rFonts w:ascii="Arial" w:hAnsi="Arial"/>
        <w:i/>
        <w:color w:val="9c3a37" w:themeColor="accent2" w:themeTint="97" w:themeShade="95"/>
        <w:sz w:val="22"/>
      </w:rPr>
      <w:pPr>
        <w:pBdr/>
        <w:spacing/>
        <w:ind/>
      </w:pPr>
      <w:tblPr>
        <w:tblBorders/>
      </w:tblPr>
      <w:tcPr>
        <w:shd w:color="ffffff"/>
        <w:tcBorders>
          <w:top w:val="none"/>
          <w:left w:val="single" w:color="000000" w:themeColor="accent2" w:themeTint="97" w:sz="4" w:space="0"/>
          <w:bottom w:val="none"/>
          <w:right w:val="none"/>
        </w:tcBorders>
      </w:tcPr>
    </w:tblStylePr>
    <w:tblStylePr w:type="lastRow">
      <w:rPr>
        <w:rFonts w:ascii="Arial" w:hAnsi="Arial"/>
        <w:i/>
        <w:color w:val="9c3a37"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c3a37" w:themeColor="accent2" w:themeTint="97" w:themeShade="95"/>
        <w:sz w:val="22"/>
      </w:rPr>
      <w:pPr>
        <w:pBdr/>
        <w:spacing/>
        <w:ind/>
      </w:pPr>
      <w:tblPr>
        <w:tblBorders/>
      </w:tblPr>
      <w:tcPr>
        <w:tcBorders/>
      </w:tcPr>
    </w:tblStylePr>
  </w:style>
  <w:style w:type="table" w:styleId="149">
    <w:name w:val="List Table 7 Colorful - Accent 3"/>
    <w:basedOn w:val="32"/>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7c983f" w:themeColor="accent3" w:themeTint="98" w:themeShade="95"/>
        <w:sz w:val="22"/>
      </w:rPr>
      <w:pPr>
        <w:pBdr/>
        <w:spacing/>
        <w:ind/>
      </w:pPr>
      <w:tblPr>
        <w:tblBorders/>
      </w:tblPr>
      <w:tcPr>
        <w:shd w:val="clear" w:color="ffffff" w:themeColor="accent3" w:themeTint="40" w:fill="e6eed5" w:themeFill="accent3" w:themeFillTint="40"/>
        <w:tcBorders/>
      </w:tcPr>
    </w:tblStylePr>
    <w:tblStylePr w:type="band1Vert">
      <w:pPr>
        <w:pBdr/>
        <w:spacing/>
        <w:ind/>
      </w:pPr>
      <w:tblPr>
        <w:tblBorders/>
      </w:tblPr>
      <w:tcPr>
        <w:shd w:val="clear" w:color="ffffff" w:themeColor="accent3" w:themeTint="40" w:fill="e6eed5" w:themeFill="accent3" w:themeFillTint="40"/>
        <w:tcBorders/>
      </w:tcPr>
    </w:tblStylePr>
    <w:tblStylePr w:type="band2Horz">
      <w:rPr>
        <w:rFonts w:ascii="Arial" w:hAnsi="Arial"/>
        <w:color w:val="7c983f"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c983f" w:themeColor="accent3" w:themeTint="98" w:themeShade="95"/>
        <w:sz w:val="22"/>
      </w:rPr>
      <w:pPr>
        <w:pBdr/>
        <w:spacing/>
        <w:ind/>
        <w:jc w:val="right"/>
      </w:pPr>
      <w:tblPr>
        <w:tblBorders/>
      </w:tblPr>
      <w:tcPr>
        <w:shd w:color="ffffff"/>
        <w:tcBorders>
          <w:top w:val="none"/>
          <w:left w:val="none"/>
          <w:bottom w:val="none"/>
          <w:right w:val="single" w:color="000000" w:themeColor="accent3" w:themeTint="98" w:sz="4" w:space="0"/>
        </w:tcBorders>
      </w:tcPr>
    </w:tblStylePr>
    <w:tblStylePr w:type="fir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none"/>
          <w:left w:val="none"/>
          <w:bottom w:val="single" w:color="000000" w:themeColor="accent3" w:themeTint="98" w:sz="4" w:space="0"/>
          <w:right w:val="none"/>
        </w:tcBorders>
      </w:tcPr>
    </w:tblStylePr>
    <w:tblStylePr w:type="lastCol">
      <w:rPr>
        <w:rFonts w:ascii="Arial" w:hAnsi="Arial"/>
        <w:i/>
        <w:color w:val="7c983f" w:themeColor="accent3" w:themeTint="98" w:themeShade="95"/>
        <w:sz w:val="22"/>
      </w:rPr>
      <w:pPr>
        <w:pBdr/>
        <w:spacing/>
        <w:ind/>
      </w:pPr>
      <w:tblPr>
        <w:tblBorders/>
      </w:tblPr>
      <w:tcPr>
        <w:shd w:color="ffffff"/>
        <w:tcBorders>
          <w:top w:val="none"/>
          <w:left w:val="single" w:color="000000" w:themeColor="accent3" w:themeTint="98" w:sz="4" w:space="0"/>
          <w:bottom w:val="none"/>
          <w:right w:val="none"/>
        </w:tcBorders>
      </w:tcPr>
    </w:tblStylePr>
    <w:tblStylePr w:type="lastRow">
      <w:rPr>
        <w:rFonts w:ascii="Arial" w:hAnsi="Arial"/>
        <w:i/>
        <w:color w:val="7c983f"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7c983f" w:themeColor="accent3" w:themeTint="98" w:themeShade="95"/>
        <w:sz w:val="22"/>
      </w:rPr>
      <w:pPr>
        <w:pBdr/>
        <w:spacing/>
        <w:ind/>
      </w:pPr>
      <w:tblPr>
        <w:tblBorders/>
      </w:tblPr>
      <w:tcPr>
        <w:tcBorders/>
      </w:tcPr>
    </w:tblStylePr>
  </w:style>
  <w:style w:type="table" w:styleId="150">
    <w:name w:val="List Table 7 Colorful - Accent 4"/>
    <w:basedOn w:val="32"/>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664f82" w:themeColor="accent4" w:themeTint="9A" w:themeShade="95"/>
        <w:sz w:val="22"/>
      </w:rPr>
      <w:pPr>
        <w:pBdr/>
        <w:spacing/>
        <w:ind/>
      </w:pPr>
      <w:tblPr>
        <w:tblBorders/>
      </w:tblPr>
      <w:tcPr>
        <w:shd w:val="clear" w:color="ffffff" w:themeColor="accent4" w:themeTint="40" w:fill="dfd8e7" w:themeFill="accent4" w:themeFillTint="40"/>
        <w:tcBorders/>
      </w:tcPr>
    </w:tblStylePr>
    <w:tblStylePr w:type="band1Vert">
      <w:pPr>
        <w:pBdr/>
        <w:spacing/>
        <w:ind/>
      </w:pPr>
      <w:tblPr>
        <w:tblBorders/>
      </w:tblPr>
      <w:tcPr>
        <w:shd w:val="clear" w:color="ffffff" w:themeColor="accent4" w:themeTint="40" w:fill="dfd8e7" w:themeFill="accent4" w:themeFillTint="40"/>
        <w:tcBorders/>
      </w:tcPr>
    </w:tblStylePr>
    <w:tblStylePr w:type="band2Horz">
      <w:rPr>
        <w:rFonts w:ascii="Arial" w:hAnsi="Arial"/>
        <w:color w:val="664f82"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64f82" w:themeColor="accent4" w:themeTint="9A" w:themeShade="95"/>
        <w:sz w:val="22"/>
      </w:rPr>
      <w:pPr>
        <w:pBdr/>
        <w:spacing/>
        <w:ind/>
        <w:jc w:val="right"/>
      </w:pPr>
      <w:tblPr>
        <w:tblBorders/>
      </w:tblPr>
      <w:tcPr>
        <w:shd w:color="ffffff"/>
        <w:tcBorders>
          <w:top w:val="none"/>
          <w:left w:val="none"/>
          <w:bottom w:val="none"/>
          <w:right w:val="single" w:color="000000" w:themeColor="accent4" w:themeTint="9A" w:sz="4" w:space="0"/>
        </w:tcBorders>
      </w:tcPr>
    </w:tblStylePr>
    <w:tblStylePr w:type="fir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none"/>
          <w:left w:val="none"/>
          <w:bottom w:val="single" w:color="000000" w:themeColor="accent4" w:themeTint="9A" w:sz="4" w:space="0"/>
          <w:right w:val="none"/>
        </w:tcBorders>
      </w:tcPr>
    </w:tblStylePr>
    <w:tblStylePr w:type="lastCol">
      <w:rPr>
        <w:rFonts w:ascii="Arial" w:hAnsi="Arial"/>
        <w:i/>
        <w:color w:val="664f82" w:themeColor="accent4" w:themeTint="9A" w:themeShade="95"/>
        <w:sz w:val="22"/>
      </w:rPr>
      <w:pPr>
        <w:pBdr/>
        <w:spacing/>
        <w:ind/>
      </w:pPr>
      <w:tblPr>
        <w:tblBorders/>
      </w:tblPr>
      <w:tcPr>
        <w:shd w:color="ffffff"/>
        <w:tcBorders>
          <w:top w:val="none"/>
          <w:left w:val="single" w:color="000000" w:themeColor="accent4" w:themeTint="9A" w:sz="4" w:space="0"/>
          <w:bottom w:val="none"/>
          <w:right w:val="none"/>
        </w:tcBorders>
      </w:tcPr>
    </w:tblStylePr>
    <w:tblStylePr w:type="lastRow">
      <w:rPr>
        <w:rFonts w:ascii="Arial" w:hAnsi="Arial"/>
        <w:i/>
        <w:color w:val="664f82"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664f82" w:themeColor="accent4" w:themeTint="9A" w:themeShade="95"/>
        <w:sz w:val="22"/>
      </w:rPr>
      <w:pPr>
        <w:pBdr/>
        <w:spacing/>
        <w:ind/>
      </w:pPr>
      <w:tblPr>
        <w:tblBorders/>
      </w:tblPr>
      <w:tcPr>
        <w:tcBorders/>
      </w:tcPr>
    </w:tblStylePr>
  </w:style>
  <w:style w:type="table" w:styleId="151">
    <w:name w:val="List Table 7 Colorful - Accent 5"/>
    <w:basedOn w:val="32"/>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338aa0" w:themeColor="accent5" w:themeTint="9A" w:themeShade="95"/>
        <w:sz w:val="22"/>
      </w:rPr>
      <w:pPr>
        <w:pBdr/>
        <w:spacing/>
        <w:ind/>
      </w:pPr>
      <w:tblPr>
        <w:tblBorders/>
      </w:tblPr>
      <w:tcPr>
        <w:shd w:val="clear" w:color="ffffff" w:themeColor="accent5" w:themeTint="40" w:fill="d1eaf0" w:themeFill="accent5" w:themeFillTint="40"/>
        <w:tcBorders/>
      </w:tcPr>
    </w:tblStylePr>
    <w:tblStylePr w:type="band1Vert">
      <w:pPr>
        <w:pBdr/>
        <w:spacing/>
        <w:ind/>
      </w:pPr>
      <w:tblPr>
        <w:tblBorders/>
      </w:tblPr>
      <w:tcPr>
        <w:shd w:val="clear" w:color="ffffff" w:themeColor="accent5" w:themeTint="40" w:fill="d1eaf0" w:themeFill="accent5" w:themeFillTint="40"/>
        <w:tcBorders/>
      </w:tcPr>
    </w:tblStylePr>
    <w:tblStylePr w:type="band2Horz">
      <w:rPr>
        <w:rFonts w:ascii="Arial" w:hAnsi="Arial"/>
        <w:color w:val="338aa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338aa0" w:themeColor="accent5" w:themeTint="9A" w:themeShade="95"/>
        <w:sz w:val="22"/>
      </w:rPr>
      <w:pPr>
        <w:pBdr/>
        <w:spacing/>
        <w:ind/>
        <w:jc w:val="right"/>
      </w:pPr>
      <w:tblPr>
        <w:tblBorders/>
      </w:tblPr>
      <w:tcPr>
        <w:shd w:color="ffffff"/>
        <w:tcBorders>
          <w:top w:val="none"/>
          <w:left w:val="none"/>
          <w:bottom w:val="none"/>
          <w:right w:val="single" w:color="000000" w:themeColor="accent5" w:themeTint="9A" w:sz="4" w:space="0"/>
        </w:tcBorders>
      </w:tcPr>
    </w:tblStylePr>
    <w:tblStylePr w:type="fir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none"/>
          <w:left w:val="none"/>
          <w:bottom w:val="single" w:color="000000" w:themeColor="accent5" w:themeTint="9A" w:sz="4" w:space="0"/>
          <w:right w:val="none"/>
        </w:tcBorders>
      </w:tcPr>
    </w:tblStylePr>
    <w:tblStylePr w:type="lastCol">
      <w:rPr>
        <w:rFonts w:ascii="Arial" w:hAnsi="Arial"/>
        <w:i/>
        <w:color w:val="338aa0" w:themeColor="accent5" w:themeTint="9A" w:themeShade="95"/>
        <w:sz w:val="22"/>
      </w:rPr>
      <w:pPr>
        <w:pBdr/>
        <w:spacing/>
        <w:ind/>
      </w:pPr>
      <w:tblPr>
        <w:tblBorders/>
      </w:tblPr>
      <w:tcPr>
        <w:shd w:color="ffffff"/>
        <w:tcBorders>
          <w:top w:val="none"/>
          <w:left w:val="single" w:color="000000" w:themeColor="accent5" w:themeTint="9A" w:sz="4" w:space="0"/>
          <w:bottom w:val="none"/>
          <w:right w:val="none"/>
        </w:tcBorders>
      </w:tcPr>
    </w:tblStylePr>
    <w:tblStylePr w:type="lastRow">
      <w:rPr>
        <w:rFonts w:ascii="Arial" w:hAnsi="Arial"/>
        <w:i/>
        <w:color w:val="338aa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338aa0" w:themeColor="accent5" w:themeTint="9A" w:themeShade="95"/>
        <w:sz w:val="22"/>
      </w:rPr>
      <w:pPr>
        <w:pBdr/>
        <w:spacing/>
        <w:ind/>
      </w:pPr>
      <w:tblPr>
        <w:tblBorders/>
      </w:tblPr>
      <w:tcPr>
        <w:tcBorders/>
      </w:tcPr>
    </w:tblStylePr>
  </w:style>
  <w:style w:type="table" w:styleId="152">
    <w:name w:val="List Table 7 Colorful - Accent 6"/>
    <w:basedOn w:val="32"/>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d9680c" w:themeColor="accent6" w:themeTint="98" w:themeShade="95"/>
        <w:sz w:val="22"/>
      </w:rPr>
      <w:pPr>
        <w:pBdr/>
        <w:spacing/>
        <w:ind/>
      </w:pPr>
      <w:tblPr>
        <w:tblBorders/>
      </w:tblPr>
      <w:tcPr>
        <w:shd w:val="clear" w:color="ffffff" w:themeColor="accent6" w:themeTint="40" w:fill="fce4d1" w:themeFill="accent6" w:themeFillTint="40"/>
        <w:tcBorders/>
      </w:tcPr>
    </w:tblStylePr>
    <w:tblStylePr w:type="band1Vert">
      <w:pPr>
        <w:pBdr/>
        <w:spacing/>
        <w:ind/>
      </w:pPr>
      <w:tblPr>
        <w:tblBorders/>
      </w:tblPr>
      <w:tcPr>
        <w:shd w:val="clear" w:color="ffffff" w:themeColor="accent6" w:themeTint="40" w:fill="fce4d1" w:themeFill="accent6" w:themeFillTint="40"/>
        <w:tcBorders/>
      </w:tcPr>
    </w:tblStylePr>
    <w:tblStylePr w:type="band2Horz">
      <w:rPr>
        <w:rFonts w:ascii="Arial" w:hAnsi="Arial"/>
        <w:color w:val="d9680c"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d9680c" w:themeColor="accent6" w:themeTint="98" w:themeShade="95"/>
        <w:sz w:val="22"/>
      </w:rPr>
      <w:pPr>
        <w:pBdr/>
        <w:spacing/>
        <w:ind/>
        <w:jc w:val="right"/>
      </w:pPr>
      <w:tblPr>
        <w:tblBorders/>
      </w:tblPr>
      <w:tcPr>
        <w:shd w:color="ffffff"/>
        <w:tcBorders>
          <w:top w:val="none"/>
          <w:left w:val="none"/>
          <w:bottom w:val="none"/>
          <w:right w:val="single" w:color="000000" w:themeColor="accent6" w:themeTint="98" w:sz="4" w:space="0"/>
        </w:tcBorders>
      </w:tcPr>
    </w:tblStylePr>
    <w:tblStylePr w:type="fir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none"/>
          <w:left w:val="none"/>
          <w:bottom w:val="single" w:color="000000" w:themeColor="accent6" w:themeTint="98" w:sz="4" w:space="0"/>
          <w:right w:val="none"/>
        </w:tcBorders>
      </w:tcPr>
    </w:tblStylePr>
    <w:tblStylePr w:type="lastCol">
      <w:rPr>
        <w:rFonts w:ascii="Arial" w:hAnsi="Arial"/>
        <w:i/>
        <w:color w:val="d9680c" w:themeColor="accent6" w:themeTint="98" w:themeShade="95"/>
        <w:sz w:val="22"/>
      </w:rPr>
      <w:pPr>
        <w:pBdr/>
        <w:spacing/>
        <w:ind/>
      </w:pPr>
      <w:tblPr>
        <w:tblBorders/>
      </w:tblPr>
      <w:tcPr>
        <w:shd w:color="ffffff"/>
        <w:tcBorders>
          <w:top w:val="none"/>
          <w:left w:val="single" w:color="000000" w:themeColor="accent6" w:themeTint="98" w:sz="4" w:space="0"/>
          <w:bottom w:val="none"/>
          <w:right w:val="none"/>
        </w:tcBorders>
      </w:tcPr>
    </w:tblStylePr>
    <w:tblStylePr w:type="lastRow">
      <w:rPr>
        <w:rFonts w:ascii="Arial" w:hAnsi="Arial"/>
        <w:i/>
        <w:color w:val="d9680c"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bottom w:val="none"/>
          <w:right w:val="non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d9680c" w:themeColor="accent6" w:themeTint="98" w:themeShade="95"/>
        <w:sz w:val="22"/>
      </w:rPr>
      <w:pPr>
        <w:pBdr/>
        <w:spacing/>
        <w:ind/>
      </w:pPr>
      <w:tblPr>
        <w:tblBorders/>
      </w:tblPr>
      <w:tcPr>
        <w:tcBorders/>
      </w:tcPr>
    </w:tblStylePr>
  </w:style>
  <w:style w:type="table" w:styleId="153">
    <w:name w:val="Lined - Accent"/>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4">
    <w:name w:val="Lined - Accent 1"/>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5">
    <w:name w:val="Lined - Accent 2"/>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6">
    <w:name w:val="Lined - Accent 3"/>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7">
    <w:name w:val="Lined - Accent 4"/>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8">
    <w:name w:val="Lined - Accent 5"/>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59">
    <w:name w:val="Lined - Accent 6"/>
    <w:basedOn w:val="32"/>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0">
    <w:name w:val="Bordered &amp; Lined - Accent"/>
    <w:basedOn w:val="32"/>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1">
    <w:name w:val="Bordered &amp; Lined - Accent 1"/>
    <w:basedOn w:val="32"/>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c7d7ea"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5d8dc2"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2">
    <w:name w:val="Bordered &amp; Lined - Accent 2"/>
    <w:basedOn w:val="32"/>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f2dcdb"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d99694"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3">
    <w:name w:val="Bordered &amp; Lined - Accent 3"/>
    <w:basedOn w:val="32"/>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eaf0dd"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9bba59"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4">
    <w:name w:val="Bordered &amp; Lined - Accent 4"/>
    <w:basedOn w:val="32"/>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e5dfec"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b2a1c6"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5">
    <w:name w:val="Bordered &amp; Lined - Accent 5"/>
    <w:basedOn w:val="32"/>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daeef3" w:themeFill="accent5" w:themeFillTint="34"/>
        <w:tcBorders/>
      </w:tcPr>
    </w:tblStylePr>
    <w:tblStylePr w:type="firstCol">
      <w:rPr>
        <w:rFonts w:ascii="Arial" w:hAnsi="Arial"/>
        <w:color w:val="f2f2f2"/>
        <w:sz w:val="22"/>
      </w:rPr>
      <w:pPr>
        <w:pBdr/>
        <w:spacing/>
        <w:ind/>
      </w:pPr>
      <w:tblPr>
        <w:tblBorders/>
      </w:tblPr>
      <w:tcPr>
        <w:shd w:val="clear" w:color="ffffff" w:themeColor="accent5" w:fill="4bacc6" w:themeFill="accent5"/>
        <w:tcBorders/>
      </w:tcPr>
    </w:tblStylePr>
    <w:tblStylePr w:type="firstRow">
      <w:rPr>
        <w:rFonts w:ascii="Arial" w:hAnsi="Arial"/>
        <w:color w:val="f2f2f2"/>
        <w:sz w:val="22"/>
      </w:rPr>
      <w:pPr>
        <w:pBdr/>
        <w:spacing/>
        <w:ind/>
      </w:pPr>
      <w:tblPr>
        <w:tblBorders/>
      </w:tblPr>
      <w:tcPr>
        <w:shd w:val="clear" w:color="ffffff" w:themeColor="accent5" w:fill="4bacc6" w:themeFill="accent5"/>
        <w:tcBorders/>
      </w:tcPr>
    </w:tblStylePr>
    <w:tblStylePr w:type="lastCol">
      <w:rPr>
        <w:rFonts w:ascii="Arial" w:hAnsi="Arial"/>
        <w:color w:val="f2f2f2"/>
        <w:sz w:val="22"/>
      </w:rPr>
      <w:pPr>
        <w:pBdr/>
        <w:spacing/>
        <w:ind/>
      </w:pPr>
      <w:tblPr>
        <w:tblBorders/>
      </w:tblPr>
      <w:tcPr>
        <w:shd w:val="clear" w:color="ffffff" w:themeColor="accent5" w:fill="4bacc6" w:themeFill="accent5"/>
        <w:tcBorders/>
      </w:tcPr>
    </w:tblStylePr>
    <w:tblStylePr w:type="lastRow">
      <w:rPr>
        <w:rFonts w:ascii="Arial" w:hAnsi="Arial"/>
        <w:color w:val="f2f2f2"/>
        <w:sz w:val="22"/>
      </w:rPr>
      <w:pPr>
        <w:pBdr/>
        <w:spacing/>
        <w:ind/>
      </w:pPr>
      <w:tblPr>
        <w:tblBorders/>
      </w:tblPr>
      <w:tcPr>
        <w:shd w:val="clear" w:color="ffffff" w:themeColor="accent5" w:fill="4bacc6"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6">
    <w:name w:val="Bordered &amp; Lined - Accent 6"/>
    <w:basedOn w:val="32"/>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de9d8" w:themeFill="accent6" w:themeFillTint="34"/>
        <w:tcBorders/>
      </w:tcPr>
    </w:tblStylePr>
    <w:tblStylePr w:type="firstCol">
      <w:rPr>
        <w:rFonts w:ascii="Arial" w:hAnsi="Arial"/>
        <w:color w:val="f2f2f2"/>
        <w:sz w:val="22"/>
      </w:rPr>
      <w:pPr>
        <w:pBdr/>
        <w:spacing/>
        <w:ind/>
      </w:pPr>
      <w:tblPr>
        <w:tblBorders/>
      </w:tblPr>
      <w:tcPr>
        <w:shd w:val="clear" w:color="ffffff" w:themeColor="accent6" w:fill="f79646" w:themeFill="accent6"/>
        <w:tcBorders/>
      </w:tcPr>
    </w:tblStylePr>
    <w:tblStylePr w:type="firstRow">
      <w:rPr>
        <w:rFonts w:ascii="Arial" w:hAnsi="Arial"/>
        <w:color w:val="f2f2f2"/>
        <w:sz w:val="22"/>
      </w:rPr>
      <w:pPr>
        <w:pBdr/>
        <w:spacing/>
        <w:ind/>
      </w:pPr>
      <w:tblPr>
        <w:tblBorders/>
      </w:tblPr>
      <w:tcPr>
        <w:shd w:val="clear" w:color="ffffff" w:themeColor="accent6" w:fill="f79646" w:themeFill="accent6"/>
        <w:tcBorders/>
      </w:tcPr>
    </w:tblStylePr>
    <w:tblStylePr w:type="lastCol">
      <w:rPr>
        <w:rFonts w:ascii="Arial" w:hAnsi="Arial"/>
        <w:color w:val="f2f2f2"/>
        <w:sz w:val="22"/>
      </w:rPr>
      <w:pPr>
        <w:pBdr/>
        <w:spacing/>
        <w:ind/>
      </w:pPr>
      <w:tblPr>
        <w:tblBorders/>
      </w:tblPr>
      <w:tcPr>
        <w:shd w:val="clear" w:color="ffffff" w:themeColor="accent6" w:fill="f79646" w:themeFill="accent6"/>
        <w:tcBorders/>
      </w:tcPr>
    </w:tblStylePr>
    <w:tblStylePr w:type="lastRow">
      <w:rPr>
        <w:rFonts w:ascii="Arial" w:hAnsi="Arial"/>
        <w:color w:val="f2f2f2"/>
        <w:sz w:val="22"/>
      </w:rPr>
      <w:pPr>
        <w:pBdr/>
        <w:spacing/>
        <w:ind/>
      </w:pPr>
      <w:tblPr>
        <w:tblBorders/>
      </w:tblPr>
      <w:tcPr>
        <w:shd w:val="clear" w:color="ffffff" w:themeColor="accent6" w:fill="f79646"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7">
    <w:name w:val="Bordered"/>
    <w:basedOn w:val="32"/>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8">
    <w:name w:val="Bordered - Accent 1"/>
    <w:basedOn w:val="32"/>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69">
    <w:name w:val="Bordered - Accent 2"/>
    <w:basedOn w:val="32"/>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0">
    <w:name w:val="Bordered - Accent 3"/>
    <w:basedOn w:val="32"/>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1">
    <w:name w:val="Bordered - Accent 4"/>
    <w:basedOn w:val="32"/>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2">
    <w:name w:val="Bordered - Accent 5"/>
    <w:basedOn w:val="32"/>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173">
    <w:name w:val="Bordered - Accent 6"/>
    <w:basedOn w:val="32"/>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character" w:styleId="174">
    <w:name w:val="Hyperlink"/>
    <w:uiPriority w:val="99"/>
    <w:unhideWhenUsed/>
    <w:pPr>
      <w:pBdr/>
      <w:spacing/>
      <w:ind/>
    </w:pPr>
    <w:rPr>
      <w:color w:val="0000ff" w:themeColor="hyperlink"/>
      <w:u w:val="single"/>
    </w:rPr>
  </w:style>
  <w:style w:type="paragraph" w:styleId="175">
    <w:name w:val="footnote text"/>
    <w:basedOn w:val="656"/>
    <w:link w:val="176"/>
    <w:uiPriority w:val="99"/>
    <w:semiHidden/>
    <w:unhideWhenUsed/>
    <w:pPr>
      <w:pBdr/>
      <w:spacing w:after="40" w:line="240" w:lineRule="auto"/>
      <w:ind/>
    </w:pPr>
    <w:rPr>
      <w:sz w:val="18"/>
    </w:rPr>
  </w:style>
  <w:style w:type="character" w:styleId="176">
    <w:name w:val="Footnote Text Char"/>
    <w:link w:val="175"/>
    <w:uiPriority w:val="99"/>
    <w:pPr>
      <w:pBdr/>
      <w:spacing/>
      <w:ind/>
    </w:pPr>
    <w:rPr>
      <w:sz w:val="18"/>
    </w:rPr>
  </w:style>
  <w:style w:type="character" w:styleId="177">
    <w:name w:val="footnote reference"/>
    <w:basedOn w:val="11"/>
    <w:uiPriority w:val="99"/>
    <w:unhideWhenUsed/>
    <w:pPr>
      <w:pBdr/>
      <w:spacing/>
      <w:ind/>
    </w:pPr>
    <w:rPr>
      <w:vertAlign w:val="superscript"/>
    </w:rPr>
  </w:style>
  <w:style w:type="paragraph" w:styleId="178">
    <w:name w:val="endnote text"/>
    <w:basedOn w:val="656"/>
    <w:link w:val="179"/>
    <w:uiPriority w:val="99"/>
    <w:semiHidden/>
    <w:unhideWhenUsed/>
    <w:pPr>
      <w:pBdr/>
      <w:spacing w:after="0" w:line="240" w:lineRule="auto"/>
      <w:ind/>
    </w:pPr>
    <w:rPr>
      <w:sz w:val="20"/>
    </w:rPr>
  </w:style>
  <w:style w:type="character" w:styleId="179">
    <w:name w:val="Endnote Text Char"/>
    <w:link w:val="178"/>
    <w:uiPriority w:val="99"/>
    <w:pPr>
      <w:pBdr/>
      <w:spacing/>
      <w:ind/>
    </w:pPr>
    <w:rPr>
      <w:sz w:val="20"/>
    </w:rPr>
  </w:style>
  <w:style w:type="character" w:styleId="180">
    <w:name w:val="endnote reference"/>
    <w:basedOn w:val="11"/>
    <w:uiPriority w:val="99"/>
    <w:semiHidden/>
    <w:unhideWhenUsed/>
    <w:pPr>
      <w:pBdr/>
      <w:spacing/>
      <w:ind/>
    </w:pPr>
    <w:rPr>
      <w:vertAlign w:val="superscript"/>
    </w:rPr>
  </w:style>
  <w:style w:type="paragraph" w:styleId="181">
    <w:name w:val="toc 1"/>
    <w:basedOn w:val="656"/>
    <w:next w:val="656"/>
    <w:uiPriority w:val="39"/>
    <w:unhideWhenUsed/>
    <w:pPr>
      <w:pBdr/>
      <w:spacing w:after="57"/>
      <w:ind w:right="0" w:firstLine="0" w:left="0"/>
    </w:pPr>
  </w:style>
  <w:style w:type="paragraph" w:styleId="182">
    <w:name w:val="toc 2"/>
    <w:basedOn w:val="656"/>
    <w:next w:val="656"/>
    <w:uiPriority w:val="39"/>
    <w:unhideWhenUsed/>
    <w:pPr>
      <w:pBdr/>
      <w:spacing w:after="57"/>
      <w:ind w:right="0" w:firstLine="0" w:left="283"/>
    </w:pPr>
  </w:style>
  <w:style w:type="paragraph" w:styleId="183">
    <w:name w:val="toc 3"/>
    <w:basedOn w:val="656"/>
    <w:next w:val="656"/>
    <w:uiPriority w:val="39"/>
    <w:unhideWhenUsed/>
    <w:pPr>
      <w:pBdr/>
      <w:spacing w:after="57"/>
      <w:ind w:right="0" w:firstLine="0" w:left="567"/>
    </w:pPr>
  </w:style>
  <w:style w:type="paragraph" w:styleId="184">
    <w:name w:val="toc 4"/>
    <w:basedOn w:val="656"/>
    <w:next w:val="656"/>
    <w:uiPriority w:val="39"/>
    <w:unhideWhenUsed/>
    <w:pPr>
      <w:pBdr/>
      <w:spacing w:after="57"/>
      <w:ind w:right="0" w:firstLine="0" w:left="850"/>
    </w:pPr>
  </w:style>
  <w:style w:type="paragraph" w:styleId="185">
    <w:name w:val="toc 5"/>
    <w:basedOn w:val="656"/>
    <w:next w:val="656"/>
    <w:uiPriority w:val="39"/>
    <w:unhideWhenUsed/>
    <w:pPr>
      <w:pBdr/>
      <w:spacing w:after="57"/>
      <w:ind w:right="0" w:firstLine="0" w:left="1134"/>
    </w:pPr>
  </w:style>
  <w:style w:type="paragraph" w:styleId="186">
    <w:name w:val="toc 6"/>
    <w:basedOn w:val="656"/>
    <w:next w:val="656"/>
    <w:uiPriority w:val="39"/>
    <w:unhideWhenUsed/>
    <w:pPr>
      <w:pBdr/>
      <w:spacing w:after="57"/>
      <w:ind w:right="0" w:firstLine="0" w:left="1417"/>
    </w:pPr>
  </w:style>
  <w:style w:type="paragraph" w:styleId="187">
    <w:name w:val="toc 7"/>
    <w:basedOn w:val="656"/>
    <w:next w:val="656"/>
    <w:uiPriority w:val="39"/>
    <w:unhideWhenUsed/>
    <w:pPr>
      <w:pBdr/>
      <w:spacing w:after="57"/>
      <w:ind w:right="0" w:firstLine="0" w:left="1701"/>
    </w:pPr>
  </w:style>
  <w:style w:type="paragraph" w:styleId="188">
    <w:name w:val="toc 8"/>
    <w:basedOn w:val="656"/>
    <w:next w:val="656"/>
    <w:uiPriority w:val="39"/>
    <w:unhideWhenUsed/>
    <w:pPr>
      <w:pBdr/>
      <w:spacing w:after="57"/>
      <w:ind w:right="0" w:firstLine="0" w:left="1984"/>
    </w:pPr>
  </w:style>
  <w:style w:type="paragraph" w:styleId="189">
    <w:name w:val="toc 9"/>
    <w:basedOn w:val="656"/>
    <w:next w:val="656"/>
    <w:uiPriority w:val="39"/>
    <w:unhideWhenUsed/>
    <w:pPr>
      <w:pBdr/>
      <w:spacing w:after="57"/>
      <w:ind w:right="0" w:firstLine="0" w:left="2268"/>
    </w:pPr>
  </w:style>
  <w:style w:type="paragraph" w:styleId="190">
    <w:name w:val="TOC Heading"/>
    <w:uiPriority w:val="39"/>
    <w:unhideWhenUsed/>
    <w:pPr>
      <w:pBdr/>
      <w:spacing/>
      <w:ind/>
    </w:pPr>
  </w:style>
  <w:style w:type="paragraph" w:styleId="191">
    <w:name w:val="table of figures"/>
    <w:basedOn w:val="656"/>
    <w:next w:val="656"/>
    <w:uiPriority w:val="99"/>
    <w:unhideWhenUsed/>
    <w:pPr>
      <w:pBdr/>
      <w:spacing w:after="0" w:afterAutospacing="0"/>
      <w:ind/>
    </w:pPr>
  </w:style>
  <w:style w:type="paragraph" w:styleId="656" w:default="1">
    <w:name w:val="Normal"/>
    <w:next w:val="656"/>
    <w:link w:val="656"/>
    <w:qFormat/>
    <w:pPr>
      <w:widowControl w:val="false"/>
      <w:pBdr/>
      <w:spacing/>
      <w:ind/>
      <w:jc w:val="both"/>
    </w:pPr>
    <w:rPr>
      <w:sz w:val="21"/>
      <w:szCs w:val="24"/>
      <w:lang w:val="en-US" w:eastAsia="zh-CN" w:bidi="ar-SA"/>
    </w:rPr>
  </w:style>
  <w:style w:type="character" w:styleId="657">
    <w:name w:val="默认段落字体"/>
    <w:next w:val="657"/>
    <w:link w:val="656"/>
    <w:semiHidden/>
    <w:pPr>
      <w:pBdr/>
      <w:spacing/>
      <w:ind/>
    </w:pPr>
  </w:style>
  <w:style w:type="table" w:styleId="658">
    <w:name w:val="普通表格"/>
    <w:next w:val="658"/>
    <w:link w:val="656"/>
    <w:semiHidden/>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659">
    <w:name w:val="批注框文本"/>
    <w:basedOn w:val="656"/>
    <w:next w:val="659"/>
    <w:link w:val="656"/>
    <w:semiHidden/>
    <w:pPr>
      <w:pBdr/>
      <w:spacing/>
      <w:ind/>
    </w:pPr>
    <w:rPr>
      <w:sz w:val="18"/>
      <w:szCs w:val="18"/>
    </w:rPr>
  </w:style>
  <w:style w:type="paragraph" w:styleId="660">
    <w:name w:val="页脚"/>
    <w:basedOn w:val="656"/>
    <w:next w:val="660"/>
    <w:link w:val="656"/>
    <w:pPr>
      <w:pBdr/>
      <w:tabs>
        <w:tab w:val="center" w:leader="none" w:pos="4153"/>
        <w:tab w:val="right" w:leader="none" w:pos="8306"/>
      </w:tabs>
      <w:spacing/>
      <w:ind/>
      <w:jc w:val="left"/>
    </w:pPr>
    <w:rPr>
      <w:sz w:val="18"/>
      <w:szCs w:val="18"/>
    </w:rPr>
  </w:style>
  <w:style w:type="paragraph" w:styleId="661">
    <w:name w:val="页眉"/>
    <w:basedOn w:val="656"/>
    <w:next w:val="661"/>
    <w:link w:val="662"/>
    <w:pPr>
      <w:pBdr>
        <w:bottom w:val="single" w:color="000000" w:sz="6" w:space="1"/>
      </w:pBdr>
      <w:tabs>
        <w:tab w:val="center" w:leader="none" w:pos="4153"/>
        <w:tab w:val="right" w:leader="none" w:pos="8306"/>
      </w:tabs>
      <w:spacing/>
      <w:ind/>
      <w:jc w:val="center"/>
    </w:pPr>
    <w:rPr>
      <w:sz w:val="18"/>
      <w:szCs w:val="18"/>
    </w:rPr>
  </w:style>
  <w:style w:type="character" w:styleId="662">
    <w:name w:val="页眉 Char"/>
    <w:next w:val="662"/>
    <w:link w:val="661"/>
    <w:pPr>
      <w:pBdr/>
      <w:spacing/>
      <w:ind/>
    </w:pPr>
    <w:rPr>
      <w:sz w:val="18"/>
      <w:szCs w:val="18"/>
    </w:rPr>
  </w:style>
  <w:style w:type="paragraph" w:styleId="663">
    <w:name w:val="普通(网站)"/>
    <w:basedOn w:val="656"/>
    <w:next w:val="663"/>
    <w:link w:val="656"/>
    <w:pPr>
      <w:pBdr/>
      <w:spacing/>
      <w:ind/>
      <w:jc w:val="left"/>
    </w:pPr>
    <w:rPr>
      <w:rFonts w:ascii="Calibri" w:hAnsi="Calibri" w:eastAsia="宋体"/>
      <w:sz w:val="24"/>
    </w:rPr>
  </w:style>
  <w:style w:type="character" w:styleId="664">
    <w:name w:val="页码"/>
    <w:basedOn w:val="657"/>
    <w:next w:val="664"/>
    <w:link w:val="656"/>
    <w:pPr>
      <w:pBdr/>
      <w:spacing/>
      <w:ind/>
    </w:pPr>
  </w:style>
  <w:style w:type="character" w:styleId="665">
    <w:name w:val="超链接"/>
    <w:next w:val="665"/>
    <w:link w:val="656"/>
    <w:pPr>
      <w:pBdr/>
      <w:spacing/>
      <w:ind/>
    </w:pPr>
    <w:rPr>
      <w:color w:val="000000"/>
      <w:u w:val="none"/>
    </w:rPr>
  </w:style>
  <w:style w:type="character" w:styleId="1601" w:default="1">
    <w:name w:val="Default Paragraph Font"/>
    <w:uiPriority w:val="1"/>
    <w:semiHidden/>
    <w:unhideWhenUsed/>
    <w:pPr>
      <w:pBdr/>
      <w:spacing/>
      <w:ind/>
    </w:pPr>
  </w:style>
  <w:style w:type="numbering" w:styleId="1602" w:default="1">
    <w:name w:val="No List"/>
    <w:uiPriority w:val="99"/>
    <w:semiHidden/>
    <w:unhideWhenUsed/>
    <w:pPr>
      <w:pBdr/>
      <w:spacing/>
      <w:ind/>
    </w:pPr>
  </w:style>
  <w:style w:type="table" w:styleId="1603" w:default="1">
    <w:name w:val="Normal Table"/>
    <w:uiPriority w:val="99"/>
    <w:semiHidden/>
    <w:unhideWhenUsed/>
    <w:pPr>
      <w:pBdr/>
      <w:spacing/>
      <w:ind/>
    </w:pPr>
    <w:tblP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footer" Target="footer1.xml" /><Relationship Id="rId10" Type="http://schemas.openxmlformats.org/officeDocument/2006/relationships/footer" Target="footer2.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nam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rgbClr val="000000"/>
        </a:solidFill>
        <a:solidFill>
          <a:srgbClr val="000000"/>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Application>ONLYOFFICE/7.5.1.23</Application>
  <Company/>
  <DocSecurity>0</DocSecurity>
  <ScaleCrop>false</ScaleCrop>
  <Template>Nor</Template>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门头沟区民防局20</dc:title>
  <dc:creator>高</dc:creator>
  <cp:lastModifiedBy>匿名</cp:lastModifiedBy>
  <cp:revision>13</cp:revision>
  <dcterms:created xsi:type="dcterms:W3CDTF">2017-11-23T08:10:00Z</dcterms:created>
  <dcterms:modified xsi:type="dcterms:W3CDTF">2025-05-09T04:36:45Z</dcterms:modified>
</cp:coreProperties>
</file>