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sz w:val="44"/>
          <w:szCs w:val="44"/>
        </w:rPr>
      </w:pPr>
      <w:bookmarkStart w:id="0" w:name="_GoBack"/>
      <w:r>
        <w:rPr>
          <w:rFonts w:hint="eastAsia" w:ascii="方正小标宋简体" w:hAnsi="方正小标宋简体" w:eastAsia="方正小标宋简体" w:cs="方正小标宋简体"/>
          <w:sz w:val="44"/>
          <w:szCs w:val="44"/>
        </w:rPr>
        <w:t>北京市门头沟区财政局2022年政府信息公开工作年度报告</w:t>
      </w:r>
      <w:bookmarkEnd w:id="0"/>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pPr>
        <w:widowControl/>
        <w:spacing w:line="560" w:lineRule="exact"/>
        <w:ind w:firstLine="672" w:firstLineChars="200"/>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rPr>
          <w:rFonts w:ascii="仿宋_GB2312" w:hAnsi="黑体" w:eastAsia="仿宋_GB2312" w:cs="宋体"/>
          <w:spacing w:val="8"/>
          <w:kern w:val="0"/>
          <w:sz w:val="32"/>
          <w:szCs w:val="32"/>
        </w:rPr>
      </w:pPr>
      <w:r>
        <w:rPr>
          <w:rFonts w:hint="eastAsia" w:ascii="仿宋_GB2312" w:hAnsi="黑体" w:eastAsia="仿宋_GB2312" w:cs="宋体"/>
          <w:spacing w:val="8"/>
          <w:kern w:val="0"/>
          <w:sz w:val="32"/>
          <w:szCs w:val="32"/>
        </w:rPr>
        <w:t>一、总体情况</w:t>
      </w:r>
    </w:p>
    <w:p>
      <w:pPr>
        <w:pStyle w:val="8"/>
        <w:shd w:val="clear" w:color="auto" w:fill="FFFFFF"/>
        <w:spacing w:before="0" w:beforeAutospacing="0" w:after="0" w:afterAutospacing="0" w:line="560" w:lineRule="exact"/>
        <w:ind w:firstLine="672"/>
        <w:jc w:val="both"/>
        <w:rPr>
          <w:rFonts w:ascii="仿宋_GB2312" w:hAnsi="Calibri" w:eastAsia="仿宋_GB2312" w:cs="宋体"/>
          <w:color w:val="404040"/>
          <w:sz w:val="32"/>
          <w:szCs w:val="32"/>
        </w:rPr>
      </w:pPr>
      <w:r>
        <w:rPr>
          <w:rFonts w:hint="eastAsia" w:ascii="仿宋_GB2312" w:hAnsi="仿宋" w:eastAsia="仿宋_GB2312" w:cs="宋体"/>
          <w:color w:val="404040"/>
          <w:spacing w:val="8"/>
          <w:sz w:val="32"/>
          <w:szCs w:val="32"/>
        </w:rPr>
        <w:t>本报告中所列数据的统计期限自</w:t>
      </w:r>
      <w:r>
        <w:rPr>
          <w:rFonts w:hint="eastAsia" w:ascii="仿宋_GB2312" w:hAnsi="微软雅黑" w:eastAsia="仿宋_GB2312" w:cs="宋体"/>
          <w:color w:val="404040"/>
          <w:spacing w:val="8"/>
          <w:sz w:val="32"/>
          <w:szCs w:val="32"/>
        </w:rPr>
        <w:t>2022</w:t>
      </w:r>
      <w:r>
        <w:rPr>
          <w:rFonts w:hint="eastAsia" w:ascii="仿宋_GB2312" w:hAnsi="仿宋" w:eastAsia="仿宋_GB2312" w:cs="宋体"/>
          <w:color w:val="404040"/>
          <w:spacing w:val="8"/>
          <w:sz w:val="32"/>
          <w:szCs w:val="32"/>
        </w:rPr>
        <w:t>年</w:t>
      </w:r>
      <w:r>
        <w:rPr>
          <w:rFonts w:hint="eastAsia" w:ascii="仿宋_GB2312" w:hAnsi="微软雅黑" w:eastAsia="仿宋_GB2312" w:cs="宋体"/>
          <w:color w:val="404040"/>
          <w:spacing w:val="8"/>
          <w:sz w:val="32"/>
          <w:szCs w:val="32"/>
        </w:rPr>
        <w:t>1</w:t>
      </w:r>
      <w:r>
        <w:rPr>
          <w:rFonts w:hint="eastAsia" w:ascii="仿宋_GB2312" w:hAnsi="仿宋" w:eastAsia="仿宋_GB2312" w:cs="宋体"/>
          <w:color w:val="404040"/>
          <w:spacing w:val="8"/>
          <w:sz w:val="32"/>
          <w:szCs w:val="32"/>
        </w:rPr>
        <w:t>月</w:t>
      </w:r>
      <w:r>
        <w:rPr>
          <w:rFonts w:hint="eastAsia" w:ascii="仿宋_GB2312" w:hAnsi="微软雅黑" w:eastAsia="仿宋_GB2312" w:cs="宋体"/>
          <w:color w:val="404040"/>
          <w:spacing w:val="8"/>
          <w:sz w:val="32"/>
          <w:szCs w:val="32"/>
        </w:rPr>
        <w:t>1</w:t>
      </w:r>
      <w:r>
        <w:rPr>
          <w:rFonts w:hint="eastAsia" w:ascii="仿宋_GB2312" w:hAnsi="仿宋" w:eastAsia="仿宋_GB2312" w:cs="宋体"/>
          <w:color w:val="404040"/>
          <w:spacing w:val="8"/>
          <w:sz w:val="32"/>
          <w:szCs w:val="32"/>
        </w:rPr>
        <w:t>日起，至</w:t>
      </w:r>
      <w:r>
        <w:rPr>
          <w:rFonts w:hint="eastAsia" w:ascii="仿宋_GB2312" w:hAnsi="微软雅黑" w:eastAsia="仿宋_GB2312" w:cs="宋体"/>
          <w:color w:val="404040"/>
          <w:spacing w:val="8"/>
          <w:sz w:val="32"/>
          <w:szCs w:val="32"/>
        </w:rPr>
        <w:t>2022</w:t>
      </w:r>
      <w:r>
        <w:rPr>
          <w:rFonts w:hint="eastAsia" w:ascii="仿宋_GB2312" w:hAnsi="仿宋" w:eastAsia="仿宋_GB2312" w:cs="宋体"/>
          <w:color w:val="404040"/>
          <w:spacing w:val="8"/>
          <w:sz w:val="32"/>
          <w:szCs w:val="32"/>
        </w:rPr>
        <w:t>年</w:t>
      </w:r>
      <w:r>
        <w:rPr>
          <w:rFonts w:hint="eastAsia" w:ascii="仿宋_GB2312" w:hAnsi="微软雅黑" w:eastAsia="仿宋_GB2312" w:cs="宋体"/>
          <w:color w:val="404040"/>
          <w:spacing w:val="8"/>
          <w:sz w:val="32"/>
          <w:szCs w:val="32"/>
        </w:rPr>
        <w:t>12</w:t>
      </w:r>
      <w:r>
        <w:rPr>
          <w:rFonts w:hint="eastAsia" w:ascii="仿宋_GB2312" w:hAnsi="仿宋" w:eastAsia="仿宋_GB2312" w:cs="宋体"/>
          <w:color w:val="404040"/>
          <w:spacing w:val="8"/>
          <w:sz w:val="32"/>
          <w:szCs w:val="32"/>
        </w:rPr>
        <w:t>月</w:t>
      </w:r>
      <w:r>
        <w:rPr>
          <w:rFonts w:hint="eastAsia" w:ascii="仿宋_GB2312" w:hAnsi="微软雅黑" w:eastAsia="仿宋_GB2312" w:cs="宋体"/>
          <w:color w:val="404040"/>
          <w:spacing w:val="8"/>
          <w:sz w:val="32"/>
          <w:szCs w:val="32"/>
        </w:rPr>
        <w:t>31</w:t>
      </w:r>
      <w:r>
        <w:rPr>
          <w:rFonts w:hint="eastAsia" w:ascii="仿宋_GB2312" w:hAnsi="仿宋" w:eastAsia="仿宋_GB2312" w:cs="宋体"/>
          <w:color w:val="404040"/>
          <w:spacing w:val="8"/>
          <w:sz w:val="32"/>
          <w:szCs w:val="32"/>
        </w:rPr>
        <w:t>日止。全文包括</w:t>
      </w:r>
      <w:r>
        <w:rPr>
          <w:rFonts w:hint="eastAsia" w:ascii="仿宋_GB2312" w:hAnsi="微软雅黑" w:eastAsia="仿宋_GB2312" w:cs="宋体"/>
          <w:color w:val="404040"/>
          <w:spacing w:val="8"/>
          <w:sz w:val="32"/>
          <w:szCs w:val="32"/>
        </w:rPr>
        <w:t>2022</w:t>
      </w:r>
      <w:r>
        <w:rPr>
          <w:rFonts w:hint="eastAsia" w:ascii="仿宋_GB2312" w:hAnsi="仿宋" w:eastAsia="仿宋_GB2312" w:cs="宋体"/>
          <w:color w:val="404040"/>
          <w:spacing w:val="8"/>
          <w:sz w:val="32"/>
          <w:szCs w:val="32"/>
        </w:rPr>
        <w:t>年本单位政府信息主动公开情况、依申请公开办理情况、政府信息资源管理情况、行政复议、行政诉讼情况以及存在的不足和改进情况等相关数据。</w:t>
      </w:r>
      <w:r>
        <w:rPr>
          <w:rFonts w:hint="eastAsia" w:ascii="仿宋_GB2312" w:hAnsi="微软雅黑" w:eastAsia="仿宋_GB2312" w:cs="宋体"/>
          <w:color w:val="404040"/>
          <w:spacing w:val="8"/>
          <w:sz w:val="32"/>
          <w:szCs w:val="32"/>
        </w:rPr>
        <w:t>2022</w:t>
      </w:r>
      <w:r>
        <w:rPr>
          <w:rFonts w:hint="eastAsia" w:ascii="仿宋_GB2312" w:hAnsi="仿宋" w:eastAsia="仿宋_GB2312" w:cs="宋体"/>
          <w:color w:val="404040"/>
          <w:spacing w:val="8"/>
          <w:sz w:val="32"/>
          <w:szCs w:val="32"/>
        </w:rPr>
        <w:t>年，我局认真贯彻《政府信息公开条例》有关要求，积极开展工作。截至</w:t>
      </w:r>
      <w:r>
        <w:rPr>
          <w:rFonts w:hint="eastAsia" w:ascii="仿宋_GB2312" w:hAnsi="微软雅黑" w:eastAsia="仿宋_GB2312" w:cs="宋体"/>
          <w:color w:val="404040"/>
          <w:spacing w:val="8"/>
          <w:sz w:val="32"/>
          <w:szCs w:val="32"/>
        </w:rPr>
        <w:t>2022</w:t>
      </w:r>
      <w:r>
        <w:rPr>
          <w:rFonts w:hint="eastAsia" w:ascii="仿宋_GB2312" w:hAnsi="仿宋" w:eastAsia="仿宋_GB2312" w:cs="宋体"/>
          <w:color w:val="404040"/>
          <w:spacing w:val="8"/>
          <w:sz w:val="32"/>
          <w:szCs w:val="32"/>
        </w:rPr>
        <w:t>年底，全年收到政府信息公开申请</w:t>
      </w:r>
      <w:r>
        <w:rPr>
          <w:rFonts w:hint="eastAsia" w:ascii="仿宋_GB2312" w:hAnsi="微软雅黑" w:eastAsia="仿宋_GB2312" w:cs="宋体"/>
          <w:color w:val="404040"/>
          <w:spacing w:val="8"/>
          <w:sz w:val="32"/>
          <w:szCs w:val="32"/>
        </w:rPr>
        <w:t>2</w:t>
      </w:r>
      <w:r>
        <w:rPr>
          <w:rFonts w:hint="eastAsia" w:ascii="仿宋_GB2312" w:hAnsi="仿宋" w:eastAsia="仿宋_GB2312" w:cs="宋体"/>
          <w:color w:val="404040"/>
          <w:spacing w:val="8"/>
          <w:sz w:val="32"/>
          <w:szCs w:val="32"/>
        </w:rPr>
        <w:t>件，信息公开工作顺利开展。</w:t>
      </w:r>
    </w:p>
    <w:p>
      <w:pPr>
        <w:widowControl/>
        <w:shd w:val="clear" w:color="auto" w:fill="FFFFFF"/>
        <w:spacing w:line="560" w:lineRule="exact"/>
        <w:ind w:firstLine="672"/>
        <w:rPr>
          <w:rFonts w:ascii="仿宋_GB2312" w:hAnsi="Calibri" w:eastAsia="仿宋_GB2312" w:cs="宋体"/>
          <w:color w:val="404040"/>
          <w:kern w:val="0"/>
          <w:sz w:val="32"/>
          <w:szCs w:val="32"/>
        </w:rPr>
      </w:pPr>
      <w:r>
        <w:rPr>
          <w:rFonts w:hint="eastAsia" w:ascii="仿宋_GB2312" w:hAnsi="楷体" w:eastAsia="仿宋_GB2312" w:cs="宋体"/>
          <w:color w:val="404040"/>
          <w:spacing w:val="8"/>
          <w:kern w:val="0"/>
          <w:sz w:val="32"/>
          <w:szCs w:val="32"/>
        </w:rPr>
        <w:t>（一）加强组织领导</w:t>
      </w:r>
    </w:p>
    <w:p>
      <w:pPr>
        <w:widowControl/>
        <w:shd w:val="clear" w:color="auto" w:fill="FFFFFF"/>
        <w:spacing w:line="560" w:lineRule="exact"/>
        <w:ind w:firstLine="672"/>
        <w:rPr>
          <w:rFonts w:ascii="仿宋_GB2312" w:hAnsi="Calibri" w:eastAsia="仿宋_GB2312" w:cs="宋体"/>
          <w:color w:val="404040"/>
          <w:kern w:val="0"/>
          <w:sz w:val="32"/>
          <w:szCs w:val="32"/>
        </w:rPr>
      </w:pPr>
      <w:r>
        <w:rPr>
          <w:rFonts w:hint="eastAsia" w:ascii="仿宋_GB2312" w:hAnsi="仿宋" w:eastAsia="仿宋_GB2312" w:cs="宋体"/>
          <w:color w:val="404040"/>
          <w:spacing w:val="8"/>
          <w:kern w:val="0"/>
          <w:sz w:val="32"/>
          <w:szCs w:val="32"/>
        </w:rPr>
        <w:t>建立领导、机构、人员“三到位”的信息公开工作机制，形成由</w:t>
      </w:r>
      <w:r>
        <w:rPr>
          <w:rFonts w:ascii="仿宋_GB2312" w:hAnsi="仿宋" w:eastAsia="仿宋_GB2312" w:cs="宋体"/>
          <w:color w:val="404040"/>
          <w:spacing w:val="8"/>
          <w:kern w:val="0"/>
          <w:sz w:val="32"/>
          <w:szCs w:val="32"/>
        </w:rPr>
        <w:t>一把手部署，</w:t>
      </w:r>
      <w:r>
        <w:rPr>
          <w:rFonts w:hint="eastAsia" w:ascii="仿宋_GB2312" w:hAnsi="仿宋" w:eastAsia="仿宋_GB2312" w:cs="宋体"/>
          <w:color w:val="404040"/>
          <w:spacing w:val="8"/>
          <w:kern w:val="0"/>
          <w:sz w:val="32"/>
          <w:szCs w:val="32"/>
        </w:rPr>
        <w:t>局办公室统一协调、各科室配合的工作格局。切实做到主要领导亲自抓，分管领导具体抓，责任部门专人负责抓，确保工作层层推进</w:t>
      </w:r>
      <w:r>
        <w:rPr>
          <w:rFonts w:ascii="仿宋_GB2312" w:hAnsi="仿宋" w:eastAsia="仿宋_GB2312" w:cs="宋体"/>
          <w:color w:val="404040"/>
          <w:spacing w:val="8"/>
          <w:kern w:val="0"/>
          <w:sz w:val="32"/>
          <w:szCs w:val="32"/>
        </w:rPr>
        <w:t>与</w:t>
      </w:r>
      <w:r>
        <w:rPr>
          <w:rFonts w:hint="eastAsia" w:ascii="仿宋_GB2312" w:hAnsi="仿宋" w:eastAsia="仿宋_GB2312" w:cs="宋体"/>
          <w:color w:val="404040"/>
          <w:spacing w:val="8"/>
          <w:kern w:val="0"/>
          <w:sz w:val="32"/>
          <w:szCs w:val="32"/>
        </w:rPr>
        <w:t>落实。完善信息公开责任、审议、反馈、备案和监督制度，推动本单位政府信息公开工作制度化和常态化。</w:t>
      </w:r>
    </w:p>
    <w:p>
      <w:pPr>
        <w:widowControl/>
        <w:shd w:val="clear" w:color="auto" w:fill="FFFFFF"/>
        <w:spacing w:line="560" w:lineRule="exact"/>
        <w:ind w:firstLine="672"/>
        <w:rPr>
          <w:rFonts w:ascii="仿宋_GB2312" w:hAnsi="Calibri" w:eastAsia="仿宋_GB2312" w:cs="宋体"/>
          <w:color w:val="404040"/>
          <w:kern w:val="0"/>
          <w:sz w:val="32"/>
          <w:szCs w:val="32"/>
        </w:rPr>
      </w:pPr>
      <w:r>
        <w:rPr>
          <w:rFonts w:hint="eastAsia" w:ascii="仿宋_GB2312" w:hAnsi="楷体" w:eastAsia="仿宋_GB2312" w:cs="宋体"/>
          <w:color w:val="404040"/>
          <w:spacing w:val="8"/>
          <w:kern w:val="0"/>
          <w:sz w:val="32"/>
          <w:szCs w:val="32"/>
        </w:rPr>
        <w:t>（二）统一公开渠道</w:t>
      </w:r>
    </w:p>
    <w:p>
      <w:pPr>
        <w:widowControl/>
        <w:shd w:val="clear" w:color="auto" w:fill="FFFFFF"/>
        <w:spacing w:line="560" w:lineRule="exact"/>
        <w:ind w:firstLine="672"/>
        <w:rPr>
          <w:rFonts w:ascii="仿宋_GB2312" w:hAnsi="Calibri" w:eastAsia="仿宋_GB2312" w:cs="宋体"/>
          <w:color w:val="404040"/>
          <w:kern w:val="0"/>
          <w:sz w:val="32"/>
          <w:szCs w:val="32"/>
        </w:rPr>
      </w:pPr>
      <w:r>
        <w:rPr>
          <w:rFonts w:hint="eastAsia" w:ascii="仿宋_GB2312" w:hAnsi="仿宋" w:eastAsia="仿宋_GB2312" w:cs="宋体"/>
          <w:color w:val="404040"/>
          <w:spacing w:val="8"/>
          <w:kern w:val="0"/>
          <w:sz w:val="32"/>
          <w:szCs w:val="32"/>
        </w:rPr>
        <w:t>本单位对外公开唯一渠道为门头沟区政府官网，积极推进财政信息主动公开，实现“应公开尽公开”，主动接受社会监督；依申请公开工作由专人负责受理，热情接待，不推脱、不消极对待，及时</w:t>
      </w:r>
      <w:r>
        <w:rPr>
          <w:rFonts w:ascii="仿宋_GB2312" w:hAnsi="仿宋" w:eastAsia="仿宋_GB2312" w:cs="宋体"/>
          <w:color w:val="404040"/>
          <w:spacing w:val="8"/>
          <w:kern w:val="0"/>
          <w:sz w:val="32"/>
          <w:szCs w:val="32"/>
        </w:rPr>
        <w:t>答复，</w:t>
      </w:r>
      <w:r>
        <w:rPr>
          <w:rFonts w:hint="eastAsia" w:ascii="仿宋_GB2312" w:hAnsi="仿宋" w:eastAsia="仿宋_GB2312" w:cs="宋体"/>
          <w:color w:val="404040"/>
          <w:spacing w:val="8"/>
          <w:kern w:val="0"/>
          <w:sz w:val="32"/>
          <w:szCs w:val="32"/>
        </w:rPr>
        <w:t>统一口径；加强与保密工作、网站管理工作的密切结合，在</w:t>
      </w:r>
      <w:r>
        <w:rPr>
          <w:rFonts w:hint="eastAsia" w:ascii="仿宋_GB2312" w:hAnsi="宋体" w:eastAsia="仿宋_GB2312" w:cs="宋体"/>
          <w:color w:val="404040"/>
          <w:spacing w:val="8"/>
          <w:kern w:val="0"/>
          <w:sz w:val="32"/>
          <w:szCs w:val="32"/>
        </w:rPr>
        <w:t>“</w:t>
      </w:r>
      <w:r>
        <w:rPr>
          <w:rFonts w:hint="eastAsia" w:ascii="仿宋_GB2312" w:hAnsi="仿宋" w:eastAsia="仿宋_GB2312" w:cs="宋体"/>
          <w:color w:val="404040"/>
          <w:spacing w:val="8"/>
          <w:kern w:val="0"/>
          <w:sz w:val="32"/>
          <w:szCs w:val="32"/>
        </w:rPr>
        <w:t>应公开尽公开</w:t>
      </w:r>
      <w:r>
        <w:rPr>
          <w:rFonts w:hint="eastAsia" w:ascii="仿宋_GB2312" w:hAnsi="宋体" w:eastAsia="仿宋_GB2312" w:cs="宋体"/>
          <w:color w:val="404040"/>
          <w:spacing w:val="8"/>
          <w:kern w:val="0"/>
          <w:sz w:val="32"/>
          <w:szCs w:val="32"/>
        </w:rPr>
        <w:t>”</w:t>
      </w:r>
      <w:r>
        <w:rPr>
          <w:rFonts w:hint="eastAsia" w:ascii="仿宋_GB2312" w:hAnsi="仿宋" w:eastAsia="仿宋_GB2312" w:cs="宋体"/>
          <w:color w:val="404040"/>
          <w:spacing w:val="8"/>
          <w:kern w:val="0"/>
          <w:sz w:val="32"/>
          <w:szCs w:val="32"/>
        </w:rPr>
        <w:t>的同时做到“涉密不上网”。</w:t>
      </w:r>
    </w:p>
    <w:p>
      <w:pPr>
        <w:widowControl/>
        <w:shd w:val="clear" w:color="auto" w:fill="FFFFFF"/>
        <w:spacing w:line="560" w:lineRule="exact"/>
        <w:ind w:firstLine="672"/>
        <w:rPr>
          <w:rFonts w:ascii="仿宋_GB2312" w:hAnsi="Calibri" w:eastAsia="仿宋_GB2312" w:cs="宋体"/>
          <w:color w:val="404040"/>
          <w:kern w:val="0"/>
          <w:sz w:val="32"/>
          <w:szCs w:val="32"/>
        </w:rPr>
      </w:pPr>
      <w:r>
        <w:rPr>
          <w:rFonts w:hint="eastAsia" w:ascii="仿宋_GB2312" w:hAnsi="楷体" w:eastAsia="仿宋_GB2312" w:cs="宋体"/>
          <w:color w:val="404040"/>
          <w:spacing w:val="8"/>
          <w:kern w:val="0"/>
          <w:sz w:val="32"/>
          <w:szCs w:val="32"/>
        </w:rPr>
        <w:t>（三）推进预决算信息公开</w:t>
      </w:r>
    </w:p>
    <w:p>
      <w:pPr>
        <w:widowControl/>
        <w:shd w:val="clear" w:color="auto" w:fill="FFFFFF"/>
        <w:spacing w:line="560" w:lineRule="exact"/>
        <w:ind w:firstLine="640"/>
        <w:rPr>
          <w:rFonts w:hint="eastAsia" w:ascii="仿宋_GB2312" w:hAnsi="仿宋" w:eastAsia="仿宋_GB2312" w:cs="宋体"/>
          <w:color w:val="404040"/>
          <w:kern w:val="0"/>
          <w:sz w:val="32"/>
          <w:szCs w:val="32"/>
        </w:rPr>
      </w:pPr>
      <w:r>
        <w:rPr>
          <w:rFonts w:hint="eastAsia" w:ascii="仿宋_GB2312" w:hAnsi="仿宋" w:eastAsia="仿宋_GB2312" w:cs="宋体"/>
          <w:color w:val="404040"/>
          <w:kern w:val="0"/>
          <w:sz w:val="32"/>
          <w:szCs w:val="32"/>
        </w:rPr>
        <w:t>以“以公开为常态，不公开为例外”为原则。一是格式规范。依托新预算管理一体化系统实现部门预算公开信息与市级预算公开报表统一。二是内容全面。各部门在公开预算报表的同时，一并公开本部门的“三公”经费、机关运行经费、政府采购预算等相关信息，并对专业性较强的术语进行名词解释。三是公开时限明确。全区除4家涉密单位外，区级70家一级部门及191家所属二级单位，均在法定时限内完成预决算公开工作，做到全区公开一盘棋。四是加强部门决算制度建设。制定《北京市门头沟区部门决算管理办法》（门财国库【2022】22号），进一步规范部门决算编制、审核、批复及公开程序，确保公开数据全面、真实、准确和完整。五是加强工作衔接。利用信息化手段与全区各部门保持良好的沟通和</w:t>
      </w:r>
      <w:r>
        <w:rPr>
          <w:rFonts w:ascii="仿宋_GB2312" w:hAnsi="仿宋" w:eastAsia="仿宋_GB2312" w:cs="宋体"/>
          <w:color w:val="404040"/>
          <w:kern w:val="0"/>
          <w:sz w:val="32"/>
          <w:szCs w:val="32"/>
        </w:rPr>
        <w:t>衔接</w:t>
      </w:r>
      <w:r>
        <w:rPr>
          <w:rFonts w:hint="eastAsia" w:ascii="仿宋_GB2312" w:hAnsi="仿宋" w:eastAsia="仿宋_GB2312" w:cs="宋体"/>
          <w:color w:val="404040"/>
          <w:kern w:val="0"/>
          <w:sz w:val="32"/>
          <w:szCs w:val="32"/>
        </w:rPr>
        <w:t>；与区政务服务管理局密切配合，专人负责公开工作，积极</w:t>
      </w:r>
      <w:r>
        <w:rPr>
          <w:rFonts w:ascii="仿宋_GB2312" w:hAnsi="仿宋" w:eastAsia="仿宋_GB2312" w:cs="宋体"/>
          <w:color w:val="404040"/>
          <w:kern w:val="0"/>
          <w:sz w:val="32"/>
          <w:szCs w:val="32"/>
        </w:rPr>
        <w:t>参加</w:t>
      </w:r>
      <w:r>
        <w:rPr>
          <w:rFonts w:hint="eastAsia" w:ascii="仿宋_GB2312" w:hAnsi="仿宋" w:eastAsia="仿宋_GB2312" w:cs="宋体"/>
          <w:color w:val="404040"/>
          <w:kern w:val="0"/>
          <w:sz w:val="32"/>
          <w:szCs w:val="32"/>
        </w:rPr>
        <w:t>公开</w:t>
      </w:r>
      <w:r>
        <w:rPr>
          <w:rFonts w:ascii="仿宋_GB2312" w:hAnsi="仿宋" w:eastAsia="仿宋_GB2312" w:cs="宋体"/>
          <w:color w:val="404040"/>
          <w:kern w:val="0"/>
          <w:sz w:val="32"/>
          <w:szCs w:val="32"/>
        </w:rPr>
        <w:t>工作培训，提升业务能力。</w:t>
      </w:r>
    </w:p>
    <w:p>
      <w:pPr>
        <w:widowControl/>
        <w:shd w:val="clear" w:color="auto" w:fill="FFFFFF"/>
        <w:spacing w:line="560" w:lineRule="exact"/>
        <w:ind w:firstLine="640"/>
        <w:rPr>
          <w:rFonts w:ascii="仿宋_GB2312" w:hAnsi="仿宋" w:eastAsia="仿宋_GB2312" w:cs="宋体"/>
          <w:color w:val="404040"/>
          <w:kern w:val="0"/>
          <w:sz w:val="32"/>
          <w:szCs w:val="32"/>
        </w:rPr>
      </w:pPr>
      <w:r>
        <w:rPr>
          <w:rFonts w:hint="eastAsia" w:ascii="仿宋_GB2312" w:hAnsi="仿宋" w:eastAsia="仿宋_GB2312" w:cs="宋体"/>
          <w:color w:val="404040"/>
          <w:kern w:val="0"/>
          <w:sz w:val="32"/>
          <w:szCs w:val="32"/>
        </w:rPr>
        <w:t>（四）加强政府</w:t>
      </w:r>
      <w:r>
        <w:rPr>
          <w:rFonts w:ascii="仿宋_GB2312" w:hAnsi="仿宋" w:eastAsia="仿宋_GB2312" w:cs="宋体"/>
          <w:color w:val="404040"/>
          <w:kern w:val="0"/>
          <w:sz w:val="32"/>
          <w:szCs w:val="32"/>
        </w:rPr>
        <w:t>信息</w:t>
      </w:r>
      <w:r>
        <w:rPr>
          <w:rFonts w:hint="eastAsia" w:ascii="仿宋_GB2312" w:hAnsi="仿宋" w:eastAsia="仿宋_GB2312" w:cs="宋体"/>
          <w:color w:val="404040"/>
          <w:kern w:val="0"/>
          <w:sz w:val="32"/>
          <w:szCs w:val="32"/>
        </w:rPr>
        <w:t>监督管理</w:t>
      </w:r>
    </w:p>
    <w:p>
      <w:pPr>
        <w:widowControl/>
        <w:shd w:val="clear" w:color="auto" w:fill="FFFFFF"/>
        <w:spacing w:line="560" w:lineRule="exact"/>
        <w:ind w:firstLine="640"/>
        <w:rPr>
          <w:rFonts w:ascii="仿宋_GB2312" w:hAnsi="仿宋" w:eastAsia="仿宋_GB2312" w:cs="宋体"/>
          <w:color w:val="404040"/>
          <w:kern w:val="0"/>
          <w:sz w:val="32"/>
          <w:szCs w:val="32"/>
        </w:rPr>
      </w:pPr>
      <w:r>
        <w:rPr>
          <w:rFonts w:hint="eastAsia" w:ascii="仿宋_GB2312" w:hAnsi="仿宋" w:eastAsia="仿宋_GB2312" w:cs="宋体"/>
          <w:color w:val="404040"/>
          <w:kern w:val="0"/>
          <w:sz w:val="32"/>
          <w:szCs w:val="32"/>
        </w:rPr>
        <w:t>完善信息公开工作监督检查机制，严格落实信息公开相关制度规定，依法依规履行公开义务；将信息公开情况纳入年度绩效考核；规范文件制定、审核、公开程序。全年没有因为信息公开问题被服务对象投诉的现象发生。</w:t>
      </w:r>
    </w:p>
    <w:p>
      <w:pPr>
        <w:widowControl/>
        <w:shd w:val="clear" w:color="auto" w:fill="FFFFFF"/>
        <w:spacing w:line="560" w:lineRule="exact"/>
        <w:ind w:firstLine="640"/>
        <w:rPr>
          <w:rFonts w:ascii="仿宋_GB2312" w:hAnsi="仿宋" w:eastAsia="仿宋_GB2312" w:cs="宋体"/>
          <w:color w:val="404040"/>
          <w:kern w:val="0"/>
          <w:sz w:val="32"/>
          <w:szCs w:val="32"/>
        </w:rPr>
      </w:pPr>
      <w:r>
        <w:rPr>
          <w:rFonts w:hint="eastAsia" w:ascii="仿宋_GB2312" w:hAnsi="仿宋" w:eastAsia="仿宋_GB2312" w:cs="宋体"/>
          <w:color w:val="404040"/>
          <w:kern w:val="0"/>
          <w:sz w:val="32"/>
          <w:szCs w:val="32"/>
        </w:rPr>
        <w:t>（五）依申请公开办理情况</w:t>
      </w:r>
    </w:p>
    <w:p>
      <w:pPr>
        <w:widowControl/>
        <w:shd w:val="clear" w:color="auto" w:fill="FFFFFF"/>
        <w:spacing w:line="560" w:lineRule="exact"/>
        <w:ind w:firstLine="640"/>
        <w:rPr>
          <w:rFonts w:ascii="仿宋_GB2312" w:hAnsi="仿宋" w:eastAsia="仿宋_GB2312" w:cs="宋体"/>
          <w:color w:val="404040"/>
          <w:kern w:val="0"/>
          <w:sz w:val="32"/>
          <w:szCs w:val="32"/>
        </w:rPr>
      </w:pPr>
      <w:r>
        <w:rPr>
          <w:rFonts w:ascii="Calibri" w:hAnsi="Calibri" w:eastAsia="仿宋_GB2312" w:cs="Calibri"/>
          <w:color w:val="404040"/>
          <w:kern w:val="0"/>
          <w:sz w:val="32"/>
          <w:szCs w:val="32"/>
        </w:rPr>
        <w:t> </w:t>
      </w:r>
      <w:r>
        <w:rPr>
          <w:rFonts w:hint="eastAsia" w:ascii="仿宋_GB2312" w:hAnsi="仿宋" w:eastAsia="仿宋_GB2312" w:cs="宋体"/>
          <w:color w:val="404040"/>
          <w:kern w:val="0"/>
          <w:sz w:val="32"/>
          <w:szCs w:val="32"/>
        </w:rPr>
        <w:t>本单位2022年度收到政府信息公开申请2件。</w:t>
      </w:r>
    </w:p>
    <w:p>
      <w:pPr>
        <w:pStyle w:val="2"/>
      </w:pPr>
    </w:p>
    <w:p>
      <w:pPr>
        <w:pStyle w:val="2"/>
      </w:pPr>
    </w:p>
    <w:p>
      <w:pPr>
        <w:pStyle w:val="2"/>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主动公开政府信息情况</w:t>
      </w:r>
    </w:p>
    <w:p>
      <w:pPr>
        <w:pStyle w:val="2"/>
      </w:pPr>
    </w:p>
    <w:p>
      <w:pPr>
        <w:pStyle w:val="2"/>
      </w:pPr>
    </w:p>
    <w:tbl>
      <w:tblPr>
        <w:tblStyle w:val="9"/>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现行有效件</w:t>
            </w:r>
            <w:r>
              <w:rPr>
                <w:rFonts w:hint="eastAsia" w:ascii="宋体" w:hAnsi="宋体" w:eastAsia="宋体" w:cs="宋体"/>
                <w:kern w:val="0"/>
                <w:sz w:val="20"/>
                <w:szCs w:val="20"/>
                <w:lang w:bidi="ar"/>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ascii="Calibri" w:hAnsi="Calibri" w:cs="Calibri"/>
                <w:kern w:val="0"/>
                <w:szCs w:val="21"/>
                <w:lang w:bidi="ar"/>
              </w:rPr>
              <w:t> 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10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ascii="Calibri" w:hAnsi="Calibri" w:cs="Calibri"/>
                <w:kern w:val="0"/>
                <w:szCs w:val="21"/>
                <w:lang w:bidi="ar"/>
              </w:rPr>
              <w:t> 16</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pPr>
            <w:r>
              <w:rPr>
                <w:rFonts w:ascii="Calibri" w:hAnsi="Calibri" w:cs="Calibri"/>
                <w:kern w:val="0"/>
                <w:szCs w:val="21"/>
                <w:lang w:bidi="ar"/>
              </w:rPr>
              <w:t> 28</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lang w:bidi="ar"/>
              </w:rPr>
              <w:t>　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eastAsia="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rPr>
                <w:rFonts w:ascii="宋体"/>
                <w:sz w:val="24"/>
              </w:rPr>
            </w:pPr>
            <w:r>
              <w:rPr>
                <w:rFonts w:hint="eastAsia" w:ascii="宋体"/>
                <w:sz w:val="24"/>
              </w:rPr>
              <w:t>47.7</w:t>
            </w:r>
          </w:p>
        </w:tc>
      </w:tr>
    </w:tbl>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收到和处理政府信息公开申请情况</w:t>
      </w:r>
    </w:p>
    <w:p>
      <w:pPr>
        <w:pStyle w:val="8"/>
        <w:widowControl/>
        <w:shd w:val="clear" w:color="auto" w:fill="FFFFFF"/>
        <w:spacing w:before="0" w:beforeAutospacing="0" w:after="0" w:afterAutospacing="0"/>
        <w:ind w:firstLine="420"/>
        <w:jc w:val="both"/>
        <w:rPr>
          <w:rFonts w:ascii="宋体" w:hAnsi="宋体" w:eastAsia="宋体" w:cs="宋体"/>
          <w:color w:val="333333"/>
        </w:rPr>
      </w:pP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widowControl/>
              <w:jc w:val="left"/>
            </w:pPr>
            <w:r>
              <w:rPr>
                <w:rFonts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ascii="宋体"/>
                <w:sz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商业</w:t>
            </w:r>
          </w:p>
          <w:p>
            <w:pPr>
              <w:widowControl/>
              <w:jc w:val="center"/>
            </w:pPr>
            <w:r>
              <w:rPr>
                <w:rFonts w:hint="eastAsia" w:ascii="宋体" w:hAnsi="宋体" w:eastAsia="宋体" w:cs="宋体"/>
                <w:kern w:val="0"/>
                <w:sz w:val="20"/>
                <w:szCs w:val="20"/>
                <w:lang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科研</w:t>
            </w:r>
          </w:p>
          <w:p>
            <w:pPr>
              <w:widowControl/>
              <w:jc w:val="center"/>
            </w:pPr>
            <w:r>
              <w:rPr>
                <w:rFonts w:hint="eastAsia" w:ascii="宋体" w:hAnsi="宋体" w:eastAsia="宋体" w:cs="宋体"/>
                <w:kern w:val="0"/>
                <w:sz w:val="20"/>
                <w:szCs w:val="20"/>
                <w:lang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eastAsia="宋体" w:cs="宋体"/>
                <w:kern w:val="0"/>
                <w:sz w:val="20"/>
                <w:szCs w:val="20"/>
                <w:lang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w:t>
            </w:r>
            <w:r>
              <w:rPr>
                <w:rFonts w:hint="eastAsia" w:ascii="Calibri" w:hAnsi="Calibri" w:cs="Calibri"/>
                <w:kern w:val="0"/>
                <w:sz w:val="20"/>
                <w:szCs w:val="20"/>
                <w:lang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9"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hint="eastAsia" w:ascii="Calibri" w:hAnsi="Calibri" w:cs="Calibri"/>
                <w:kern w:val="0"/>
                <w:sz w:val="20"/>
                <w:szCs w:val="20"/>
                <w:lang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0 </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eastAsia="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lang w:bidi="ar"/>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8"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c>
          <w:tcPr>
            <w:tcW w:w="689" w:type="dxa"/>
            <w:tcBorders>
              <w:top w:val="nil"/>
              <w:left w:val="nil"/>
              <w:bottom w:val="outset"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eastAsia="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eastAsia="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cs="Calibri"/>
                <w:kern w:val="0"/>
                <w:sz w:val="20"/>
                <w:szCs w:val="20"/>
                <w:lang w:bidi="ar"/>
              </w:rPr>
              <w:t> 0</w:t>
            </w:r>
          </w:p>
        </w:tc>
        <w:tc>
          <w:tcPr>
            <w:tcW w:w="689"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cs="Calibri"/>
                <w:kern w:val="0"/>
                <w:sz w:val="20"/>
                <w:szCs w:val="20"/>
                <w:lang w:bidi="ar"/>
              </w:rPr>
              <w:t> </w:t>
            </w:r>
            <w:r>
              <w:rPr>
                <w:rFonts w:hint="eastAsia" w:ascii="Calibri" w:hAnsi="Calibri" w:cs="Calibri"/>
                <w:kern w:val="0"/>
                <w:sz w:val="20"/>
                <w:szCs w:val="20"/>
                <w:lang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eastAsia="宋体" w:cs="宋体"/>
                <w:kern w:val="0"/>
                <w:sz w:val="20"/>
                <w:szCs w:val="20"/>
                <w:lang w:bidi="ar"/>
              </w:rPr>
              <w:t>四、结转下年度继续办理</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8"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c>
          <w:tcPr>
            <w:tcW w:w="689" w:type="dxa"/>
            <w:tcBorders>
              <w:top w:val="outset" w:color="auto" w:sz="6" w:space="0"/>
              <w:left w:val="nil"/>
              <w:bottom w:val="outset" w:color="auto" w:sz="6" w:space="0"/>
              <w:right w:val="outset" w:color="auto" w:sz="6" w:space="0"/>
            </w:tcBorders>
            <w:vAlign w:val="center"/>
          </w:tcPr>
          <w:p>
            <w:pPr>
              <w:rPr>
                <w:rFonts w:ascii="宋体"/>
                <w:sz w:val="24"/>
              </w:rPr>
            </w:pPr>
            <w:r>
              <w:rPr>
                <w:rFonts w:hint="eastAsia" w:ascii="宋体"/>
                <w:sz w:val="24"/>
              </w:rPr>
              <w:t>0</w:t>
            </w:r>
          </w:p>
        </w:tc>
      </w:tr>
    </w:tbl>
    <w:p>
      <w:pPr>
        <w:pStyle w:val="2"/>
        <w:ind w:left="420" w:leftChars="200"/>
      </w:pPr>
    </w:p>
    <w:p>
      <w:pPr>
        <w:pStyle w:val="2"/>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jc w:val="center"/>
      </w:pP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eastAsia="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eastAsia="宋体" w:cs="宋体"/>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结果</w:t>
            </w:r>
          </w:p>
          <w:p>
            <w:pPr>
              <w:widowControl/>
              <w:jc w:val="center"/>
            </w:pPr>
            <w:r>
              <w:rPr>
                <w:rFonts w:hint="eastAsia" w:ascii="宋体" w:hAnsi="宋体" w:eastAsia="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其他</w:t>
            </w:r>
          </w:p>
          <w:p>
            <w:pPr>
              <w:widowControl/>
              <w:jc w:val="center"/>
            </w:pPr>
            <w:r>
              <w:rPr>
                <w:rFonts w:hint="eastAsia" w:ascii="宋体" w:hAnsi="宋体" w:eastAsia="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尚未</w:t>
            </w:r>
          </w:p>
          <w:p>
            <w:pPr>
              <w:widowControl/>
              <w:jc w:val="center"/>
            </w:pPr>
            <w:r>
              <w:rPr>
                <w:rFonts w:hint="eastAsia" w:ascii="宋体" w:hAnsi="宋体" w:eastAsia="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eastAsia="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eastAsia="宋体" w:cs="宋体"/>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结果</w:t>
            </w:r>
          </w:p>
          <w:p>
            <w:pPr>
              <w:widowControl/>
              <w:jc w:val="center"/>
            </w:pPr>
            <w:r>
              <w:rPr>
                <w:rFonts w:hint="eastAsia" w:ascii="宋体" w:hAnsi="宋体" w:eastAsia="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结果</w:t>
            </w:r>
          </w:p>
          <w:p>
            <w:pPr>
              <w:widowControl/>
              <w:jc w:val="center"/>
            </w:pPr>
            <w:r>
              <w:rPr>
                <w:rFonts w:hint="eastAsia" w:ascii="宋体" w:hAnsi="宋体" w:eastAsia="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其他</w:t>
            </w:r>
          </w:p>
          <w:p>
            <w:pPr>
              <w:widowControl/>
              <w:jc w:val="center"/>
            </w:pPr>
            <w:r>
              <w:rPr>
                <w:rFonts w:hint="eastAsia" w:ascii="宋体" w:hAnsi="宋体" w:eastAsia="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尚未</w:t>
            </w:r>
          </w:p>
          <w:p>
            <w:pPr>
              <w:widowControl/>
              <w:jc w:val="center"/>
            </w:pPr>
            <w:r>
              <w:rPr>
                <w:rFonts w:hint="eastAsia" w:ascii="宋体" w:hAnsi="宋体" w:eastAsia="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结果</w:t>
            </w:r>
          </w:p>
          <w:p>
            <w:pPr>
              <w:widowControl/>
              <w:jc w:val="center"/>
            </w:pPr>
            <w:r>
              <w:rPr>
                <w:rFonts w:hint="eastAsia" w:ascii="宋体" w:hAnsi="宋体" w:eastAsia="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结果</w:t>
            </w:r>
          </w:p>
          <w:p>
            <w:pPr>
              <w:widowControl/>
              <w:jc w:val="center"/>
            </w:pPr>
            <w:r>
              <w:rPr>
                <w:rFonts w:hint="eastAsia" w:ascii="宋体" w:hAnsi="宋体" w:eastAsia="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color w:val="000000"/>
                <w:kern w:val="0"/>
                <w:sz w:val="20"/>
                <w:szCs w:val="20"/>
                <w:lang w:bidi="ar"/>
              </w:rPr>
            </w:pPr>
            <w:r>
              <w:rPr>
                <w:rFonts w:hint="eastAsia" w:ascii="宋体" w:hAnsi="宋体" w:eastAsia="宋体" w:cs="宋体"/>
                <w:color w:val="000000"/>
                <w:kern w:val="0"/>
                <w:sz w:val="20"/>
                <w:szCs w:val="20"/>
                <w:lang w:bidi="ar"/>
              </w:rPr>
              <w:t>其他</w:t>
            </w:r>
          </w:p>
          <w:p>
            <w:pPr>
              <w:widowControl/>
              <w:jc w:val="center"/>
            </w:pPr>
            <w:r>
              <w:rPr>
                <w:rFonts w:hint="eastAsia" w:ascii="宋体" w:hAnsi="宋体" w:eastAsia="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eastAsia="宋体" w:cs="宋体"/>
                <w:kern w:val="0"/>
                <w:sz w:val="20"/>
                <w:szCs w:val="20"/>
                <w:lang w:bidi="ar"/>
              </w:rPr>
            </w:pPr>
            <w:r>
              <w:rPr>
                <w:rFonts w:hint="eastAsia" w:ascii="宋体" w:hAnsi="宋体" w:eastAsia="宋体" w:cs="宋体"/>
                <w:kern w:val="0"/>
                <w:sz w:val="20"/>
                <w:szCs w:val="20"/>
                <w:lang w:bidi="ar"/>
              </w:rPr>
              <w:t>尚未</w:t>
            </w:r>
          </w:p>
          <w:p>
            <w:pPr>
              <w:widowControl/>
              <w:jc w:val="center"/>
            </w:pPr>
            <w:r>
              <w:rPr>
                <w:rFonts w:hint="eastAsia" w:ascii="宋体" w:hAnsi="宋体" w:eastAsia="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ascii="黑体" w:hAnsi="宋体" w:eastAsia="黑体" w:cs="黑体"/>
                <w:kern w:val="0"/>
                <w:sz w:val="20"/>
                <w:szCs w:val="20"/>
                <w:lang w:bidi="ar"/>
              </w:rPr>
              <w:t> </w:t>
            </w: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r>
              <w:rPr>
                <w:rFonts w:hint="eastAsia" w:ascii="宋体"/>
                <w:sz w:val="24"/>
              </w:rPr>
              <w:t>0</w:t>
            </w:r>
          </w:p>
        </w:tc>
      </w:tr>
    </w:tbl>
    <w:p>
      <w:pPr>
        <w:widowControl/>
        <w:jc w:val="left"/>
      </w:pPr>
    </w:p>
    <w:p>
      <w:pPr>
        <w:widowControl/>
        <w:spacing w:line="560" w:lineRule="exact"/>
        <w:ind w:firstLine="672" w:firstLineChars="200"/>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hd w:val="clear" w:color="auto" w:fill="FFFFFF"/>
        <w:spacing w:before="225" w:after="100" w:afterAutospacing="1" w:line="620" w:lineRule="exact"/>
        <w:ind w:firstLine="640" w:firstLineChars="200"/>
        <w:rPr>
          <w:rFonts w:hint="eastAsia"/>
        </w:rPr>
      </w:pPr>
      <w:r>
        <w:rPr>
          <w:rFonts w:hint="eastAsia" w:ascii="仿宋" w:hAnsi="仿宋" w:eastAsia="仿宋" w:cs="宋体"/>
          <w:color w:val="404040"/>
          <w:kern w:val="0"/>
          <w:sz w:val="32"/>
          <w:szCs w:val="32"/>
        </w:rPr>
        <w:t>20</w:t>
      </w:r>
      <w:r>
        <w:rPr>
          <w:rFonts w:ascii="仿宋" w:hAnsi="仿宋" w:eastAsia="仿宋" w:cs="宋体"/>
          <w:color w:val="404040"/>
          <w:kern w:val="0"/>
          <w:sz w:val="32"/>
          <w:szCs w:val="32"/>
        </w:rPr>
        <w:t>22</w:t>
      </w:r>
      <w:r>
        <w:rPr>
          <w:rFonts w:hint="eastAsia" w:ascii="仿宋" w:hAnsi="仿宋" w:eastAsia="仿宋" w:cs="宋体"/>
          <w:color w:val="404040"/>
          <w:kern w:val="0"/>
          <w:sz w:val="32"/>
          <w:szCs w:val="32"/>
        </w:rPr>
        <w:t>年，我局政府信息公开工作得到了</w:t>
      </w:r>
      <w:r>
        <w:rPr>
          <w:rFonts w:ascii="仿宋" w:hAnsi="仿宋" w:eastAsia="仿宋" w:cs="宋体"/>
          <w:color w:val="404040"/>
          <w:kern w:val="0"/>
          <w:sz w:val="32"/>
          <w:szCs w:val="32"/>
        </w:rPr>
        <w:t>有效的推进，尤其在预决算公开</w:t>
      </w:r>
      <w:r>
        <w:rPr>
          <w:rFonts w:hint="eastAsia" w:ascii="仿宋" w:hAnsi="仿宋" w:eastAsia="仿宋" w:cs="宋体"/>
          <w:color w:val="404040"/>
          <w:kern w:val="0"/>
          <w:sz w:val="32"/>
          <w:szCs w:val="32"/>
        </w:rPr>
        <w:t>方面</w:t>
      </w:r>
      <w:r>
        <w:rPr>
          <w:rFonts w:ascii="仿宋" w:hAnsi="仿宋" w:eastAsia="仿宋" w:cs="宋体"/>
          <w:color w:val="404040"/>
          <w:kern w:val="0"/>
          <w:sz w:val="32"/>
          <w:szCs w:val="32"/>
        </w:rPr>
        <w:t>，在深度广度上做到“</w:t>
      </w:r>
      <w:r>
        <w:rPr>
          <w:rFonts w:hint="eastAsia" w:ascii="仿宋" w:hAnsi="仿宋" w:eastAsia="仿宋" w:cs="宋体"/>
          <w:color w:val="404040"/>
          <w:kern w:val="0"/>
          <w:sz w:val="32"/>
          <w:szCs w:val="32"/>
        </w:rPr>
        <w:t>应公开</w:t>
      </w:r>
      <w:r>
        <w:rPr>
          <w:rFonts w:ascii="仿宋" w:hAnsi="仿宋" w:eastAsia="仿宋" w:cs="宋体"/>
          <w:color w:val="404040"/>
          <w:kern w:val="0"/>
          <w:sz w:val="32"/>
          <w:szCs w:val="32"/>
        </w:rPr>
        <w:t>尽公开”，</w:t>
      </w:r>
      <w:r>
        <w:rPr>
          <w:rFonts w:hint="eastAsia" w:ascii="仿宋" w:hAnsi="仿宋" w:eastAsia="仿宋" w:cs="宋体"/>
          <w:color w:val="404040"/>
          <w:kern w:val="0"/>
          <w:sz w:val="32"/>
          <w:szCs w:val="32"/>
        </w:rPr>
        <w:t>但</w:t>
      </w:r>
      <w:r>
        <w:rPr>
          <w:rFonts w:ascii="仿宋" w:hAnsi="仿宋" w:eastAsia="仿宋" w:cs="宋体"/>
          <w:color w:val="404040"/>
          <w:kern w:val="0"/>
          <w:sz w:val="32"/>
          <w:szCs w:val="32"/>
        </w:rPr>
        <w:t>预算周</w:t>
      </w:r>
      <w:r>
        <w:rPr>
          <w:rFonts w:hint="eastAsia" w:ascii="仿宋" w:hAnsi="仿宋" w:eastAsia="仿宋" w:cs="宋体"/>
          <w:color w:val="404040"/>
          <w:kern w:val="0"/>
          <w:sz w:val="32"/>
          <w:szCs w:val="32"/>
        </w:rPr>
        <w:t>边</w:t>
      </w:r>
      <w:r>
        <w:rPr>
          <w:rFonts w:ascii="仿宋" w:hAnsi="仿宋" w:eastAsia="仿宋" w:cs="宋体"/>
          <w:color w:val="404040"/>
          <w:kern w:val="0"/>
          <w:sz w:val="32"/>
          <w:szCs w:val="32"/>
        </w:rPr>
        <w:t>的信息公开还略显不足</w:t>
      </w:r>
      <w:r>
        <w:rPr>
          <w:rFonts w:hint="eastAsia" w:ascii="仿宋" w:hAnsi="仿宋" w:eastAsia="仿宋" w:cs="宋体"/>
          <w:color w:val="404040"/>
          <w:kern w:val="0"/>
          <w:sz w:val="32"/>
          <w:szCs w:val="32"/>
        </w:rPr>
        <w:t>，</w:t>
      </w:r>
      <w:r>
        <w:rPr>
          <w:rFonts w:ascii="仿宋" w:hAnsi="仿宋" w:eastAsia="仿宋" w:cs="宋体"/>
          <w:color w:val="404040"/>
          <w:kern w:val="0"/>
          <w:sz w:val="32"/>
          <w:szCs w:val="32"/>
        </w:rPr>
        <w:t>比如财政政策类信息，</w:t>
      </w:r>
      <w:r>
        <w:rPr>
          <w:rFonts w:hint="eastAsia" w:ascii="仿宋" w:hAnsi="仿宋" w:eastAsia="仿宋" w:cs="宋体"/>
          <w:color w:val="404040"/>
          <w:kern w:val="0"/>
          <w:sz w:val="32"/>
          <w:szCs w:val="32"/>
        </w:rPr>
        <w:t>宏观</w:t>
      </w:r>
      <w:r>
        <w:rPr>
          <w:rFonts w:ascii="仿宋" w:hAnsi="仿宋" w:eastAsia="仿宋" w:cs="宋体"/>
          <w:color w:val="404040"/>
          <w:kern w:val="0"/>
          <w:sz w:val="32"/>
          <w:szCs w:val="32"/>
        </w:rPr>
        <w:t>经济发展预期等，这些与预算紧密联系的信息缺乏，导致公众对预算信息无法准确理解和判断。</w:t>
      </w:r>
      <w:r>
        <w:rPr>
          <w:rFonts w:hint="eastAsia" w:ascii="仿宋" w:hAnsi="仿宋" w:eastAsia="仿宋" w:cs="宋体"/>
          <w:color w:val="404040"/>
          <w:kern w:val="0"/>
          <w:sz w:val="32"/>
          <w:szCs w:val="32"/>
        </w:rPr>
        <w:t>此外，</w:t>
      </w:r>
      <w:r>
        <w:rPr>
          <w:rFonts w:ascii="仿宋" w:hAnsi="仿宋" w:eastAsia="仿宋" w:cs="宋体"/>
          <w:color w:val="404040"/>
          <w:kern w:val="0"/>
          <w:sz w:val="32"/>
          <w:szCs w:val="32"/>
        </w:rPr>
        <w:t>在公开工作与相关工作的协作方面，如网站管理、信访、接诉即办及保密工作之间，目前缺乏有效的对接，需进一步规范相关流程和衔接机制，提高工作效能。</w:t>
      </w:r>
    </w:p>
    <w:p>
      <w:pPr>
        <w:widowControl/>
        <w:shd w:val="clear" w:color="auto" w:fill="FFFFFF"/>
        <w:spacing w:before="225" w:after="100" w:afterAutospacing="1" w:line="620" w:lineRule="exact"/>
        <w:ind w:firstLine="640" w:firstLineChars="200"/>
        <w:rPr>
          <w:rFonts w:ascii="仿宋" w:hAnsi="仿宋" w:eastAsia="仿宋" w:cs="宋体"/>
          <w:color w:val="404040"/>
          <w:kern w:val="0"/>
          <w:sz w:val="32"/>
          <w:szCs w:val="32"/>
        </w:rPr>
      </w:pPr>
      <w:r>
        <w:rPr>
          <w:rFonts w:hint="eastAsia" w:ascii="仿宋" w:hAnsi="仿宋" w:eastAsia="仿宋" w:cs="宋体"/>
          <w:color w:val="404040"/>
          <w:kern w:val="0"/>
          <w:sz w:val="32"/>
          <w:szCs w:val="32"/>
        </w:rPr>
        <w:t>202</w:t>
      </w:r>
      <w:r>
        <w:rPr>
          <w:rFonts w:ascii="仿宋" w:hAnsi="仿宋" w:eastAsia="仿宋" w:cs="宋体"/>
          <w:color w:val="404040"/>
          <w:kern w:val="0"/>
          <w:sz w:val="32"/>
          <w:szCs w:val="32"/>
        </w:rPr>
        <w:t>3</w:t>
      </w:r>
      <w:r>
        <w:rPr>
          <w:rFonts w:hint="eastAsia" w:ascii="仿宋" w:hAnsi="仿宋" w:eastAsia="仿宋" w:cs="宋体"/>
          <w:color w:val="404040"/>
          <w:kern w:val="0"/>
          <w:sz w:val="32"/>
          <w:szCs w:val="32"/>
        </w:rPr>
        <w:t>年，我局将着力提高全局干部职工政府信息公开意识，积极回应社会关切，不断丰富公开载体，完善公开机制，提高财政部门政府信息公开工作水平。</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hd w:val="clear" w:color="auto" w:fill="FFFFFF"/>
        <w:spacing w:before="225" w:after="100" w:afterAutospacing="1" w:line="620" w:lineRule="exact"/>
        <w:jc w:val="left"/>
        <w:rPr>
          <w:rFonts w:ascii="仿宋" w:hAnsi="仿宋" w:eastAsia="仿宋" w:cs="宋体"/>
          <w:color w:val="404040"/>
          <w:kern w:val="0"/>
          <w:sz w:val="32"/>
          <w:szCs w:val="32"/>
        </w:rPr>
      </w:pPr>
      <w:r>
        <w:rPr>
          <w:rFonts w:hint="eastAsia" w:ascii="宋体" w:hAnsi="宋体" w:cs="宋体"/>
          <w:spacing w:val="8"/>
          <w:kern w:val="0"/>
          <w:sz w:val="32"/>
          <w:szCs w:val="32"/>
        </w:rPr>
        <w:t xml:space="preserve">    </w:t>
      </w:r>
      <w:r>
        <w:rPr>
          <w:rFonts w:hint="eastAsia" w:ascii="仿宋" w:hAnsi="仿宋" w:eastAsia="仿宋" w:cs="宋体"/>
          <w:color w:val="404040"/>
          <w:kern w:val="0"/>
          <w:sz w:val="32"/>
          <w:szCs w:val="32"/>
        </w:rPr>
        <w:t>根据《政府信息公开信息处理费管理办法》(国办函〔2020〕109号)，2022年度门头沟区财政局收取信息处理费情况为：发出收费通知的件数为0件，总金额为0元，实际收取的总金额为0元。</w:t>
      </w:r>
    </w:p>
    <w:p>
      <w:pPr>
        <w:widowControl/>
        <w:shd w:val="clear" w:color="auto" w:fill="FFFFFF"/>
        <w:spacing w:before="225" w:after="100" w:afterAutospacing="1" w:line="620" w:lineRule="exact"/>
        <w:ind w:firstLine="640" w:firstLineChars="200"/>
        <w:jc w:val="left"/>
      </w:pPr>
      <w:r>
        <w:rPr>
          <w:rFonts w:hint="eastAsia" w:ascii="仿宋" w:hAnsi="仿宋" w:eastAsia="仿宋" w:cs="宋体"/>
          <w:color w:val="404040"/>
          <w:kern w:val="0"/>
          <w:sz w:val="32"/>
          <w:szCs w:val="32"/>
        </w:rPr>
        <w:t>北京市门头沟区人民政府网站网址为http://www.bjmtg.gov.cn/，如需了解更多政府信息，请登录查询。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5733E59-A2C7-414F-A653-B4266FBAFA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A448ADF-F2D9-4703-8216-47F6F1A54314}"/>
  </w:font>
  <w:font w:name="Courier New">
    <w:panose1 w:val="02070309020205020404"/>
    <w:charset w:val="00"/>
    <w:family w:val="modern"/>
    <w:pitch w:val="default"/>
    <w:sig w:usb0="E0002EFF" w:usb1="C0007843" w:usb2="00000009" w:usb3="00000000" w:csb0="400001FF" w:csb1="FFFF0000"/>
  </w:font>
  <w:font w:name="方正小标宋简体">
    <w:panose1 w:val="02000000000000000000"/>
    <w:charset w:val="86"/>
    <w:family w:val="script"/>
    <w:pitch w:val="default"/>
    <w:sig w:usb0="00000001" w:usb1="08000000" w:usb2="00000000" w:usb3="00000000" w:csb0="00040000" w:csb1="00000000"/>
    <w:embedRegular r:id="rId3" w:fontKey="{0F0D07AC-5BC5-47FB-94C7-9CEF3C1685A4}"/>
  </w:font>
  <w:font w:name="微软雅黑">
    <w:panose1 w:val="020B0503020204020204"/>
    <w:charset w:val="86"/>
    <w:family w:val="swiss"/>
    <w:pitch w:val="default"/>
    <w:sig w:usb0="80000287" w:usb1="2ACF3C50" w:usb2="00000016" w:usb3="00000000" w:csb0="0004001F" w:csb1="00000000"/>
    <w:embedRegular r:id="rId4" w:fontKey="{2E73FBDA-39AB-40D6-890F-3ED2153C2AB5}"/>
  </w:font>
  <w:font w:name="仿宋_GB2312">
    <w:panose1 w:val="02010609030101010101"/>
    <w:charset w:val="86"/>
    <w:family w:val="modern"/>
    <w:pitch w:val="default"/>
    <w:sig w:usb0="00000001" w:usb1="080E0000" w:usb2="00000000" w:usb3="00000000" w:csb0="00040000" w:csb1="00000000"/>
    <w:embedRegular r:id="rId5" w:fontKey="{54FC512D-CE0E-4623-A3D9-17F39891A2D9}"/>
  </w:font>
  <w:font w:name="仿宋">
    <w:panose1 w:val="02010609060101010101"/>
    <w:charset w:val="86"/>
    <w:family w:val="modern"/>
    <w:pitch w:val="default"/>
    <w:sig w:usb0="800002BF" w:usb1="38CF7CFA" w:usb2="00000016" w:usb3="00000000" w:csb0="00040001" w:csb1="00000000"/>
    <w:embedRegular r:id="rId6" w:fontKey="{8B9D5538-95D7-40A3-BA77-D46B7EE0EBD2}"/>
  </w:font>
  <w:font w:name="楷体">
    <w:panose1 w:val="02010609060101010101"/>
    <w:charset w:val="86"/>
    <w:family w:val="modern"/>
    <w:pitch w:val="default"/>
    <w:sig w:usb0="800002BF" w:usb1="38CF7CFA" w:usb2="00000016" w:usb3="00000000" w:csb0="00040001" w:csb1="00000000"/>
    <w:embedRegular r:id="rId7" w:fontKey="{6AF74F8C-2407-4AC9-B27A-48A9CAE2464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2NjJjYWRiZWYzY2ViZDcxMWU0YjhkNjE4ZmUzZjEifQ=="/>
  </w:docVars>
  <w:rsids>
    <w:rsidRoot w:val="12EB65A5"/>
    <w:rsid w:val="000772EA"/>
    <w:rsid w:val="000821EA"/>
    <w:rsid w:val="0009737F"/>
    <w:rsid w:val="000A61F9"/>
    <w:rsid w:val="00153CEB"/>
    <w:rsid w:val="001705C6"/>
    <w:rsid w:val="00182240"/>
    <w:rsid w:val="00186724"/>
    <w:rsid w:val="001C3DEE"/>
    <w:rsid w:val="001E09CA"/>
    <w:rsid w:val="001F6575"/>
    <w:rsid w:val="0021244A"/>
    <w:rsid w:val="00216EA0"/>
    <w:rsid w:val="00240EEE"/>
    <w:rsid w:val="00257AE1"/>
    <w:rsid w:val="00286061"/>
    <w:rsid w:val="002D0B6F"/>
    <w:rsid w:val="002E584B"/>
    <w:rsid w:val="002F12AF"/>
    <w:rsid w:val="003453BE"/>
    <w:rsid w:val="00355E69"/>
    <w:rsid w:val="00361B25"/>
    <w:rsid w:val="00387205"/>
    <w:rsid w:val="003B7FB7"/>
    <w:rsid w:val="003E1799"/>
    <w:rsid w:val="003E2B9F"/>
    <w:rsid w:val="003F5245"/>
    <w:rsid w:val="0040538F"/>
    <w:rsid w:val="00434BD6"/>
    <w:rsid w:val="00447587"/>
    <w:rsid w:val="004521F2"/>
    <w:rsid w:val="00485451"/>
    <w:rsid w:val="005124C8"/>
    <w:rsid w:val="00520E18"/>
    <w:rsid w:val="005658FE"/>
    <w:rsid w:val="00575C2B"/>
    <w:rsid w:val="005A26E5"/>
    <w:rsid w:val="005B52CE"/>
    <w:rsid w:val="005C4D29"/>
    <w:rsid w:val="005F4736"/>
    <w:rsid w:val="00603163"/>
    <w:rsid w:val="00694236"/>
    <w:rsid w:val="006A0261"/>
    <w:rsid w:val="006A064C"/>
    <w:rsid w:val="006A7CFD"/>
    <w:rsid w:val="006B03E9"/>
    <w:rsid w:val="006B5936"/>
    <w:rsid w:val="006F12BA"/>
    <w:rsid w:val="006F33AB"/>
    <w:rsid w:val="007833E8"/>
    <w:rsid w:val="007C21CE"/>
    <w:rsid w:val="007C49A1"/>
    <w:rsid w:val="007C54DC"/>
    <w:rsid w:val="007F0C8E"/>
    <w:rsid w:val="0081029B"/>
    <w:rsid w:val="008A21B6"/>
    <w:rsid w:val="008B20C5"/>
    <w:rsid w:val="008B7F6D"/>
    <w:rsid w:val="008C5038"/>
    <w:rsid w:val="008D1F0E"/>
    <w:rsid w:val="008D4875"/>
    <w:rsid w:val="00900A5D"/>
    <w:rsid w:val="009145F9"/>
    <w:rsid w:val="009412C8"/>
    <w:rsid w:val="00960729"/>
    <w:rsid w:val="00997F47"/>
    <w:rsid w:val="009A49D8"/>
    <w:rsid w:val="009E3B50"/>
    <w:rsid w:val="009F2ECD"/>
    <w:rsid w:val="00A570E0"/>
    <w:rsid w:val="00A9763F"/>
    <w:rsid w:val="00AA6AE9"/>
    <w:rsid w:val="00AD55C7"/>
    <w:rsid w:val="00AD63A3"/>
    <w:rsid w:val="00B422EE"/>
    <w:rsid w:val="00B77832"/>
    <w:rsid w:val="00B80F23"/>
    <w:rsid w:val="00BB3AF1"/>
    <w:rsid w:val="00BB6C52"/>
    <w:rsid w:val="00BD1E33"/>
    <w:rsid w:val="00BE5BE8"/>
    <w:rsid w:val="00C14B0F"/>
    <w:rsid w:val="00C74B7C"/>
    <w:rsid w:val="00C761BB"/>
    <w:rsid w:val="00C85B8D"/>
    <w:rsid w:val="00D42DFB"/>
    <w:rsid w:val="00D47EA3"/>
    <w:rsid w:val="00D6623E"/>
    <w:rsid w:val="00DA3F9F"/>
    <w:rsid w:val="00DB5185"/>
    <w:rsid w:val="00DD19F0"/>
    <w:rsid w:val="00DE63F5"/>
    <w:rsid w:val="00DF6881"/>
    <w:rsid w:val="00E81641"/>
    <w:rsid w:val="00EA496A"/>
    <w:rsid w:val="00EC7F87"/>
    <w:rsid w:val="00ED2886"/>
    <w:rsid w:val="00ED645D"/>
    <w:rsid w:val="00EE7EE5"/>
    <w:rsid w:val="00F527E5"/>
    <w:rsid w:val="00F75323"/>
    <w:rsid w:val="00F76E0A"/>
    <w:rsid w:val="00FE2AD3"/>
    <w:rsid w:val="0208294C"/>
    <w:rsid w:val="0339544E"/>
    <w:rsid w:val="086E3FDC"/>
    <w:rsid w:val="12EB65A5"/>
    <w:rsid w:val="17371930"/>
    <w:rsid w:val="174D5C54"/>
    <w:rsid w:val="1D5D6E24"/>
    <w:rsid w:val="21AD09D2"/>
    <w:rsid w:val="25871C98"/>
    <w:rsid w:val="2E1B49FC"/>
    <w:rsid w:val="2EEE1E6F"/>
    <w:rsid w:val="3330627F"/>
    <w:rsid w:val="37643766"/>
    <w:rsid w:val="46322CD4"/>
    <w:rsid w:val="60BC260E"/>
    <w:rsid w:val="61723263"/>
    <w:rsid w:val="63953467"/>
    <w:rsid w:val="643F2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uiPriority w:val="0"/>
    <w:pPr>
      <w:jc w:val="left"/>
    </w:pPr>
  </w:style>
  <w:style w:type="paragraph" w:styleId="5">
    <w:name w:val="Balloon Text"/>
    <w:basedOn w:val="1"/>
    <w:link w:val="15"/>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character" w:styleId="11">
    <w:name w:val="Hyperlink"/>
    <w:basedOn w:val="10"/>
    <w:qFormat/>
    <w:uiPriority w:val="0"/>
    <w:rPr>
      <w:color w:val="0000FF"/>
      <w:u w:val="single"/>
    </w:rPr>
  </w:style>
  <w:style w:type="character" w:styleId="12">
    <w:name w:val="annotation reference"/>
    <w:basedOn w:val="10"/>
    <w:qFormat/>
    <w:uiPriority w:val="0"/>
    <w:rPr>
      <w:sz w:val="21"/>
      <w:szCs w:val="21"/>
    </w:rPr>
  </w:style>
  <w:style w:type="paragraph" w:customStyle="1" w:styleId="13">
    <w:name w:val="列出段落1"/>
    <w:basedOn w:val="1"/>
    <w:unhideWhenUsed/>
    <w:qFormat/>
    <w:uiPriority w:val="99"/>
    <w:pPr>
      <w:ind w:firstLine="420" w:firstLineChars="200"/>
    </w:pPr>
  </w:style>
  <w:style w:type="character" w:customStyle="1" w:styleId="14">
    <w:name w:val="页眉 Char"/>
    <w:basedOn w:val="10"/>
    <w:link w:val="7"/>
    <w:qFormat/>
    <w:uiPriority w:val="0"/>
    <w:rPr>
      <w:rFonts w:asciiTheme="minorHAnsi" w:hAnsiTheme="minorHAnsi" w:eastAsiaTheme="minorEastAsia" w:cstheme="minorBidi"/>
      <w:kern w:val="2"/>
      <w:sz w:val="18"/>
      <w:szCs w:val="18"/>
    </w:rPr>
  </w:style>
  <w:style w:type="character" w:customStyle="1" w:styleId="15">
    <w:name w:val="批注框文本 Char"/>
    <w:basedOn w:val="10"/>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区委办公室</Company>
  <Pages>5</Pages>
  <Words>2333</Words>
  <Characters>2425</Characters>
  <Lines>5</Lines>
  <Paragraphs>6</Paragraphs>
  <TotalTime>265</TotalTime>
  <ScaleCrop>false</ScaleCrop>
  <LinksUpToDate>false</LinksUpToDate>
  <CharactersWithSpaces>2615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2023-01-06T05:30:00Z</dcterms:created>
  <dc:creator>MRX</dc:creator>
  <cp:lastModifiedBy>slw</cp:lastModifiedBy>
  <dcterms:modified xsi:type="dcterms:W3CDTF">2023-01-10T09:43:13Z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3E6B29C143A74ED89306403289D87EEA</vt:lpwstr>
  </property>
</Properties>
</file>