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right="0"/>
        <w:jc w:val="left"/>
        <w:textAlignment w:val="baseline"/>
        <w:rPr>
          <w:rFonts w:hint="eastAsia" w:ascii="长城小标宋体" w:eastAsia="长城小标宋体" w:hAnsiTheme="minorHAnsi" w:cstheme="minorBidi"/>
          <w:kern w:val="2"/>
          <w:sz w:val="36"/>
          <w:szCs w:val="36"/>
          <w:lang w:val="en-US" w:eastAsia="zh-CN" w:bidi="ar-SA"/>
        </w:rPr>
      </w:pPr>
      <w:r>
        <w:rPr>
          <w:rFonts w:hint="eastAsia" w:ascii="长城小标宋体" w:eastAsia="长城小标宋体" w:hAnsiTheme="minorHAnsi" w:cstheme="minorBidi"/>
          <w:kern w:val="2"/>
          <w:sz w:val="36"/>
          <w:szCs w:val="36"/>
          <w:lang w:val="en-US" w:eastAsia="zh-CN" w:bidi="ar-SA"/>
        </w:rPr>
        <w:t>门头沟区直达资金2024年一季度执行情况工作进展</w:t>
      </w:r>
    </w:p>
    <w:p>
      <w:pPr>
        <w:overflowPunct w:val="0"/>
        <w:spacing w:line="500" w:lineRule="exact"/>
        <w:ind w:firstLine="560" w:firstLineChars="200"/>
        <w:rPr>
          <w:rFonts w:hint="eastAsia" w:ascii="仿宋_GB2312" w:eastAsia="仿宋_GB2312"/>
          <w:sz w:val="28"/>
          <w:szCs w:val="28"/>
        </w:rPr>
      </w:pPr>
    </w:p>
    <w:p>
      <w:pPr>
        <w:overflowPunct w:val="0"/>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2024年一季度，我区中央直达资金规模6837.11万元，已分配下达5337.11万元，分配下达率78.1%；累计支出2707.48万元，支出率39.6%，具体支出结构及主要成效如下：</w:t>
      </w:r>
    </w:p>
    <w:p>
      <w:pPr>
        <w:overflowPunct w:val="0"/>
        <w:spacing w:line="500" w:lineRule="exact"/>
        <w:ind w:firstLine="560" w:firstLineChars="200"/>
        <w:rPr>
          <w:rFonts w:hint="eastAsia" w:ascii="仿宋_GB2312" w:eastAsia="仿宋_GB2312"/>
          <w:sz w:val="28"/>
          <w:szCs w:val="28"/>
        </w:rPr>
      </w:pPr>
      <w:r>
        <w:rPr>
          <w:rFonts w:hint="default" w:ascii="仿宋_GB2312" w:eastAsia="仿宋_GB2312"/>
          <w:sz w:val="28"/>
          <w:szCs w:val="28"/>
        </w:rPr>
        <w:t>1.就业补助资金：</w:t>
      </w:r>
      <w:bookmarkStart w:id="0" w:name="_GoBack"/>
      <w:bookmarkEnd w:id="0"/>
      <w:r>
        <w:rPr>
          <w:rFonts w:hint="default" w:ascii="仿宋_GB2312" w:eastAsia="仿宋_GB2312"/>
          <w:sz w:val="28"/>
          <w:szCs w:val="28"/>
        </w:rPr>
        <w:t>支出909.42万元，支出进度83.1%；保障下沉镇街的劳动保障协管员、村级动物防疫员、治安巡防员等纳入镇街统一管理的公益性就业组织协管员正常开展工作。</w:t>
      </w:r>
    </w:p>
    <w:p>
      <w:pPr>
        <w:overflowPunct w:val="0"/>
        <w:spacing w:line="500" w:lineRule="exact"/>
        <w:ind w:firstLine="560" w:firstLineChars="200"/>
        <w:rPr>
          <w:rFonts w:hint="eastAsia" w:ascii="仿宋_GB2312" w:eastAsia="仿宋_GB2312"/>
          <w:sz w:val="28"/>
          <w:szCs w:val="28"/>
        </w:rPr>
      </w:pPr>
      <w:r>
        <w:rPr>
          <w:rFonts w:hint="default" w:ascii="仿宋_GB2312" w:eastAsia="仿宋_GB2312"/>
          <w:sz w:val="28"/>
          <w:szCs w:val="28"/>
        </w:rPr>
        <w:t>2.优抚对象补助经费：支出369.9万元，支出进度51%；发放优抚对象定期抚恤金和补助金，减轻重点优抚对象生活压力；慰问全区重点优抚对象（烈士子女、伤残军人、农籍老兵等），体现党和政府对保家卫国功臣的关爱。</w:t>
      </w:r>
    </w:p>
    <w:p>
      <w:pPr>
        <w:overflowPunct w:val="0"/>
        <w:spacing w:line="500" w:lineRule="exact"/>
        <w:ind w:firstLine="560" w:firstLineChars="200"/>
        <w:rPr>
          <w:rFonts w:hint="eastAsia" w:ascii="仿宋_GB2312" w:eastAsia="仿宋_GB2312"/>
          <w:sz w:val="28"/>
          <w:szCs w:val="28"/>
        </w:rPr>
      </w:pPr>
      <w:r>
        <w:rPr>
          <w:rFonts w:hint="default" w:ascii="仿宋_GB2312" w:eastAsia="仿宋_GB2312"/>
          <w:sz w:val="28"/>
          <w:szCs w:val="28"/>
        </w:rPr>
        <w:t>3.优抚对象医疗保障经费：支出10.65万元，支出进度56.4%；用于减轻优抚对象医疗负担。</w:t>
      </w:r>
    </w:p>
    <w:p>
      <w:pPr>
        <w:overflowPunct w:val="0"/>
        <w:spacing w:line="500" w:lineRule="exact"/>
        <w:ind w:firstLine="560" w:firstLineChars="200"/>
        <w:rPr>
          <w:rFonts w:hint="eastAsia" w:ascii="仿宋_GB2312" w:eastAsia="仿宋_GB2312"/>
          <w:sz w:val="28"/>
          <w:szCs w:val="28"/>
        </w:rPr>
      </w:pPr>
      <w:r>
        <w:rPr>
          <w:rFonts w:hint="default" w:ascii="仿宋_GB2312" w:eastAsia="仿宋_GB2312"/>
          <w:sz w:val="28"/>
          <w:szCs w:val="28"/>
        </w:rPr>
        <w:t>4.残疾人事业发展补助经费：支出30万元，支出进度61%；一是为残疾人机动轮椅车提供燃油补贴，减轻残疾困难群体经济负担。二是落实残疾人康复政策，提高残疾人康复水平，为残疾人康复提供必要的场地器械康复指导等服务。</w:t>
      </w:r>
    </w:p>
    <w:p>
      <w:pPr>
        <w:overflowPunct w:val="0"/>
        <w:spacing w:line="500" w:lineRule="exact"/>
        <w:ind w:firstLine="560" w:firstLineChars="200"/>
        <w:rPr>
          <w:rFonts w:hint="eastAsia" w:ascii="仿宋_GB2312" w:eastAsia="仿宋_GB2312"/>
          <w:sz w:val="28"/>
          <w:szCs w:val="28"/>
        </w:rPr>
      </w:pPr>
      <w:r>
        <w:rPr>
          <w:rFonts w:hint="default" w:ascii="仿宋_GB2312" w:eastAsia="仿宋_GB2312"/>
          <w:sz w:val="28"/>
          <w:szCs w:val="28"/>
        </w:rPr>
        <w:t>5.城乡义务教育补助经费：支出678.56万元，支出进度35.9%；一是落实资助政策，为家庭经济困难的中小学生发放生活补助，使家庭经济困难学生安心完成学业，实现教育公平；二是保障学校正常运转、完成教育教学活动和其他日常工作任务等方面的支出，支持学校改善办学条件，提高办学质量，促进教育优质均衡发展。</w:t>
      </w:r>
    </w:p>
    <w:p>
      <w:pPr>
        <w:overflowPunct w:val="0"/>
        <w:spacing w:line="500" w:lineRule="exact"/>
        <w:ind w:firstLine="560" w:firstLineChars="200"/>
        <w:rPr>
          <w:rFonts w:hint="eastAsia" w:ascii="仿宋_GB2312" w:eastAsia="仿宋_GB2312"/>
          <w:sz w:val="28"/>
          <w:szCs w:val="28"/>
        </w:rPr>
      </w:pPr>
      <w:r>
        <w:rPr>
          <w:rFonts w:hint="default" w:ascii="仿宋_GB2312" w:eastAsia="仿宋_GB2312"/>
          <w:sz w:val="28"/>
          <w:szCs w:val="28"/>
        </w:rPr>
        <w:t>6.学生资助补助经费：支出7万元，支出进度100%；积极落实资助政策及教育保障机制，为家庭经济困难高中生发放国家助学金，保障家庭经济困难学生顺利完成学业。</w:t>
      </w:r>
    </w:p>
    <w:p>
      <w:pPr>
        <w:overflowPunct w:val="0"/>
        <w:spacing w:line="500" w:lineRule="exact"/>
        <w:ind w:firstLine="560" w:firstLineChars="200"/>
        <w:rPr>
          <w:rFonts w:hint="eastAsia" w:ascii="仿宋_GB2312" w:eastAsia="仿宋_GB2312"/>
          <w:sz w:val="28"/>
          <w:szCs w:val="28"/>
        </w:rPr>
      </w:pPr>
      <w:r>
        <w:rPr>
          <w:rFonts w:hint="default" w:ascii="仿宋_GB2312" w:eastAsia="仿宋_GB2312"/>
          <w:sz w:val="28"/>
          <w:szCs w:val="28"/>
        </w:rPr>
        <w:t>7.困难群众救助补助经费：支出487.15万元，支出进度95.6%；扎牢社会救助红线底线、提升社会保障水平，减轻困难群众生活压力，提高老百姓的幸福感、获得感。</w:t>
      </w:r>
    </w:p>
    <w:p>
      <w:pPr>
        <w:overflowPunct w:val="0"/>
        <w:spacing w:line="500" w:lineRule="exact"/>
        <w:ind w:firstLine="560" w:firstLineChars="200"/>
        <w:rPr>
          <w:rFonts w:hint="eastAsia" w:ascii="仿宋_GB2312" w:eastAsia="仿宋_GB2312"/>
          <w:sz w:val="28"/>
          <w:szCs w:val="28"/>
        </w:rPr>
      </w:pPr>
      <w:r>
        <w:rPr>
          <w:rFonts w:hint="default" w:ascii="仿宋_GB2312" w:eastAsia="仿宋_GB2312"/>
          <w:sz w:val="28"/>
          <w:szCs w:val="28"/>
        </w:rPr>
        <w:t>8.基本公共卫生服务补助资金：支出188.63万元，支出进度49.4%；免费向城乡居民提供基本公共卫生服务。开展对重点疾病及危害因素监测，有效控制疾病流行，保持重点地方病防治措施全面落实，开展职业病监测，同时推进妇幼卫生、健康素养促进、医养结合和老年健康服务、卫生应急、计划生育等方面工作。</w:t>
      </w:r>
    </w:p>
    <w:p>
      <w:pPr>
        <w:overflowPunct w:val="0"/>
        <w:spacing w:line="500" w:lineRule="exact"/>
        <w:ind w:firstLine="560" w:firstLineChars="200"/>
        <w:rPr>
          <w:rFonts w:hint="eastAsia" w:ascii="仿宋_GB2312" w:eastAsia="仿宋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字体">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长城小标宋体">
    <w:panose1 w:val="02010609010101010101"/>
    <w:charset w:val="86"/>
    <w:family w:val="modern"/>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3OGE2ZTI2OThjZGUxNzlmNGUxOTg5YTlhYTM3ZjIifQ=="/>
  </w:docVars>
  <w:rsids>
    <w:rsidRoot w:val="00000000"/>
    <w:rsid w:val="188D10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2024-07-02T01:45:07Z</dcterms:created>
  <dc:creator>czj</dc:creator>
  <cp:lastModifiedBy>czj</cp:lastModifiedBy>
  <dcterms:modified xsi:type="dcterms:W3CDTF">2024-07-02T01:45:57Z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FD6DB355460C4D709DCD6113ADD8D81F_12</vt:lpwstr>
  </property>
</Properties>
</file>