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lang w:eastAsia="zh-CN"/>
        </w:rPr>
      </w:pPr>
      <w:bookmarkStart w:id="1" w:name="_GoBack"/>
      <w:r>
        <w:rPr>
          <w:rFonts w:hint="eastAsia" w:ascii="方正小标宋简体" w:hAnsi="方正小标宋简体" w:eastAsia="方正小标宋简体" w:cs="方正小标宋简体"/>
          <w:b/>
          <w:bCs/>
          <w:sz w:val="44"/>
          <w:szCs w:val="44"/>
          <w:lang w:eastAsia="zh-CN"/>
        </w:rPr>
        <w:t>北京市门头沟区信访办公室</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w:t>
      </w:r>
      <w:r>
        <w:rPr>
          <w:rFonts w:hint="eastAsia" w:ascii="方正小标宋简体" w:hAnsi="方正小标宋简体" w:eastAsia="方正小标宋简体" w:cs="方正小标宋简体"/>
          <w:b/>
          <w:bCs/>
          <w:sz w:val="44"/>
          <w:szCs w:val="44"/>
          <w:lang w:val="en-US" w:eastAsia="zh-CN"/>
        </w:rPr>
        <w:t>20</w:t>
      </w:r>
      <w:r>
        <w:rPr>
          <w:rFonts w:hint="eastAsia" w:ascii="方正小标宋简体" w:hAnsi="方正小标宋简体" w:eastAsia="方正小标宋简体" w:cs="方正小标宋简体"/>
          <w:b/>
          <w:bCs/>
          <w:sz w:val="44"/>
          <w:szCs w:val="44"/>
        </w:rPr>
        <w:t>年政府信息公开工作年度报告</w:t>
      </w:r>
    </w:p>
    <w:bookmarkEnd w:id="1"/>
    <w:p>
      <w:pPr>
        <w:keepNext w:val="0"/>
        <w:keepLines w:val="0"/>
        <w:pageBreakBefore w:val="0"/>
        <w:kinsoku/>
        <w:wordWrap/>
        <w:overflowPunct/>
        <w:topLinePunct w:val="0"/>
        <w:autoSpaceDE/>
        <w:autoSpaceDN/>
        <w:bidi w:val="0"/>
        <w:adjustRightInd/>
        <w:snapToGrid/>
        <w:spacing w:line="620" w:lineRule="exact"/>
        <w:ind w:right="0" w:rightChars="0"/>
        <w:rPr>
          <w:rFonts w:hint="eastAsia"/>
          <w:sz w:val="24"/>
          <w:szCs w:val="24"/>
          <w:lang w:val="en-US" w:eastAsia="zh-CN"/>
        </w:rPr>
      </w:pPr>
      <w:r>
        <w:rPr>
          <w:rFonts w:hint="eastAsia"/>
          <w:lang w:val="en-US" w:eastAsia="zh-CN"/>
        </w:rPr>
        <w:t xml:space="preserve">  </w:t>
      </w:r>
      <w:r>
        <w:rPr>
          <w:rFonts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right="0" w:right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依</w:t>
      </w:r>
      <w:r>
        <w:rPr>
          <w:rFonts w:hint="eastAsia" w:asciiTheme="minorEastAsia" w:hAnsiTheme="minorEastAsia" w:eastAsiaTheme="minorEastAsia" w:cstheme="minorEastAsia"/>
          <w:sz w:val="24"/>
          <w:szCs w:val="24"/>
        </w:rPr>
        <w:t>据《中华人民共和国政府信息公开条例》</w:t>
      </w:r>
      <w:r>
        <w:rPr>
          <w:rFonts w:hint="eastAsia" w:asciiTheme="minorEastAsia" w:hAnsiTheme="minorEastAsia" w:cstheme="minorEastAsia"/>
          <w:sz w:val="24"/>
          <w:szCs w:val="24"/>
          <w:lang w:eastAsia="zh-CN"/>
        </w:rPr>
        <w:t>（以下简称《条例》）</w:t>
      </w:r>
      <w:r>
        <w:rPr>
          <w:rFonts w:hint="eastAsia" w:asciiTheme="minorEastAsia" w:hAnsiTheme="minorEastAsia" w:eastAsiaTheme="minorEastAsia" w:cstheme="minorEastAsia"/>
          <w:sz w:val="24"/>
          <w:szCs w:val="24"/>
        </w:rPr>
        <w:t>第</w:t>
      </w:r>
      <w:r>
        <w:rPr>
          <w:rFonts w:hint="eastAsia" w:asciiTheme="minorEastAsia" w:hAnsiTheme="minorEastAsia" w:eastAsiaTheme="minorEastAsia" w:cstheme="minorEastAsia"/>
          <w:sz w:val="24"/>
          <w:szCs w:val="24"/>
          <w:lang w:eastAsia="zh-CN"/>
        </w:rPr>
        <w:t>五十</w:t>
      </w:r>
      <w:r>
        <w:rPr>
          <w:rFonts w:hint="eastAsia" w:asciiTheme="minorEastAsia" w:hAnsiTheme="minorEastAsia" w:eastAsiaTheme="minorEastAsia" w:cstheme="minorEastAsia"/>
          <w:sz w:val="24"/>
          <w:szCs w:val="24"/>
        </w:rPr>
        <w:t>条之规定，制作本报告。</w:t>
      </w:r>
    </w:p>
    <w:p>
      <w:pPr>
        <w:keepNext w:val="0"/>
        <w:keepLines w:val="0"/>
        <w:pageBreakBefore w:val="0"/>
        <w:widowControl w:val="0"/>
        <w:kinsoku/>
        <w:wordWrap/>
        <w:overflowPunct/>
        <w:topLinePunct w:val="0"/>
        <w:autoSpaceDE/>
        <w:autoSpaceDN/>
        <w:bidi w:val="0"/>
        <w:adjustRightInd/>
        <w:snapToGrid/>
        <w:spacing w:line="620" w:lineRule="exact"/>
        <w:ind w:right="0" w:rightChars="0" w:firstLine="481"/>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一、总体情况</w:t>
      </w:r>
    </w:p>
    <w:p>
      <w:pPr>
        <w:keepNext w:val="0"/>
        <w:keepLines w:val="0"/>
        <w:pageBreakBefore w:val="0"/>
        <w:widowControl w:val="0"/>
        <w:kinsoku/>
        <w:wordWrap/>
        <w:overflowPunct/>
        <w:topLinePunct w:val="0"/>
        <w:autoSpaceDE/>
        <w:autoSpaceDN/>
        <w:bidi w:val="0"/>
        <w:adjustRightInd/>
        <w:snapToGrid/>
        <w:spacing w:line="620" w:lineRule="exact"/>
        <w:ind w:right="0" w:rightChars="0" w:firstLine="481"/>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lang w:val="en-US" w:eastAsia="zh-CN"/>
        </w:rPr>
        <w:t>2020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eastAsia="zh-CN"/>
        </w:rPr>
        <w:t>区信访办</w:t>
      </w:r>
      <w:r>
        <w:rPr>
          <w:rFonts w:hint="eastAsia" w:asciiTheme="minorEastAsia" w:hAnsiTheme="minorEastAsia" w:eastAsiaTheme="minorEastAsia" w:cstheme="minorEastAsia"/>
          <w:sz w:val="24"/>
          <w:szCs w:val="24"/>
        </w:rPr>
        <w:t>认真学习贯彻习近平总书记关于加强和改进人民信访工作一系列重要思想，认真执行《条例》和省市关于政务公开的有关工作要求，深入推进网上信访模式，强化政策解读积极回应社会关切，有效提升了政府信息和政务公开质量和时效。</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cstheme="minorEastAsia"/>
          <w:b w:val="0"/>
          <w:bCs w:val="0"/>
          <w:sz w:val="24"/>
          <w:szCs w:val="24"/>
          <w:lang w:eastAsia="zh-CN"/>
        </w:rPr>
        <w:t>（一）</w:t>
      </w:r>
      <w:r>
        <w:rPr>
          <w:rFonts w:hint="eastAsia" w:asciiTheme="minorEastAsia" w:hAnsiTheme="minorEastAsia" w:eastAsiaTheme="minorEastAsia" w:cstheme="minorEastAsia"/>
          <w:b w:val="0"/>
          <w:bCs w:val="0"/>
          <w:sz w:val="24"/>
          <w:szCs w:val="24"/>
          <w:lang w:eastAsia="zh-CN"/>
        </w:rPr>
        <w:t>主动公开情况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17" w:leftChars="8" w:right="0" w:rightChars="0" w:firstLine="199" w:firstLineChars="83"/>
        <w:jc w:val="left"/>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 xml:space="preserve"> </w:t>
      </w: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根据《条例》规定，凡涉及公民、法人或者其他组织切身利益的，需要社会公众广泛知晓或者参与的重要信息，均按照要求主动公开。</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0" w:firstLineChars="0"/>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val="en-US" w:eastAsia="zh-CN"/>
        </w:rPr>
        <w:t xml:space="preserve">    </w:t>
      </w:r>
      <w:r>
        <w:rPr>
          <w:rFonts w:hint="eastAsia" w:asciiTheme="minorEastAsia" w:hAnsiTheme="minorEastAsia" w:eastAsiaTheme="minorEastAsia" w:cstheme="minorEastAsia"/>
          <w:b w:val="0"/>
          <w:bCs w:val="0"/>
          <w:sz w:val="24"/>
          <w:szCs w:val="24"/>
          <w:lang w:eastAsia="zh-CN"/>
        </w:rPr>
        <w:t>20</w:t>
      </w:r>
      <w:r>
        <w:rPr>
          <w:rFonts w:hint="eastAsia" w:asciiTheme="minorEastAsia" w:hAnsiTheme="minorEastAsia" w:cstheme="minorEastAsia"/>
          <w:b w:val="0"/>
          <w:bCs w:val="0"/>
          <w:sz w:val="24"/>
          <w:szCs w:val="24"/>
          <w:lang w:val="en-US" w:eastAsia="zh-CN"/>
        </w:rPr>
        <w:t>20</w:t>
      </w:r>
      <w:r>
        <w:rPr>
          <w:rFonts w:hint="eastAsia" w:asciiTheme="minorEastAsia" w:hAnsiTheme="minorEastAsia" w:eastAsiaTheme="minorEastAsia" w:cstheme="minorEastAsia"/>
          <w:b w:val="0"/>
          <w:bCs w:val="0"/>
          <w:sz w:val="24"/>
          <w:szCs w:val="24"/>
          <w:lang w:eastAsia="zh-CN"/>
        </w:rPr>
        <w:t>年</w:t>
      </w:r>
      <w:r>
        <w:rPr>
          <w:rFonts w:hint="eastAsia" w:asciiTheme="minorEastAsia" w:hAnsiTheme="minorEastAsia" w:eastAsiaTheme="minorEastAsia" w:cstheme="minorEastAsia"/>
          <w:b w:val="0"/>
          <w:bCs w:val="0"/>
          <w:sz w:val="24"/>
          <w:szCs w:val="24"/>
          <w:lang w:val="en-US" w:eastAsia="zh-CN"/>
        </w:rPr>
        <w:t>通过</w:t>
      </w:r>
      <w:r>
        <w:rPr>
          <w:rFonts w:hint="eastAsia" w:asciiTheme="minorEastAsia" w:hAnsiTheme="minorEastAsia" w:eastAsiaTheme="minorEastAsia" w:cstheme="minorEastAsia"/>
          <w:b w:val="0"/>
          <w:bCs w:val="0"/>
          <w:sz w:val="24"/>
          <w:szCs w:val="24"/>
          <w:lang w:eastAsia="zh-CN"/>
        </w:rPr>
        <w:t>政府网站主动公开政府信息数</w:t>
      </w:r>
      <w:r>
        <w:rPr>
          <w:rFonts w:hint="eastAsia" w:asciiTheme="minorEastAsia" w:hAnsiTheme="minorEastAsia" w:cstheme="minorEastAsia"/>
          <w:b w:val="0"/>
          <w:bCs w:val="0"/>
          <w:sz w:val="24"/>
          <w:szCs w:val="24"/>
          <w:lang w:val="en-US" w:eastAsia="zh-CN"/>
        </w:rPr>
        <w:t>24</w:t>
      </w:r>
      <w:r>
        <w:rPr>
          <w:rFonts w:hint="eastAsia" w:asciiTheme="minorEastAsia" w:hAnsiTheme="minorEastAsia" w:eastAsiaTheme="minorEastAsia" w:cstheme="minorEastAsia"/>
          <w:b w:val="0"/>
          <w:bCs w:val="0"/>
          <w:sz w:val="24"/>
          <w:szCs w:val="24"/>
          <w:lang w:eastAsia="zh-CN"/>
        </w:rPr>
        <w:t>件。</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cstheme="minorEastAsia"/>
          <w:b w:val="0"/>
          <w:bCs w:val="0"/>
          <w:sz w:val="24"/>
          <w:szCs w:val="24"/>
          <w:lang w:eastAsia="zh-CN"/>
        </w:rPr>
        <w:t>（二）</w:t>
      </w:r>
      <w:r>
        <w:rPr>
          <w:rFonts w:hint="eastAsia" w:asciiTheme="minorEastAsia" w:hAnsiTheme="minorEastAsia" w:eastAsiaTheme="minorEastAsia" w:cstheme="minorEastAsia"/>
          <w:b w:val="0"/>
          <w:bCs w:val="0"/>
          <w:sz w:val="24"/>
          <w:szCs w:val="24"/>
          <w:lang w:eastAsia="zh-CN"/>
        </w:rPr>
        <w:t>依申请公开办理情况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本单位申请总数为0件。</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cstheme="minorEastAsia"/>
          <w:b w:val="0"/>
          <w:bCs w:val="0"/>
          <w:sz w:val="24"/>
          <w:szCs w:val="24"/>
          <w:lang w:eastAsia="zh-CN"/>
        </w:rPr>
        <w:t>（三）</w:t>
      </w:r>
      <w:r>
        <w:rPr>
          <w:rFonts w:hint="eastAsia" w:asciiTheme="minorEastAsia" w:hAnsiTheme="minorEastAsia" w:eastAsiaTheme="minorEastAsia" w:cstheme="minorEastAsia"/>
          <w:b w:val="0"/>
          <w:bCs w:val="0"/>
          <w:sz w:val="24"/>
          <w:szCs w:val="24"/>
          <w:lang w:eastAsia="zh-CN"/>
        </w:rPr>
        <w:t>政府信息公开监督保障及教育培训情况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420" w:firstLineChars="175"/>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重视业务培训，积极参加市、区等上级部门举办的专题培训，充分利用学习日、科务会等方式，对信息公开专、兼职人员进行经常性培训，认真学习《条例》，提高对政府信息公开重要性的认识，熟练掌握政府信息公开各项规范及要求，进一步提高执行新《条例》和政府信息公开的能力和水平。</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420" w:firstLineChars="175"/>
        <w:textAlignment w:val="auto"/>
        <w:outlineLvl w:val="9"/>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cstheme="minorEastAsia"/>
          <w:b w:val="0"/>
          <w:bCs w:val="0"/>
          <w:sz w:val="24"/>
          <w:szCs w:val="24"/>
          <w:lang w:eastAsia="zh-CN"/>
        </w:rPr>
        <w:t>（四）</w:t>
      </w:r>
      <w:r>
        <w:rPr>
          <w:rFonts w:hint="eastAsia" w:asciiTheme="minorEastAsia" w:hAnsiTheme="minorEastAsia" w:eastAsiaTheme="minorEastAsia" w:cstheme="minorEastAsia"/>
          <w:b w:val="0"/>
          <w:bCs w:val="0"/>
          <w:sz w:val="24"/>
          <w:szCs w:val="24"/>
          <w:lang w:eastAsia="zh-CN"/>
        </w:rPr>
        <w:t>严格履行政府信息公开审查机制</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480" w:firstLineChars="200"/>
        <w:textAlignment w:val="auto"/>
        <w:outlineLvl w:val="9"/>
        <w:rPr>
          <w:rStyle w:val="4"/>
          <w:rFonts w:hint="eastAsia" w:ascii="宋体" w:hAnsi="宋体" w:eastAsia="宋体" w:cs="宋体"/>
          <w:b/>
          <w:i w:val="0"/>
          <w:caps w:val="0"/>
          <w:color w:val="333333"/>
          <w:spacing w:val="0"/>
          <w:sz w:val="24"/>
          <w:szCs w:val="24"/>
          <w:shd w:val="clear" w:fill="FFFFFF"/>
          <w:lang w:eastAsia="zh-CN"/>
        </w:rPr>
      </w:pPr>
      <w:r>
        <w:rPr>
          <w:rStyle w:val="4"/>
          <w:rFonts w:hint="eastAsia" w:ascii="宋体" w:hAnsi="宋体" w:eastAsia="宋体" w:cs="宋体"/>
          <w:i w:val="0"/>
          <w:caps w:val="0"/>
          <w:color w:val="333333"/>
          <w:spacing w:val="0"/>
          <w:sz w:val="24"/>
          <w:szCs w:val="24"/>
          <w:shd w:val="clear" w:fill="FFFFFF"/>
        </w:rPr>
        <w:t>坚持“公开是常态、不公开是例外”的原则，政府信息公开前认真履行审批程序，由承办科室审核，分管领导</w:t>
      </w:r>
      <w:r>
        <w:rPr>
          <w:rStyle w:val="4"/>
          <w:rFonts w:hint="eastAsia" w:ascii="宋体" w:hAnsi="宋体" w:eastAsia="宋体" w:cs="宋体"/>
          <w:i w:val="0"/>
          <w:caps w:val="0"/>
          <w:color w:val="333333"/>
          <w:spacing w:val="0"/>
          <w:sz w:val="24"/>
          <w:szCs w:val="24"/>
          <w:shd w:val="clear" w:fill="FFFFFF"/>
          <w:lang w:eastAsia="zh-CN"/>
        </w:rPr>
        <w:t>和主要领导</w:t>
      </w:r>
      <w:r>
        <w:rPr>
          <w:rStyle w:val="4"/>
          <w:rFonts w:hint="eastAsia" w:ascii="宋体" w:hAnsi="宋体" w:eastAsia="宋体" w:cs="宋体"/>
          <w:i w:val="0"/>
          <w:caps w:val="0"/>
          <w:color w:val="333333"/>
          <w:spacing w:val="0"/>
          <w:sz w:val="24"/>
          <w:szCs w:val="24"/>
          <w:shd w:val="clear" w:fill="FFFFFF"/>
        </w:rPr>
        <w:t>审批后再行公开，重点在内容表述、公开时机、公开方式上严格把关，避免发生信息发布失实、影响社会稳定等问题，并依法保护个人隐私信息，依法保障公众知情权。</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jc w:val="both"/>
        <w:textAlignment w:val="auto"/>
        <w:outlineLvl w:val="9"/>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二、主动公开政府信息情况</w:t>
      </w:r>
    </w:p>
    <w:tbl>
      <w:tblPr>
        <w:tblStyle w:val="6"/>
        <w:tblpPr w:leftFromText="180" w:rightFromText="180" w:vertAnchor="text" w:horzAnchor="page" w:tblpX="1827" w:tblpY="285"/>
        <w:tblOverlap w:val="never"/>
        <w:tblW w:w="87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00"/>
        <w:gridCol w:w="1016"/>
        <w:gridCol w:w="2160"/>
        <w:gridCol w:w="2670"/>
        <w:gridCol w:w="60"/>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本年新制作数量</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本年新公开数量</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规章</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规范性文件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行政许可</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trPr>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其他对外管理服务事项</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行政检查</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4" w:hRule="atLeast"/>
        </w:trPr>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行政确认</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行政处罚</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行政强制</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上一年项目数量</w:t>
            </w:r>
          </w:p>
        </w:tc>
        <w:tc>
          <w:tcPr>
            <w:tcW w:w="44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行政事业性收费</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4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C6D9F1"/>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信息内容</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采购项目数量</w:t>
            </w:r>
          </w:p>
        </w:tc>
        <w:tc>
          <w:tcPr>
            <w:tcW w:w="44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采购总金额（万元，保留四位小数）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2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20" w:lineRule="exact"/>
              <w:ind w:right="0" w:rightChars="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政府集中采购</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4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87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20" w:lineRule="exact"/>
              <w:ind w:right="0" w:rightChars="0"/>
              <w:jc w:val="both"/>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备注：协同门头沟区人民政府办公室一起报送。</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620" w:lineRule="exact"/>
        <w:ind w:left="0" w:leftChars="0" w:right="0" w:rightChars="0" w:firstLine="0" w:firstLineChars="0"/>
        <w:jc w:val="both"/>
        <w:textAlignment w:val="auto"/>
        <w:outlineLvl w:val="9"/>
        <w:rPr>
          <w:rFonts w:hint="eastAsia"/>
          <w:b/>
          <w:bCs/>
          <w:sz w:val="24"/>
          <w:szCs w:val="28"/>
        </w:rPr>
      </w:pPr>
      <w:r>
        <w:rPr>
          <w:rFonts w:hint="eastAsia"/>
          <w:b/>
          <w:bCs/>
          <w:lang w:val="en-US" w:eastAsia="zh-CN"/>
        </w:rPr>
        <w:t xml:space="preserve">    </w:t>
      </w:r>
      <w:r>
        <w:rPr>
          <w:rFonts w:hint="eastAsia"/>
          <w:b/>
          <w:bCs/>
          <w:sz w:val="24"/>
          <w:szCs w:val="28"/>
        </w:rPr>
        <w:t>三、收到和处理政府信息公开申请情况</w:t>
      </w:r>
    </w:p>
    <w:tbl>
      <w:tblPr>
        <w:tblStyle w:val="6"/>
        <w:tblW w:w="9071" w:type="dxa"/>
        <w:tblInd w:w="0" w:type="dxa"/>
        <w:tblLayout w:type="fixed"/>
        <w:tblCellMar>
          <w:top w:w="0" w:type="dxa"/>
          <w:left w:w="0" w:type="dxa"/>
          <w:bottom w:w="0" w:type="dxa"/>
          <w:right w:w="0" w:type="dxa"/>
        </w:tblCellMar>
      </w:tblPr>
      <w:tblGrid>
        <w:gridCol w:w="539"/>
        <w:gridCol w:w="675"/>
        <w:gridCol w:w="2925"/>
        <w:gridCol w:w="510"/>
        <w:gridCol w:w="660"/>
        <w:gridCol w:w="780"/>
        <w:gridCol w:w="885"/>
        <w:gridCol w:w="870"/>
        <w:gridCol w:w="533"/>
        <w:gridCol w:w="694"/>
      </w:tblGrid>
      <w:tr>
        <w:tblPrEx>
          <w:tblLayout w:type="fixed"/>
          <w:tblCellMar>
            <w:top w:w="0" w:type="dxa"/>
            <w:left w:w="0" w:type="dxa"/>
            <w:bottom w:w="0" w:type="dxa"/>
            <w:right w:w="0" w:type="dxa"/>
          </w:tblCellMar>
        </w:tblPrEx>
        <w:tc>
          <w:tcPr>
            <w:tcW w:w="413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hint="eastAsia"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493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Layout w:type="fixed"/>
          <w:tblCellMar>
            <w:top w:w="0" w:type="dxa"/>
            <w:left w:w="0" w:type="dxa"/>
            <w:bottom w:w="0" w:type="dxa"/>
            <w:right w:w="0" w:type="dxa"/>
          </w:tblCellMar>
        </w:tblPrEx>
        <w:tc>
          <w:tcPr>
            <w:tcW w:w="4139"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51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3728"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Layout w:type="fixed"/>
          <w:tblCellMar>
            <w:top w:w="0" w:type="dxa"/>
            <w:left w:w="0" w:type="dxa"/>
            <w:bottom w:w="0" w:type="dxa"/>
            <w:right w:w="0" w:type="dxa"/>
          </w:tblCellMar>
        </w:tblPrEx>
        <w:trPr>
          <w:trHeight w:val="564" w:hRule="atLeast"/>
        </w:trPr>
        <w:tc>
          <w:tcPr>
            <w:tcW w:w="4139" w:type="dxa"/>
            <w:gridSpan w:val="3"/>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510"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88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87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53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r>
      <w:tr>
        <w:tblPrEx>
          <w:tblLayout w:type="fixed"/>
          <w:tblCellMar>
            <w:top w:w="0" w:type="dxa"/>
            <w:left w:w="0" w:type="dxa"/>
            <w:bottom w:w="0" w:type="dxa"/>
            <w:right w:w="0" w:type="dxa"/>
          </w:tblCellMar>
        </w:tblPrEx>
        <w:tc>
          <w:tcPr>
            <w:tcW w:w="413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 xml:space="preserve"> 0</w:t>
            </w:r>
            <w:r>
              <w:rPr>
                <w:rFonts w:ascii="Calibri" w:hAnsi="Calibri" w:eastAsia="宋体" w:cs="宋体"/>
                <w:kern w:val="0"/>
                <w:sz w:val="20"/>
                <w:szCs w:val="20"/>
              </w:rPr>
              <w:t> </w:t>
            </w:r>
          </w:p>
        </w:tc>
      </w:tr>
      <w:tr>
        <w:tblPrEx>
          <w:tblLayout w:type="fixed"/>
          <w:tblCellMar>
            <w:top w:w="0" w:type="dxa"/>
            <w:left w:w="0" w:type="dxa"/>
            <w:bottom w:w="0" w:type="dxa"/>
            <w:right w:w="0" w:type="dxa"/>
          </w:tblCellMar>
        </w:tblPrEx>
        <w:tc>
          <w:tcPr>
            <w:tcW w:w="413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360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360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left="0" w:leftChars="0" w:right="0" w:rightChars="0" w:firstLine="0" w:firstLineChars="0"/>
              <w:jc w:val="left"/>
              <w:textAlignment w:val="auto"/>
              <w:outlineLvl w:val="9"/>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rPr>
          <w:trHeight w:val="314" w:hRule="atLeast"/>
        </w:trPr>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75"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292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360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539"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360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r>
      <w:tr>
        <w:tblPrEx>
          <w:tblLayout w:type="fixed"/>
          <w:tblCellMar>
            <w:top w:w="0" w:type="dxa"/>
            <w:left w:w="0" w:type="dxa"/>
            <w:bottom w:w="0" w:type="dxa"/>
            <w:right w:w="0" w:type="dxa"/>
          </w:tblCellMar>
        </w:tblPrEx>
        <w:tc>
          <w:tcPr>
            <w:tcW w:w="4139"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78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8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87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3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keepNext w:val="0"/>
        <w:keepLines w:val="0"/>
        <w:pageBreakBefore w:val="0"/>
        <w:kinsoku/>
        <w:wordWrap/>
        <w:overflowPunct/>
        <w:topLinePunct w:val="0"/>
        <w:autoSpaceDE/>
        <w:autoSpaceDN/>
        <w:bidi w:val="0"/>
        <w:adjustRightInd/>
        <w:snapToGrid/>
        <w:spacing w:line="620" w:lineRule="exact"/>
        <w:ind w:right="0" w:rightChars="0"/>
        <w:rPr>
          <w:rFonts w:hint="eastAsia"/>
          <w:b/>
          <w:bCs/>
          <w:sz w:val="24"/>
          <w:szCs w:val="28"/>
        </w:rPr>
      </w:pPr>
      <w:r>
        <w:rPr>
          <w:rFonts w:hint="eastAsia"/>
          <w:b/>
          <w:bCs/>
          <w:sz w:val="24"/>
          <w:szCs w:val="28"/>
          <w:lang w:val="en-US" w:eastAsia="zh-CN"/>
        </w:rPr>
        <w:t xml:space="preserve">   </w:t>
      </w:r>
      <w:r>
        <w:rPr>
          <w:rFonts w:hint="eastAsia"/>
          <w:b/>
          <w:bCs/>
          <w:sz w:val="24"/>
          <w:szCs w:val="28"/>
        </w:rPr>
        <w:t>四、政府信息公开行政复议、行政诉讼情况</w:t>
      </w:r>
    </w:p>
    <w:tbl>
      <w:tblPr>
        <w:tblStyle w:val="6"/>
        <w:tblpPr w:leftFromText="180" w:rightFromText="180" w:vertAnchor="text" w:horzAnchor="page" w:tblpX="1535" w:tblpY="120"/>
        <w:tblOverlap w:val="never"/>
        <w:tblW w:w="9071" w:type="dxa"/>
        <w:tblInd w:w="0" w:type="dxa"/>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Layout w:type="fixed"/>
          <w:tblCellMar>
            <w:top w:w="0" w:type="dxa"/>
            <w:left w:w="0" w:type="dxa"/>
            <w:bottom w:w="0" w:type="dxa"/>
            <w:right w:w="0" w:type="dxa"/>
          </w:tblCellMar>
        </w:tblPrEx>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hint="eastAsia"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Layout w:type="fixed"/>
          <w:tblCellMar>
            <w:top w:w="0" w:type="dxa"/>
            <w:left w:w="0" w:type="dxa"/>
            <w:bottom w:w="0" w:type="dxa"/>
            <w:right w:w="0" w:type="dxa"/>
          </w:tblCellMar>
        </w:tblPrEx>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Layout w:type="fixed"/>
          <w:tblCellMar>
            <w:top w:w="0" w:type="dxa"/>
            <w:left w:w="0" w:type="dxa"/>
            <w:bottom w:w="0" w:type="dxa"/>
            <w:right w:w="0" w:type="dxa"/>
          </w:tblCellMar>
        </w:tblPrEx>
        <w:tc>
          <w:tcPr>
            <w:tcW w:w="604"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04" w:type="dxa"/>
            <w:vMerge w:val="continue"/>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04"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658" w:type="dxa"/>
            <w:vMerge w:val="continue"/>
            <w:tcBorders>
              <w:top w:val="single" w:color="auto" w:sz="8" w:space="0"/>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Layout w:type="fixed"/>
          <w:tblCellMar>
            <w:top w:w="0" w:type="dxa"/>
            <w:left w:w="0" w:type="dxa"/>
            <w:bottom w:w="0" w:type="dxa"/>
            <w:right w:w="0" w:type="dxa"/>
          </w:tblCellMar>
        </w:tblPrEx>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lang w:val="en-US"/>
              </w:rPr>
            </w:pPr>
            <w:r>
              <w:rPr>
                <w:rFonts w:hint="eastAsia" w:ascii="宋体" w:hAnsi="宋体" w:eastAsia="宋体" w:cs="宋体"/>
                <w:kern w:val="0"/>
                <w:sz w:val="20"/>
                <w:szCs w:val="20"/>
                <w:lang w:val="en-US" w:eastAsia="zh-CN"/>
              </w:rPr>
              <w:t xml:space="preserve">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color w:val="000000"/>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ascii="宋体" w:hAnsi="宋体" w:eastAsia="宋体" w:cs="宋体"/>
                <w:kern w:val="0"/>
                <w:sz w:val="24"/>
                <w:szCs w:val="24"/>
              </w:rPr>
            </w:pPr>
            <w:r>
              <w:rPr>
                <w:rFonts w:hint="eastAsia" w:ascii="宋体" w:hAnsi="宋体" w:eastAsia="宋体" w:cs="宋体"/>
                <w:kern w:val="0"/>
                <w:sz w:val="20"/>
                <w:szCs w:val="20"/>
                <w:lang w:val="en-US" w:eastAsia="zh-CN"/>
              </w:rPr>
              <w:t>0</w:t>
            </w:r>
            <w:r>
              <w:rPr>
                <w:rFonts w:hint="eastAsia" w:ascii="宋体" w:hAnsi="宋体" w:eastAsia="宋体" w:cs="宋体"/>
                <w:kern w:val="0"/>
                <w:sz w:val="20"/>
                <w:szCs w:val="20"/>
              </w:rPr>
              <w:t>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620" w:lineRule="exact"/>
              <w:ind w:right="0" w:rightChars="0"/>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keepNext w:val="0"/>
        <w:keepLines w:val="0"/>
        <w:pageBreakBefore w:val="0"/>
        <w:kinsoku/>
        <w:wordWrap/>
        <w:overflowPunct/>
        <w:topLinePunct w:val="0"/>
        <w:autoSpaceDE/>
        <w:autoSpaceDN/>
        <w:bidi w:val="0"/>
        <w:adjustRightInd/>
        <w:snapToGrid/>
        <w:spacing w:line="620" w:lineRule="exact"/>
        <w:ind w:right="0" w:rightChars="0"/>
        <w:rPr>
          <w:rFonts w:hint="eastAsia"/>
        </w:rPr>
      </w:pP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jc w:val="both"/>
        <w:textAlignment w:val="auto"/>
        <w:outlineLvl w:val="9"/>
        <w:rPr>
          <w:rFonts w:hint="eastAsia" w:asciiTheme="majorEastAsia" w:hAnsiTheme="majorEastAsia" w:eastAsiaTheme="majorEastAsia" w:cstheme="majorEastAsia"/>
          <w:b/>
          <w:bCs/>
          <w:sz w:val="24"/>
          <w:szCs w:val="24"/>
        </w:rPr>
      </w:pPr>
      <w:r>
        <w:rPr>
          <w:rFonts w:hint="eastAsia"/>
          <w:b/>
          <w:bCs/>
          <w:lang w:val="en-US" w:eastAsia="zh-CN"/>
        </w:rPr>
        <w:t xml:space="preserve">    </w:t>
      </w:r>
      <w:r>
        <w:rPr>
          <w:rFonts w:hint="eastAsia" w:asciiTheme="majorEastAsia" w:hAnsiTheme="majorEastAsia" w:eastAsiaTheme="majorEastAsia" w:cstheme="majorEastAsia"/>
          <w:b/>
          <w:bCs/>
          <w:sz w:val="24"/>
          <w:szCs w:val="24"/>
        </w:rPr>
        <w:t>五、存在的主要问题及改进情况</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bookmarkStart w:id="0" w:name="#top"/>
      <w:r>
        <w:rPr>
          <w:rFonts w:hint="eastAsia" w:asciiTheme="majorEastAsia" w:hAnsiTheme="majorEastAsia" w:eastAsiaTheme="majorEastAsia" w:cstheme="majorEastAsia"/>
          <w:sz w:val="24"/>
          <w:szCs w:val="24"/>
        </w:rPr>
        <w:t>20</w:t>
      </w:r>
      <w:r>
        <w:rPr>
          <w:rFonts w:hint="eastAsia" w:asciiTheme="majorEastAsia" w:hAnsiTheme="majorEastAsia" w:eastAsiaTheme="majorEastAsia" w:cstheme="majorEastAsia"/>
          <w:sz w:val="24"/>
          <w:szCs w:val="24"/>
          <w:lang w:val="en-US" w:eastAsia="zh-CN"/>
        </w:rPr>
        <w:t>20</w:t>
      </w:r>
      <w:r>
        <w:rPr>
          <w:rFonts w:hint="eastAsia" w:asciiTheme="majorEastAsia" w:hAnsiTheme="majorEastAsia" w:eastAsiaTheme="majorEastAsia" w:cstheme="majorEastAsia"/>
          <w:sz w:val="24"/>
          <w:szCs w:val="24"/>
        </w:rPr>
        <w:t>年，我办按照《北京市20</w:t>
      </w:r>
      <w:r>
        <w:rPr>
          <w:rFonts w:hint="eastAsia" w:asciiTheme="majorEastAsia" w:hAnsiTheme="majorEastAsia" w:eastAsiaTheme="majorEastAsia" w:cstheme="majorEastAsia"/>
          <w:sz w:val="24"/>
          <w:szCs w:val="24"/>
          <w:lang w:val="en-US" w:eastAsia="zh-CN"/>
        </w:rPr>
        <w:t>20</w:t>
      </w:r>
      <w:r>
        <w:rPr>
          <w:rFonts w:hint="eastAsia" w:asciiTheme="majorEastAsia" w:hAnsiTheme="majorEastAsia" w:eastAsiaTheme="majorEastAsia" w:cstheme="majorEastAsia"/>
          <w:sz w:val="24"/>
          <w:szCs w:val="24"/>
        </w:rPr>
        <w:t>年政务公开工作要点》要求和区政务服务局工作部署顺利开展工作，</w:t>
      </w:r>
      <w:r>
        <w:rPr>
          <w:rFonts w:hint="eastAsia" w:asciiTheme="majorEastAsia" w:hAnsiTheme="majorEastAsia" w:eastAsiaTheme="majorEastAsia" w:cstheme="majorEastAsia"/>
          <w:sz w:val="24"/>
          <w:szCs w:val="24"/>
          <w:lang w:val="en-US" w:eastAsia="zh-CN"/>
        </w:rPr>
        <w:t>政府信息公开工作中存在的主要问题表现在：工作机制还有待进一步完善和健全，主动公开方面还需进一步挖掘和扩展，政策解读工作有待进一步加强和深化。为此，将从以下三方面加以改进：</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一）推进更高水平的阳光信访。加快完善相关工作机制，推进信访业务功能进一步拓展，加强信访制度改革、信访基础业务规范化建设等相关要求，切实推进信访工作标准化、精细化，为群众提供更加透明、优质、高效的服务。                    </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二）深化全局主动公开意识。坚持以公开为常态、不公开为例外，把规范透明作为我办各项工作的基本要求，对制定的各类制度文件严格把关，做到能公开、尽公开，切实保障群众知情权，彰显信访工作机构公开、透明形象。</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（三）积极做好信访工作政策解读与宣传工作。通过多渠道、多角度，开展习近平总书记关于加强和改进人民信访工作的重要思想的解读和宣传。深入解读信访工作相关政策，深度宣传信访工作动态。</w:t>
      </w:r>
    </w:p>
    <w:bookmarkEnd w:id="0"/>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481"/>
        <w:jc w:val="both"/>
        <w:textAlignment w:val="auto"/>
        <w:outlineLvl w:val="9"/>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六、其他需要报告的事项</w:t>
      </w:r>
    </w:p>
    <w:p>
      <w:pPr>
        <w:pStyle w:val="2"/>
        <w:keepNext w:val="0"/>
        <w:keepLines w:val="0"/>
        <w:pageBreakBefore w:val="0"/>
        <w:kinsoku/>
        <w:wordWrap/>
        <w:overflowPunct/>
        <w:topLinePunct w:val="0"/>
        <w:autoSpaceDE/>
        <w:autoSpaceDN/>
        <w:bidi w:val="0"/>
        <w:adjustRightInd/>
        <w:snapToGrid/>
        <w:spacing w:line="620" w:lineRule="exact"/>
        <w:ind w:right="0" w:rightChars="0" w:firstLine="480" w:firstLineChars="200"/>
        <w:jc w:val="both"/>
        <w:rPr>
          <w:rFonts w:hint="eastAsia" w:asciiTheme="majorEastAsia" w:hAnsiTheme="majorEastAsia" w:eastAsiaTheme="majorEastAsia" w:cstheme="majorEastAsia"/>
          <w:kern w:val="2"/>
          <w:sz w:val="24"/>
          <w:szCs w:val="24"/>
          <w:lang w:val="en-US" w:eastAsia="zh-CN" w:bidi="ar-SA"/>
        </w:rPr>
      </w:pPr>
      <w:r>
        <w:rPr>
          <w:rFonts w:hint="eastAsia" w:asciiTheme="majorEastAsia" w:hAnsiTheme="majorEastAsia" w:eastAsiaTheme="majorEastAsia" w:cstheme="majorEastAsia"/>
          <w:kern w:val="2"/>
          <w:sz w:val="24"/>
          <w:szCs w:val="24"/>
          <w:lang w:val="en-US" w:eastAsia="zh-CN" w:bidi="ar-SA"/>
        </w:rPr>
        <w:t>北京市门头沟区信访办公室政府信息公开专栏网址为http://www.bjmtg.gov.cn/zfxxgk/mtg11J012/mtgqbm_index.shtml，如需了解更多政府信息，请登录查询。</w:t>
      </w:r>
    </w:p>
    <w:p>
      <w:pPr>
        <w:keepNext w:val="0"/>
        <w:keepLines w:val="0"/>
        <w:pageBreakBefore w:val="0"/>
        <w:kinsoku/>
        <w:wordWrap/>
        <w:overflowPunct/>
        <w:topLinePunct w:val="0"/>
        <w:autoSpaceDE/>
        <w:autoSpaceDN/>
        <w:bidi w:val="0"/>
        <w:adjustRightInd/>
        <w:snapToGrid/>
        <w:spacing w:line="620" w:lineRule="exact"/>
        <w:ind w:right="0" w:right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35E34"/>
    <w:rsid w:val="06A76033"/>
    <w:rsid w:val="0A2B0D5A"/>
    <w:rsid w:val="0D4E588C"/>
    <w:rsid w:val="0D526E1A"/>
    <w:rsid w:val="0FA41849"/>
    <w:rsid w:val="11A34251"/>
    <w:rsid w:val="14CF5B85"/>
    <w:rsid w:val="16954887"/>
    <w:rsid w:val="2690215C"/>
    <w:rsid w:val="2767546D"/>
    <w:rsid w:val="29C414DC"/>
    <w:rsid w:val="2B600749"/>
    <w:rsid w:val="307B6F13"/>
    <w:rsid w:val="32444F0D"/>
    <w:rsid w:val="35521A64"/>
    <w:rsid w:val="39615966"/>
    <w:rsid w:val="3BBA1FE8"/>
    <w:rsid w:val="3F3B2BCF"/>
    <w:rsid w:val="3FC05A2E"/>
    <w:rsid w:val="47B02609"/>
    <w:rsid w:val="4A8B1686"/>
    <w:rsid w:val="4C1B64B3"/>
    <w:rsid w:val="4E6A5064"/>
    <w:rsid w:val="4FC67533"/>
    <w:rsid w:val="4FEE25DB"/>
    <w:rsid w:val="51A04B70"/>
    <w:rsid w:val="54E91117"/>
    <w:rsid w:val="5A1F4479"/>
    <w:rsid w:val="5BB6173F"/>
    <w:rsid w:val="5D7B394F"/>
    <w:rsid w:val="60556801"/>
    <w:rsid w:val="60A277AC"/>
    <w:rsid w:val="61A90DB2"/>
    <w:rsid w:val="62263120"/>
    <w:rsid w:val="6377459F"/>
    <w:rsid w:val="6A2C4543"/>
    <w:rsid w:val="6CF24AAB"/>
    <w:rsid w:val="72F94912"/>
    <w:rsid w:val="757B1B6B"/>
    <w:rsid w:val="7DBA0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style>
  <w:style w:type="character" w:styleId="4">
    <w:name w:val="Emphasis"/>
    <w:basedOn w:val="3"/>
    <w:qFormat/>
    <w:uiPriority w:val="0"/>
    <w:rPr>
      <w:i/>
    </w:rPr>
  </w:style>
  <w:style w:type="character" w:styleId="5">
    <w:name w:val="Hyperlink"/>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Ken Hua</dc:creator>
  <cp:lastModifiedBy>MRX</cp:lastModifiedBy>
  <cp:lastPrinted>2020-01-10T01:48:00Z</cp:lastPrinted>
  <dcterms:modified xsi:type="dcterms:W3CDTF">2021-01-19T03:53:24Z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