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42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1951"/>
        <w:gridCol w:w="2235"/>
        <w:gridCol w:w="2175"/>
        <w:gridCol w:w="1590"/>
        <w:gridCol w:w="384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1"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rPr>
                <w:rFonts w:hint="default" w:ascii="仿宋_GB2312" w:hAnsi="仿宋_GB2312" w:eastAsia="仿宋_GB2312" w:cs="仿宋_GB2312"/>
                <w:b/>
                <w:bCs/>
                <w:sz w:val="32"/>
                <w:szCs w:val="32"/>
                <w:vertAlign w:val="baseline"/>
                <w:lang w:val="en" w:eastAsia="zh-CN"/>
              </w:rPr>
            </w:pPr>
            <w:r>
              <w:rPr>
                <w:rFonts w:hint="eastAsia" w:ascii="仿宋_GB2312" w:hAnsi="仿宋_GB2312" w:eastAsia="仿宋_GB2312" w:cs="仿宋_GB2312"/>
                <w:b/>
                <w:bCs/>
                <w:sz w:val="32"/>
                <w:szCs w:val="32"/>
                <w:vertAlign w:val="baseline"/>
                <w:lang w:val="en" w:eastAsia="zh-CN"/>
              </w:rPr>
              <w:t>序号</w:t>
            </w:r>
          </w:p>
        </w:tc>
        <w:tc>
          <w:tcPr>
            <w:tcW w:w="1951"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lang w:val="en-US" w:eastAsia="zh-CN"/>
              </w:rPr>
              <w:t>做出决定机关名称</w:t>
            </w:r>
          </w:p>
        </w:tc>
        <w:tc>
          <w:tcPr>
            <w:tcW w:w="2235"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决定书编号</w:t>
            </w:r>
          </w:p>
        </w:tc>
        <w:tc>
          <w:tcPr>
            <w:tcW w:w="2175"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lang w:val="en-US" w:eastAsia="zh-CN"/>
              </w:rPr>
              <w:t>执法对象</w:t>
            </w:r>
          </w:p>
        </w:tc>
        <w:tc>
          <w:tcPr>
            <w:tcW w:w="1590"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决定种类</w:t>
            </w:r>
          </w:p>
        </w:tc>
        <w:tc>
          <w:tcPr>
            <w:tcW w:w="3840"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决定主要内容</w:t>
            </w:r>
          </w:p>
        </w:tc>
        <w:tc>
          <w:tcPr>
            <w:tcW w:w="1620" w:type="dxa"/>
            <w:vAlign w:val="top"/>
          </w:tcPr>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决定日期</w:t>
            </w:r>
          </w:p>
        </w:tc>
      </w:tr>
    </w:tbl>
    <w:tbl>
      <w:tblPr>
        <w:tblStyle w:val="4"/>
        <w:tblW w:w="1426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60"/>
        <w:gridCol w:w="1950"/>
        <w:gridCol w:w="2234"/>
        <w:gridCol w:w="2174"/>
        <w:gridCol w:w="1589"/>
        <w:gridCol w:w="3838"/>
        <w:gridCol w:w="161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84" w:hRule="atLeast"/>
        </w:trPr>
        <w:tc>
          <w:tcPr>
            <w:tcW w:w="860" w:type="dxa"/>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both"/>
              <w:rPr>
                <w:rFonts w:hint="default" w:ascii="&amp;quot" w:hAnsi="&amp;quot" w:eastAsia="&amp;quot" w:cs="&amp;quot"/>
                <w:color w:val="auto"/>
                <w:sz w:val="21"/>
                <w:szCs w:val="21"/>
              </w:rPr>
            </w:pPr>
            <w:r>
              <w:rPr>
                <w:rFonts w:hint="eastAsia" w:ascii="仿宋" w:hAnsi="仿宋" w:eastAsia="仿宋" w:cs="仿宋"/>
                <w:i w:val="0"/>
                <w:caps w:val="0"/>
                <w:color w:val="auto"/>
                <w:spacing w:val="0"/>
                <w:sz w:val="28"/>
                <w:szCs w:val="28"/>
                <w:u w:val="none"/>
              </w:rPr>
              <w:t>1</w:t>
            </w:r>
          </w:p>
        </w:tc>
        <w:tc>
          <w:tcPr>
            <w:tcW w:w="1950"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amp;quot" w:cs="&amp;quot"/>
                <w:color w:val="auto"/>
                <w:sz w:val="21"/>
                <w:szCs w:val="21"/>
              </w:rPr>
            </w:pPr>
            <w:r>
              <w:rPr>
                <w:rFonts w:hint="eastAsia" w:ascii="仿宋" w:hAnsi="仿宋" w:eastAsia="仿宋" w:cs="仿宋"/>
                <w:i w:val="0"/>
                <w:caps w:val="0"/>
                <w:color w:val="auto"/>
                <w:spacing w:val="0"/>
                <w:sz w:val="28"/>
                <w:szCs w:val="28"/>
                <w:u w:val="none"/>
              </w:rPr>
              <w:t>门头沟区文化和旅游局</w:t>
            </w:r>
          </w:p>
        </w:tc>
        <w:tc>
          <w:tcPr>
            <w:tcW w:w="2234"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amp;quot" w:cs="&amp;quot"/>
                <w:color w:val="auto"/>
                <w:sz w:val="21"/>
                <w:szCs w:val="21"/>
              </w:rPr>
            </w:pPr>
            <w:r>
              <w:rPr>
                <w:rFonts w:hint="eastAsia" w:ascii="仿宋" w:hAnsi="仿宋" w:eastAsia="仿宋" w:cs="仿宋"/>
                <w:i w:val="0"/>
                <w:caps w:val="0"/>
                <w:color w:val="auto"/>
                <w:spacing w:val="0"/>
                <w:sz w:val="28"/>
                <w:szCs w:val="28"/>
                <w:u w:val="none"/>
              </w:rPr>
              <w:t>门文执罚[202</w:t>
            </w:r>
            <w:r>
              <w:rPr>
                <w:rFonts w:hint="eastAsia" w:ascii="仿宋" w:hAnsi="仿宋" w:eastAsia="仿宋" w:cs="仿宋"/>
                <w:i w:val="0"/>
                <w:caps w:val="0"/>
                <w:color w:val="auto"/>
                <w:spacing w:val="0"/>
                <w:sz w:val="28"/>
                <w:szCs w:val="28"/>
                <w:u w:val="none"/>
                <w:lang w:val="en-US" w:eastAsia="zh-CN"/>
              </w:rPr>
              <w:t>4</w:t>
            </w:r>
            <w:r>
              <w:rPr>
                <w:rFonts w:hint="eastAsia" w:ascii="仿宋" w:hAnsi="仿宋" w:eastAsia="仿宋" w:cs="仿宋"/>
                <w:i w:val="0"/>
                <w:caps w:val="0"/>
                <w:color w:val="auto"/>
                <w:spacing w:val="0"/>
                <w:sz w:val="28"/>
                <w:szCs w:val="28"/>
                <w:u w:val="none"/>
              </w:rPr>
              <w:t>]第0000</w:t>
            </w:r>
            <w:r>
              <w:rPr>
                <w:rFonts w:hint="eastAsia" w:ascii="仿宋" w:hAnsi="仿宋" w:eastAsia="仿宋" w:cs="仿宋"/>
                <w:i w:val="0"/>
                <w:caps w:val="0"/>
                <w:color w:val="auto"/>
                <w:spacing w:val="0"/>
                <w:sz w:val="28"/>
                <w:szCs w:val="28"/>
                <w:u w:val="none"/>
                <w:lang w:val="en-US" w:eastAsia="zh-CN"/>
              </w:rPr>
              <w:t>10</w:t>
            </w:r>
            <w:r>
              <w:rPr>
                <w:rFonts w:hint="eastAsia" w:ascii="仿宋" w:hAnsi="仿宋" w:eastAsia="仿宋" w:cs="仿宋"/>
                <w:i w:val="0"/>
                <w:caps w:val="0"/>
                <w:color w:val="auto"/>
                <w:spacing w:val="0"/>
                <w:sz w:val="28"/>
                <w:szCs w:val="28"/>
                <w:u w:val="none"/>
              </w:rPr>
              <w:t>号</w:t>
            </w:r>
          </w:p>
        </w:tc>
        <w:tc>
          <w:tcPr>
            <w:tcW w:w="2174"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textAlignment w:val="center"/>
              <w:rPr>
                <w:rFonts w:hint="eastAsia" w:ascii="&amp;quot" w:hAnsi="&amp;quot" w:eastAsia="宋体" w:cs="&amp;quot"/>
                <w:color w:val="auto"/>
                <w:sz w:val="21"/>
                <w:szCs w:val="21"/>
                <w:lang w:eastAsia="zh-CN"/>
              </w:rPr>
            </w:pPr>
            <w:r>
              <w:rPr>
                <w:rFonts w:ascii="宋体" w:hAnsi="宋体" w:eastAsia="宋体" w:cs="宋体"/>
                <w:sz w:val="24"/>
                <w:szCs w:val="24"/>
              </w:rPr>
              <w:t>湖南星享事城建筑劳务有限公司</w:t>
            </w:r>
          </w:p>
        </w:tc>
        <w:tc>
          <w:tcPr>
            <w:tcW w:w="1589"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ascii="仿宋" w:hAnsi="仿宋" w:eastAsia="仿宋" w:cs="仿宋"/>
                <w:i w:val="0"/>
                <w:caps w:val="0"/>
                <w:color w:val="auto"/>
                <w:spacing w:val="0"/>
                <w:sz w:val="28"/>
                <w:szCs w:val="28"/>
                <w:u w:val="none"/>
                <w:lang w:val="en-US" w:eastAsia="zh-CN"/>
              </w:rPr>
            </w:pPr>
            <w:r>
              <w:rPr>
                <w:rFonts w:hint="eastAsia" w:ascii="仿宋" w:hAnsi="仿宋" w:eastAsia="仿宋" w:cs="仿宋"/>
                <w:i w:val="0"/>
                <w:caps w:val="0"/>
                <w:color w:val="auto"/>
                <w:spacing w:val="0"/>
                <w:sz w:val="28"/>
                <w:szCs w:val="28"/>
                <w:u w:val="none"/>
                <w:lang w:val="en-US" w:eastAsia="zh-CN"/>
              </w:rPr>
              <w:t>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eastAsia" w:ascii="&amp;quot" w:hAnsi="&amp;quot" w:eastAsia="宋体" w:cs="&amp;quot"/>
                <w:color w:val="auto"/>
                <w:sz w:val="21"/>
                <w:szCs w:val="21"/>
                <w:lang w:eastAsia="zh-CN"/>
              </w:rPr>
            </w:pPr>
          </w:p>
        </w:tc>
        <w:tc>
          <w:tcPr>
            <w:tcW w:w="3838"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amp;quot" w:hAnsi="&amp;quot" w:eastAsia="&amp;quot" w:cs="&amp;quot"/>
                <w:color w:val="auto"/>
                <w:sz w:val="21"/>
                <w:szCs w:val="21"/>
              </w:rPr>
            </w:pPr>
            <w:r>
              <w:rPr>
                <w:rFonts w:ascii="宋体" w:hAnsi="宋体" w:eastAsia="宋体" w:cs="宋体"/>
                <w:sz w:val="24"/>
                <w:szCs w:val="24"/>
              </w:rPr>
              <w:t>门头沟区文化和旅游局接到区文物事业管理所转办线索，称北京市门头沟区王平镇东马各庄村未定级文物东马各庄古桥被拆除。</w:t>
            </w:r>
            <w:r>
              <w:rPr>
                <w:rFonts w:hint="eastAsia" w:ascii="宋体" w:hAnsi="宋体" w:eastAsia="宋体" w:cs="宋体"/>
                <w:sz w:val="24"/>
                <w:szCs w:val="24"/>
                <w:lang w:val="en-US" w:eastAsia="zh-CN"/>
              </w:rPr>
              <w:t>执法人员到现场</w:t>
            </w:r>
            <w:r>
              <w:rPr>
                <w:rFonts w:ascii="宋体" w:hAnsi="宋体" w:eastAsia="宋体" w:cs="宋体"/>
                <w:sz w:val="24"/>
                <w:szCs w:val="24"/>
              </w:rPr>
              <w:t>检查发现，门头沟区王平镇东马各庄村东马各庄古桥主体被拆除，仅残存两端桥基</w:t>
            </w:r>
            <w:r>
              <w:rPr>
                <w:rFonts w:hint="eastAsia" w:ascii="宋体" w:hAnsi="宋体" w:eastAsia="宋体" w:cs="宋体"/>
                <w:sz w:val="24"/>
                <w:szCs w:val="24"/>
                <w:lang w:eastAsia="zh-CN"/>
              </w:rPr>
              <w:t>，</w:t>
            </w:r>
            <w:r>
              <w:rPr>
                <w:rFonts w:ascii="宋体" w:hAnsi="宋体" w:eastAsia="宋体" w:cs="宋体"/>
                <w:sz w:val="24"/>
                <w:szCs w:val="24"/>
              </w:rPr>
              <w:t>现场施工已暂停。</w:t>
            </w:r>
            <w:r>
              <w:rPr>
                <w:rFonts w:hint="eastAsia" w:ascii="宋体" w:hAnsi="宋体" w:eastAsia="宋体" w:cs="宋体"/>
                <w:sz w:val="24"/>
                <w:szCs w:val="24"/>
                <w:lang w:val="en-US" w:eastAsia="zh-CN"/>
              </w:rPr>
              <w:t>该单位</w:t>
            </w:r>
            <w:r>
              <w:rPr>
                <w:rFonts w:ascii="宋体" w:hAnsi="宋体" w:eastAsia="宋体" w:cs="宋体"/>
                <w:sz w:val="24"/>
                <w:szCs w:val="24"/>
              </w:rPr>
              <w:t>误将东马各庄古 桥破坏、拆除，使该不可移动文物基本损毁。</w:t>
            </w:r>
            <w:r>
              <w:rPr>
                <w:rFonts w:hint="eastAsia" w:ascii="宋体" w:hAnsi="宋体" w:eastAsia="宋体" w:cs="宋体"/>
                <w:sz w:val="24"/>
                <w:szCs w:val="24"/>
                <w:lang w:val="en-US" w:eastAsia="zh-CN"/>
              </w:rPr>
              <w:t>执法人员将</w:t>
            </w:r>
            <w:r>
              <w:rPr>
                <w:rFonts w:ascii="宋体" w:hAnsi="宋体" w:eastAsia="宋体" w:cs="宋体"/>
                <w:sz w:val="24"/>
                <w:szCs w:val="24"/>
              </w:rPr>
              <w:t>湖南星享事城建筑劳务有限公司的行为作为相关线索移送公安机关，公安机关出具案件审核意见书不予立案，尚不构成刑事案件。该单位的上述行为违反了《中华人民共和国文物保护法》第二十条第三款的规定</w:t>
            </w:r>
            <w:r>
              <w:rPr>
                <w:rFonts w:hint="eastAsia" w:ascii="仿宋" w:hAnsi="仿宋" w:eastAsia="仿宋" w:cs="仿宋"/>
                <w:color w:val="auto"/>
                <w:sz w:val="24"/>
                <w:szCs w:val="24"/>
                <w:lang w:eastAsia="zh-CN"/>
              </w:rPr>
              <w:t>，</w:t>
            </w:r>
            <w:r>
              <w:rPr>
                <w:rFonts w:ascii="宋体" w:hAnsi="宋体" w:eastAsia="宋体" w:cs="宋体"/>
                <w:sz w:val="24"/>
                <w:szCs w:val="24"/>
              </w:rPr>
              <w:t>依据《中华人民共和国文物保护法》第六十六条第三款，并参照《北京市文化市场综合执法行政处罚裁量基准》C40003A030</w:t>
            </w:r>
            <w:r>
              <w:rPr>
                <w:rFonts w:hint="eastAsia" w:ascii="宋体" w:hAnsi="宋体" w:eastAsia="宋体" w:cs="宋体"/>
                <w:sz w:val="24"/>
                <w:szCs w:val="24"/>
                <w:lang w:eastAsia="zh-CN"/>
              </w:rPr>
              <w:t>，</w:t>
            </w:r>
            <w:r>
              <w:rPr>
                <w:rFonts w:ascii="宋体" w:hAnsi="宋体" w:eastAsia="宋体" w:cs="宋体"/>
                <w:sz w:val="24"/>
                <w:szCs w:val="24"/>
              </w:rPr>
              <w:t>对该单位作出罚款人民币肆拾万元</w:t>
            </w:r>
            <w:r>
              <w:rPr>
                <w:rFonts w:hint="eastAsia" w:ascii="宋体" w:hAnsi="宋体" w:eastAsia="宋体" w:cs="宋体"/>
                <w:sz w:val="24"/>
                <w:szCs w:val="24"/>
                <w:lang w:val="en-US" w:eastAsia="zh-CN"/>
              </w:rPr>
              <w:t>的</w:t>
            </w:r>
            <w:r>
              <w:rPr>
                <w:rFonts w:ascii="宋体" w:hAnsi="宋体" w:eastAsia="宋体" w:cs="宋体"/>
                <w:sz w:val="24"/>
                <w:szCs w:val="24"/>
              </w:rPr>
              <w:t>行政处罚</w:t>
            </w:r>
            <w:r>
              <w:rPr>
                <w:rFonts w:hint="eastAsia" w:ascii="宋体" w:hAnsi="宋体" w:eastAsia="宋体" w:cs="宋体"/>
                <w:sz w:val="24"/>
                <w:szCs w:val="24"/>
                <w:lang w:eastAsia="zh-CN"/>
              </w:rPr>
              <w:t>。</w:t>
            </w:r>
          </w:p>
        </w:tc>
        <w:tc>
          <w:tcPr>
            <w:tcW w:w="1617" w:type="dxa"/>
            <w:tcBorders>
              <w:top w:val="nil"/>
              <w:left w:val="nil"/>
              <w:bottom w:val="single" w:color="auto" w:sz="8" w:space="0"/>
              <w:right w:val="single" w:color="auto" w:sz="8" w:space="0"/>
            </w:tcBorders>
            <w:shd w:val="clear" w:color="auto" w:fill="auto"/>
            <w:tcMar>
              <w:left w:w="108"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amp;quot" w:hAnsi="&amp;quot" w:eastAsia="&amp;quot" w:cs="&amp;quot"/>
                <w:color w:val="auto"/>
                <w:sz w:val="21"/>
                <w:szCs w:val="21"/>
              </w:rPr>
            </w:pPr>
            <w:r>
              <w:rPr>
                <w:rFonts w:hint="eastAsia" w:ascii="仿宋" w:hAnsi="仿宋" w:eastAsia="仿宋" w:cs="仿宋"/>
                <w:i w:val="0"/>
                <w:caps w:val="0"/>
                <w:color w:val="auto"/>
                <w:spacing w:val="0"/>
                <w:sz w:val="28"/>
                <w:szCs w:val="28"/>
                <w:u w:val="none"/>
              </w:rPr>
              <w:t>202</w:t>
            </w:r>
            <w:r>
              <w:rPr>
                <w:rFonts w:hint="eastAsia" w:ascii="仿宋" w:hAnsi="仿宋" w:eastAsia="仿宋" w:cs="仿宋"/>
                <w:i w:val="0"/>
                <w:caps w:val="0"/>
                <w:color w:val="auto"/>
                <w:spacing w:val="0"/>
                <w:sz w:val="28"/>
                <w:szCs w:val="28"/>
                <w:u w:val="none"/>
                <w:lang w:val="en-US" w:eastAsia="zh-CN"/>
              </w:rPr>
              <w:t>4</w:t>
            </w:r>
            <w:r>
              <w:rPr>
                <w:rFonts w:hint="eastAsia" w:ascii="仿宋" w:hAnsi="仿宋" w:eastAsia="仿宋" w:cs="仿宋"/>
                <w:i w:val="0"/>
                <w:caps w:val="0"/>
                <w:color w:val="auto"/>
                <w:spacing w:val="0"/>
                <w:sz w:val="28"/>
                <w:szCs w:val="28"/>
                <w:u w:val="none"/>
              </w:rPr>
              <w:t>年</w:t>
            </w:r>
            <w:r>
              <w:rPr>
                <w:rFonts w:hint="eastAsia" w:ascii="仿宋" w:hAnsi="仿宋" w:eastAsia="仿宋" w:cs="仿宋"/>
                <w:i w:val="0"/>
                <w:caps w:val="0"/>
                <w:color w:val="auto"/>
                <w:spacing w:val="0"/>
                <w:sz w:val="28"/>
                <w:szCs w:val="28"/>
                <w:u w:val="none"/>
                <w:lang w:val="en-US" w:eastAsia="zh-CN"/>
              </w:rPr>
              <w:t>12</w:t>
            </w:r>
            <w:r>
              <w:rPr>
                <w:rFonts w:hint="eastAsia" w:ascii="仿宋" w:hAnsi="仿宋" w:eastAsia="仿宋" w:cs="仿宋"/>
                <w:i w:val="0"/>
                <w:caps w:val="0"/>
                <w:color w:val="auto"/>
                <w:spacing w:val="0"/>
                <w:sz w:val="28"/>
                <w:szCs w:val="28"/>
                <w:u w:val="none"/>
              </w:rPr>
              <w:t>月</w:t>
            </w:r>
            <w:r>
              <w:rPr>
                <w:rFonts w:hint="eastAsia" w:ascii="仿宋" w:hAnsi="仿宋" w:eastAsia="仿宋" w:cs="仿宋"/>
                <w:i w:val="0"/>
                <w:caps w:val="0"/>
                <w:color w:val="auto"/>
                <w:spacing w:val="0"/>
                <w:sz w:val="28"/>
                <w:szCs w:val="28"/>
                <w:u w:val="none"/>
                <w:lang w:val="en-US" w:eastAsia="zh-CN"/>
              </w:rPr>
              <w:t>16</w:t>
            </w:r>
            <w:r>
              <w:rPr>
                <w:rFonts w:hint="eastAsia" w:ascii="仿宋" w:hAnsi="仿宋" w:eastAsia="仿宋" w:cs="仿宋"/>
                <w:i w:val="0"/>
                <w:caps w:val="0"/>
                <w:color w:val="auto"/>
                <w:spacing w:val="0"/>
                <w:sz w:val="28"/>
                <w:szCs w:val="28"/>
                <w:u w:val="none"/>
              </w:rPr>
              <w:t>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both"/>
      </w:pPr>
      <w:r>
        <w:rPr>
          <w:rFonts w:hint="eastAsia" w:ascii="仿宋" w:hAnsi="仿宋" w:eastAsia="仿宋" w:cs="仿宋"/>
          <w:i w:val="0"/>
          <w:caps w:val="0"/>
          <w:color w:val="404040"/>
          <w:spacing w:val="0"/>
          <w:sz w:val="28"/>
          <w:szCs w:val="28"/>
          <w:u w:val="none"/>
        </w:rPr>
        <w:t>备注：“行政相对人”一栏若涉及个人真实姓名应作技术处理。</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mp;quo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Bahnschrift SemiLight Condensed">
    <w:panose1 w:val="020B0502040204020203"/>
    <w:charset w:val="00"/>
    <w:family w:val="auto"/>
    <w:pitch w:val="default"/>
    <w:sig w:usb0="800002C7" w:usb1="00000002"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91792A"/>
    <w:rsid w:val="08695C6D"/>
    <w:rsid w:val="0891792A"/>
    <w:rsid w:val="0DD07344"/>
    <w:rsid w:val="276E2D47"/>
    <w:rsid w:val="2C890191"/>
    <w:rsid w:val="31AF2163"/>
    <w:rsid w:val="40716F3F"/>
    <w:rsid w:val="40D5680C"/>
    <w:rsid w:val="4688606B"/>
    <w:rsid w:val="46E55B25"/>
    <w:rsid w:val="476511CB"/>
    <w:rsid w:val="4A6B7193"/>
    <w:rsid w:val="5FBA4D14"/>
    <w:rsid w:val="640E3D76"/>
    <w:rsid w:val="7D1D3D86"/>
    <w:rsid w:val="7FF36F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区文化委</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2023-04-25T01:41:00Z</dcterms:created>
  <dc:creator>whzf-2</dc:creator>
  <cp:lastModifiedBy>whzf-2</cp:lastModifiedBy>
  <dcterms:modified xsi:type="dcterms:W3CDTF">2024-12-23T09:07:48Z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