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北京亮点视界文化有限公司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该单位经营的歌舞娱乐场所营业期间，工作人员未佩带工作标志，上述行为违反了《娱乐场所管理条例》第二十七条第一款的规定，该单位系首次发生上述行为，危害后果轻微，且现场立即完成整改。依据《中华人民共和国行政处罚法》第三十三条第一款的规定，综合考虑违法事实 、性质、情节以及社会危害，对该单位作出不予行政处罚的决定。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6EC2C33"/>
    <w:rsid w:val="0891792A"/>
    <w:rsid w:val="0DD07344"/>
    <w:rsid w:val="19BC285A"/>
    <w:rsid w:val="276E2D47"/>
    <w:rsid w:val="2C890191"/>
    <w:rsid w:val="2EA33DE1"/>
    <w:rsid w:val="31AF2163"/>
    <w:rsid w:val="34355556"/>
    <w:rsid w:val="3EE80E6A"/>
    <w:rsid w:val="40716F3F"/>
    <w:rsid w:val="40D5680C"/>
    <w:rsid w:val="432823BA"/>
    <w:rsid w:val="4688606B"/>
    <w:rsid w:val="46E55B25"/>
    <w:rsid w:val="476511CB"/>
    <w:rsid w:val="48B44C2B"/>
    <w:rsid w:val="4C7D659E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2024-12-18T08:04:16Z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