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951"/>
        <w:gridCol w:w="2235"/>
        <w:gridCol w:w="2175"/>
        <w:gridCol w:w="1590"/>
        <w:gridCol w:w="38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21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5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3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6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</w:tbl>
    <w:tbl>
      <w:tblPr>
        <w:tblStyle w:val="4"/>
        <w:tblW w:w="142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1950"/>
        <w:gridCol w:w="2234"/>
        <w:gridCol w:w="2174"/>
        <w:gridCol w:w="1589"/>
        <w:gridCol w:w="3838"/>
        <w:gridCol w:w="16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门文执罚[202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]第00000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号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北京世纪国际旅行社有限公司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罚款</w:t>
            </w:r>
          </w:p>
        </w:tc>
        <w:tc>
          <w:tcPr>
            <w:tcW w:w="3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检查中发现该旅行社临时聘用导游李芹在 2024 年 5 月 17 日 -22 日带团后至 2024 年 6 月 13 日未收到导游服务费用。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</w:rPr>
              <w:t>该旅行社涉嫌存在未向临时聘用的导游支付 导游服务费用的行为，被本机关以一般程序立案调查。我单位已责令该单）改正上述违法行为，并送达了《行政处罚事先告知书》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该单位的上述行为违反了《中华人民共和国旅游法》第 三十八条第二款,第六十条第三款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依据《中华人民共和国旅游法》第九十六条第（三）项，并参照《北京市文化市场综合执法行政处 罚裁量基准的规定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对该单位作出罚款人民币伍仟元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行政处罚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&amp;quot" w:hAnsi="&amp;quot" w:eastAsia="&amp;quot" w:cs="&amp;quot"/>
          <w:i w:val="0"/>
          <w:caps w:val="0"/>
          <w:color w:val="404040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ahnschrift SemiLight Condensed">
    <w:panose1 w:val="020B0502040204020203"/>
    <w:charset w:val="00"/>
    <w:family w:val="auto"/>
    <w:pitch w:val="default"/>
    <w:sig w:usb0="8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1792A"/>
    <w:rsid w:val="0891792A"/>
    <w:rsid w:val="0DD07344"/>
    <w:rsid w:val="276E2D47"/>
    <w:rsid w:val="2AC6060C"/>
    <w:rsid w:val="2C890191"/>
    <w:rsid w:val="40716F3F"/>
    <w:rsid w:val="40D5680C"/>
    <w:rsid w:val="4688606B"/>
    <w:rsid w:val="46E55B25"/>
    <w:rsid w:val="476511CB"/>
    <w:rsid w:val="5FBA4D14"/>
    <w:rsid w:val="7D1D3D86"/>
    <w:rsid w:val="7FF3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2023-04-25T01:41:00Z</dcterms:created>
  <dc:creator>whzf-2</dc:creator>
  <cp:lastModifiedBy>whzf-2</cp:lastModifiedBy>
  <dcterms:modified xsi:type="dcterms:W3CDTF">2024-06-27T03:06:58Z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