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5</w:t>
      </w:r>
      <w:r>
        <w:rPr>
          <w:rFonts w:hint="eastAsia" w:ascii="方正小标宋简体" w:hAnsi="方正小标宋简体" w:eastAsia="方正小标宋简体" w:cs="方正小标宋简体"/>
          <w:sz w:val="44"/>
          <w:szCs w:val="44"/>
        </w:rPr>
        <w:t>年</w:t>
      </w:r>
      <w:r>
        <w:rPr>
          <w:rFonts w:hint="eastAsia" w:ascii="方正小标宋简体" w:hAnsi="方正小标宋简体" w:eastAsia="方正小标宋简体" w:cs="方正小标宋简体"/>
          <w:sz w:val="44"/>
          <w:szCs w:val="44"/>
          <w:lang w:eastAsia="zh-CN"/>
        </w:rPr>
        <w:t>上半年门头沟区公共文化活动总</w:t>
      </w:r>
      <w:r>
        <w:rPr>
          <w:rFonts w:hint="eastAsia" w:ascii="方正小标宋简体" w:hAnsi="方正小标宋简体" w:eastAsia="方正小标宋简体" w:cs="方正小标宋简体"/>
          <w:sz w:val="44"/>
          <w:szCs w:val="44"/>
        </w:rPr>
        <w:t>结</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025年上半年，以满足群众文化需求为核心，统筹推进公共文化设施建设、</w:t>
      </w:r>
      <w:r>
        <w:rPr>
          <w:rFonts w:hint="eastAsia" w:ascii="仿宋_GB2312" w:hAnsi="仿宋_GB2312" w:eastAsia="仿宋_GB2312" w:cs="仿宋_GB2312"/>
          <w:sz w:val="32"/>
          <w:szCs w:val="32"/>
          <w:lang w:val="en-US" w:eastAsia="zh-CN"/>
        </w:rPr>
        <w:t>公共文化</w:t>
      </w:r>
      <w:r>
        <w:rPr>
          <w:rFonts w:hint="eastAsia" w:ascii="仿宋_GB2312" w:hAnsi="仿宋_GB2312" w:eastAsia="仿宋_GB2312" w:cs="仿宋_GB2312"/>
          <w:sz w:val="32"/>
          <w:szCs w:val="32"/>
        </w:rPr>
        <w:t>服务体系完善、</w:t>
      </w:r>
      <w:r>
        <w:rPr>
          <w:rFonts w:hint="eastAsia" w:ascii="仿宋_GB2312" w:hAnsi="仿宋_GB2312" w:eastAsia="仿宋_GB2312" w:cs="仿宋_GB2312"/>
          <w:sz w:val="32"/>
          <w:szCs w:val="32"/>
          <w:lang w:val="en-US" w:eastAsia="zh-CN"/>
        </w:rPr>
        <w:t>群众</w:t>
      </w:r>
      <w:r>
        <w:rPr>
          <w:rFonts w:hint="eastAsia" w:ascii="仿宋_GB2312" w:hAnsi="仿宋_GB2312" w:eastAsia="仿宋_GB2312" w:cs="仿宋_GB2312"/>
          <w:sz w:val="32"/>
          <w:szCs w:val="32"/>
        </w:rPr>
        <w:t>文化活动开展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非遗保护</w:t>
      </w:r>
      <w:r>
        <w:rPr>
          <w:rFonts w:hint="eastAsia" w:ascii="仿宋_GB2312" w:hAnsi="仿宋_GB2312" w:eastAsia="仿宋_GB2312" w:cs="仿宋_GB2312"/>
          <w:sz w:val="32"/>
          <w:szCs w:val="32"/>
        </w:rPr>
        <w:t>等工作，公共文化服务水平</w:t>
      </w:r>
      <w:r>
        <w:rPr>
          <w:rFonts w:hint="eastAsia" w:ascii="仿宋_GB2312" w:hAnsi="仿宋_GB2312" w:eastAsia="仿宋_GB2312" w:cs="仿宋_GB2312"/>
          <w:sz w:val="32"/>
          <w:szCs w:val="32"/>
          <w:lang w:val="en-US" w:eastAsia="zh-CN"/>
        </w:rPr>
        <w:t>持续</w:t>
      </w:r>
      <w:r>
        <w:rPr>
          <w:rFonts w:hint="eastAsia" w:ascii="仿宋_GB2312" w:hAnsi="仿宋_GB2312" w:eastAsia="仿宋_GB2312" w:cs="仿宋_GB2312"/>
          <w:sz w:val="32"/>
          <w:szCs w:val="32"/>
        </w:rPr>
        <w:t>提升，现将</w:t>
      </w:r>
      <w:r>
        <w:rPr>
          <w:rFonts w:hint="eastAsia" w:ascii="仿宋_GB2312" w:hAnsi="仿宋_GB2312" w:eastAsia="仿宋_GB2312" w:cs="仿宋_GB2312"/>
          <w:sz w:val="32"/>
          <w:szCs w:val="32"/>
          <w:lang w:val="en-US" w:eastAsia="zh-CN"/>
        </w:rPr>
        <w:t>上半年</w:t>
      </w:r>
      <w:r>
        <w:rPr>
          <w:rFonts w:hint="eastAsia" w:ascii="仿宋_GB2312" w:hAnsi="仿宋_GB2312" w:eastAsia="仿宋_GB2312" w:cs="仿宋_GB2312"/>
          <w:sz w:val="32"/>
          <w:szCs w:val="32"/>
        </w:rPr>
        <w:t>工作总结如下：</w:t>
      </w:r>
      <w:bookmarkStart w:id="0" w:name="_GoBack"/>
      <w:bookmarkEnd w:id="0"/>
    </w:p>
    <w:p>
      <w:pPr>
        <w:keepNext w:val="0"/>
        <w:keepLines w:val="0"/>
        <w:pageBreakBefore w:val="0"/>
        <w:numPr>
          <w:ilvl w:val="0"/>
          <w:numId w:val="1"/>
        </w:numPr>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夯实设施基础，筑牢阵地根基</w:t>
      </w:r>
    </w:p>
    <w:p>
      <w:pPr>
        <w:pStyle w:val="10"/>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楷体" w:hAnsi="楷体" w:eastAsia="楷体" w:cs="楷体"/>
          <w:sz w:val="32"/>
          <w:szCs w:val="32"/>
          <w:lang w:val="en-US" w:eastAsia="zh-CN"/>
        </w:rPr>
        <w:t>1.灾后设施修缮保障。</w:t>
      </w:r>
      <w:r>
        <w:rPr>
          <w:rFonts w:hint="eastAsia" w:ascii="仿宋_GB2312" w:hAnsi="仿宋_GB2312" w:eastAsia="仿宋_GB2312" w:cs="仿宋_GB2312"/>
          <w:sz w:val="32"/>
          <w:szCs w:val="32"/>
          <w:lang w:val="en-US" w:eastAsia="zh-CN"/>
        </w:rPr>
        <w:t>全区水毁公共文化设施5个重建修缮项目进展顺利，</w:t>
      </w:r>
      <w:r>
        <w:rPr>
          <w:rFonts w:hint="eastAsia" w:ascii="仿宋_GB2312" w:hAnsi="仿宋_GB2312" w:eastAsia="仿宋_GB2312" w:cs="仿宋_GB2312"/>
          <w:kern w:val="2"/>
          <w:sz w:val="32"/>
          <w:szCs w:val="32"/>
          <w:lang w:val="en-US" w:eastAsia="zh-CN" w:bidi="ar-SA"/>
        </w:rPr>
        <w:t>118个受损文化设施全部修缮完成，采用</w:t>
      </w:r>
      <w:r>
        <w:rPr>
          <w:rFonts w:hint="eastAsia" w:ascii="仿宋_GB2312" w:hAnsi="仿宋_GB2312" w:eastAsia="仿宋_GB2312" w:cs="仿宋_GB2312"/>
          <w:sz w:val="32"/>
          <w:szCs w:val="32"/>
          <w:lang w:val="en-US" w:eastAsia="zh-CN"/>
        </w:rPr>
        <w:t>“一址一策”修复方案，实现了灾后修缮到品质升级的跨越。同步</w:t>
      </w:r>
      <w:r>
        <w:rPr>
          <w:rFonts w:hint="eastAsia" w:ascii="仿宋_GB2312" w:hAnsi="仿宋_GB2312" w:eastAsia="仿宋_GB2312" w:cs="仿宋_GB2312"/>
          <w:kern w:val="2"/>
          <w:sz w:val="32"/>
          <w:szCs w:val="32"/>
          <w:rtl w:val="0"/>
          <w:lang w:val="en-US" w:eastAsia="zh-CN" w:bidi="ar-SA"/>
        </w:rPr>
        <w:t>完成</w:t>
      </w:r>
      <w:r>
        <w:rPr>
          <w:rFonts w:hint="eastAsia" w:ascii="仿宋_GB2312" w:hAnsi="仿宋_GB2312" w:eastAsia="仿宋_GB2312" w:cs="仿宋_GB2312"/>
          <w:kern w:val="2"/>
          <w:sz w:val="32"/>
          <w:szCs w:val="32"/>
          <w:lang w:val="en-US" w:eastAsia="zh-CN" w:bidi="ar-SA"/>
        </w:rPr>
        <w:t>门头沟区潭柘寺镇（南辛房村）、东辛房街道（北涧沟社区）、清水镇（椴木沟村、黄安坨村、洪水口村）5个村居文化室等设备更新维护。</w:t>
      </w:r>
    </w:p>
    <w:p>
      <w:pPr>
        <w:keepNext w:val="0"/>
        <w:keepLines w:val="0"/>
        <w:pageBreakBefore w:val="0"/>
        <w:widowControl w:val="0"/>
        <w:kinsoku/>
        <w:wordWrap/>
        <w:overflowPunct/>
        <w:topLinePunct w:val="0"/>
        <w:autoSpaceDE/>
        <w:autoSpaceDN/>
        <w:bidi w:val="0"/>
        <w:adjustRightInd/>
        <w:snapToGrid/>
        <w:spacing w:line="560" w:lineRule="exact"/>
        <w:ind w:firstLine="700"/>
        <w:jc w:val="left"/>
        <w:textAlignment w:val="auto"/>
        <w:rPr>
          <w:rFonts w:hint="eastAsia" w:ascii="仿宋_GB2312" w:hAnsi="仿宋_GB2312" w:eastAsia="仿宋_GB2312" w:cs="仿宋_GB2312"/>
          <w:sz w:val="32"/>
          <w:szCs w:val="32"/>
          <w:rtl w:val="0"/>
          <w:lang w:val="en-US" w:eastAsia="zh-CN"/>
        </w:rPr>
      </w:pPr>
      <w:r>
        <w:rPr>
          <w:rFonts w:hint="eastAsia" w:ascii="楷体" w:hAnsi="楷体" w:eastAsia="楷体" w:cs="楷体"/>
          <w:kern w:val="2"/>
          <w:sz w:val="32"/>
          <w:szCs w:val="32"/>
          <w:lang w:val="en-US" w:eastAsia="zh-CN" w:bidi="ar-SA"/>
        </w:rPr>
        <w:t>2.设施建设提质增效。</w:t>
      </w:r>
      <w:r>
        <w:rPr>
          <w:rFonts w:hint="eastAsia" w:ascii="仿宋_GB2312" w:hAnsi="仿宋_GB2312" w:eastAsia="仿宋_GB2312" w:cs="仿宋_GB2312"/>
          <w:sz w:val="32"/>
          <w:szCs w:val="32"/>
          <w:lang w:val="en-US" w:eastAsia="zh-CN"/>
        </w:rPr>
        <w:t>全力推进区级文体中心建设，在场馆软装设计初期，引入</w:t>
      </w:r>
      <w:r>
        <w:rPr>
          <w:rFonts w:hint="eastAsia" w:ascii="仿宋_GB2312" w:hAnsi="仿宋_GB2312" w:eastAsia="仿宋_GB2312" w:cs="仿宋_GB2312"/>
          <w:sz w:val="32"/>
          <w:szCs w:val="32"/>
          <w:rtl w:val="0"/>
          <w:lang w:val="en-US" w:eastAsia="zh-CN"/>
        </w:rPr>
        <w:t>运营前置理念，就新馆的运营模式、功能划分、动线设计、设备配置进行研究，突出文化特色与功能融合。</w:t>
      </w:r>
    </w:p>
    <w:p>
      <w:pPr>
        <w:keepNext w:val="0"/>
        <w:keepLines w:val="0"/>
        <w:pageBreakBefore w:val="0"/>
        <w:numPr>
          <w:ilvl w:val="0"/>
          <w:numId w:val="1"/>
        </w:numPr>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深化体系建设，创新服务供给模式</w:t>
      </w:r>
    </w:p>
    <w:p>
      <w:pPr>
        <w:keepNext w:val="0"/>
        <w:keepLines w:val="0"/>
        <w:pageBreakBefore w:val="0"/>
        <w:widowControl w:val="0"/>
        <w:kinsoku/>
        <w:wordWrap/>
        <w:overflowPunct/>
        <w:topLinePunct w:val="0"/>
        <w:autoSpaceDE/>
        <w:autoSpaceDN/>
        <w:bidi w:val="0"/>
        <w:adjustRightInd/>
        <w:snapToGrid/>
        <w:spacing w:line="560" w:lineRule="exact"/>
        <w:ind w:firstLine="700"/>
        <w:jc w:val="left"/>
        <w:textAlignment w:val="auto"/>
        <w:rPr>
          <w:rFonts w:hint="eastAsia" w:ascii="仿宋_GB2312" w:hAnsi="仿宋_GB2312" w:eastAsia="仿宋_GB2312" w:cs="仿宋_GB2312"/>
          <w:sz w:val="32"/>
          <w:szCs w:val="32"/>
          <w:rtl w:val="0"/>
          <w:lang w:val="en-US" w:eastAsia="zh-CN"/>
        </w:rPr>
      </w:pPr>
      <w:r>
        <w:rPr>
          <w:rFonts w:hint="eastAsia" w:ascii="楷体" w:hAnsi="楷体" w:eastAsia="楷体" w:cs="楷体"/>
          <w:kern w:val="2"/>
          <w:sz w:val="32"/>
          <w:szCs w:val="32"/>
          <w:rtl w:val="0"/>
          <w:lang w:val="en-US" w:eastAsia="zh-CN" w:bidi="ar-SA"/>
        </w:rPr>
        <w:t>1.示范区创建扎实推进。</w:t>
      </w:r>
      <w:r>
        <w:rPr>
          <w:rFonts w:hint="eastAsia" w:ascii="仿宋_GB2312" w:hAnsi="仿宋_GB2312" w:eastAsia="仿宋_GB2312" w:cs="仿宋_GB2312"/>
          <w:sz w:val="32"/>
          <w:szCs w:val="32"/>
          <w:rtl w:val="0"/>
          <w:lang w:val="en-US" w:eastAsia="zh-CN"/>
        </w:rPr>
        <w:t>以全力冲刺公共文化服务体系示范区为契机，对标指标展开全面“体检”，形成一套迎检档案，一本制度汇编，一套过程管理档案，一本创新实践案例，一个示范区宣传片，生动展现区域公共文化服务风采，为迎检筑牢根基。</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楷体" w:hAnsi="楷体" w:eastAsia="仿宋_GB2312" w:cs="楷体"/>
          <w:kern w:val="2"/>
          <w:sz w:val="32"/>
          <w:szCs w:val="32"/>
          <w:rtl w:val="0"/>
          <w:lang w:val="en-US" w:eastAsia="zh-CN" w:bidi="ar-SA"/>
        </w:rPr>
      </w:pPr>
      <w:r>
        <w:rPr>
          <w:rFonts w:hint="eastAsia" w:ascii="楷体" w:hAnsi="楷体" w:eastAsia="楷体" w:cs="楷体"/>
          <w:kern w:val="2"/>
          <w:sz w:val="32"/>
          <w:szCs w:val="32"/>
          <w:rtl w:val="0"/>
          <w:lang w:val="en-US" w:eastAsia="zh-CN" w:bidi="ar-SA"/>
        </w:rPr>
        <w:t>2. 服务效能持续优化。</w:t>
      </w:r>
      <w:r>
        <w:rPr>
          <w:rFonts w:hint="eastAsia" w:ascii="仿宋_GB2312" w:hAnsi="仿宋_GB2312" w:eastAsia="仿宋_GB2312" w:cs="仿宋_GB2312"/>
          <w:sz w:val="32"/>
          <w:szCs w:val="32"/>
          <w:rtl w:val="0"/>
          <w:lang w:val="en-US" w:eastAsia="zh-CN"/>
        </w:rPr>
        <w:t>推进两权分置改革工作，</w:t>
      </w:r>
      <w:r>
        <w:rPr>
          <w:rFonts w:hint="eastAsia" w:ascii="Times New Roman" w:hAnsi="Times New Roman" w:eastAsia="仿宋_GB2312" w:cs="Times New Roman"/>
          <w:sz w:val="32"/>
          <w:szCs w:val="32"/>
        </w:rPr>
        <w:t>制定《门头沟区关于推动公共文化设施开展普惠性非基本公共文化服务指导意见（试行）》，全区目前有1个市级试点（大峪街道综合文化中心），4个区级试点（大峪、东辛房、城子、永定综合文化中心）。</w:t>
      </w:r>
      <w:r>
        <w:rPr>
          <w:rFonts w:hint="eastAsia" w:ascii="Times New Roman" w:hAnsi="Times New Roman" w:eastAsia="仿宋_GB2312" w:cs="Times New Roman"/>
          <w:sz w:val="32"/>
          <w:szCs w:val="32"/>
          <w:lang w:val="en-US" w:eastAsia="zh-CN"/>
        </w:rPr>
        <w:t>东辛房街道西山印文化服务中心被评为2024-2025年度最美乡村公共文化空间交流展示活动。</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三、繁荣文化活动，提升群众参与热度</w:t>
      </w:r>
    </w:p>
    <w:p>
      <w:pPr>
        <w:pStyle w:val="10"/>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rtl w:val="0"/>
          <w:lang w:val="en-US" w:eastAsia="zh-CN" w:bidi="ar-SA"/>
        </w:rPr>
      </w:pPr>
      <w:r>
        <w:rPr>
          <w:rFonts w:hint="eastAsia" w:ascii="楷体" w:hAnsi="楷体" w:eastAsia="楷体" w:cs="楷体"/>
          <w:kern w:val="2"/>
          <w:sz w:val="32"/>
          <w:szCs w:val="32"/>
          <w:rtl w:val="0"/>
          <w:lang w:val="en-US" w:eastAsia="zh-CN" w:bidi="ar-SA"/>
        </w:rPr>
        <w:t>1.品牌活动亮点纷呈。</w:t>
      </w:r>
      <w:r>
        <w:rPr>
          <w:rFonts w:hint="eastAsia" w:ascii="仿宋_GB2312" w:hAnsi="仿宋_GB2312" w:eastAsia="仿宋_GB2312" w:cs="仿宋_GB2312"/>
          <w:kern w:val="2"/>
          <w:sz w:val="32"/>
          <w:szCs w:val="32"/>
          <w:rtl w:val="0"/>
          <w:lang w:val="en-US" w:eastAsia="zh-CN" w:bidi="ar-SA"/>
        </w:rPr>
        <w:t>打造第九届月季大会配套促销费系列活动，成功举办“来京西、逛大集”京西大集活动、“乙巳绿韵绘春华·诗画京西谱华章”门头沟区2025年“沟晚”等活动，指导山水公司举办妙峰山庙会、大台街道举办千军台庄户幡会等文化活动，参与群众超100万人次。</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sz w:val="32"/>
          <w:szCs w:val="32"/>
          <w:lang w:val="en-US" w:eastAsia="zh-CN"/>
        </w:rPr>
      </w:pPr>
      <w:r>
        <w:rPr>
          <w:rFonts w:hint="eastAsia" w:ascii="楷体" w:hAnsi="楷体" w:eastAsia="楷体" w:cs="楷体"/>
          <w:kern w:val="2"/>
          <w:sz w:val="32"/>
          <w:szCs w:val="32"/>
          <w:rtl w:val="0"/>
          <w:lang w:val="en-US" w:eastAsia="zh-CN" w:bidi="ar-SA"/>
        </w:rPr>
        <w:t>2.惠民工程深入实施。</w:t>
      </w:r>
      <w:r>
        <w:rPr>
          <w:rFonts w:hint="eastAsia" w:ascii="仿宋_GB2312" w:hAnsi="仿宋_GB2312" w:eastAsia="仿宋_GB2312" w:cs="仿宋_GB2312"/>
          <w:kern w:val="2"/>
          <w:sz w:val="32"/>
          <w:szCs w:val="32"/>
          <w:rtl w:val="0"/>
          <w:lang w:val="en-US" w:eastAsia="zh-CN" w:bidi="ar-SA"/>
        </w:rPr>
        <w:t>启动2025年公益性演出活动，截至目前，已完成“送戏下乡”普惠演出212场、“戏聚京西”精品演出29场，公益电影放映4300场，开展阅读、培训、讲座等各类首都市民文化活动2032场，服务群众4万余人次。</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四、激发非遗活力，培育文化新动能</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仿宋_GB2312" w:hAnsi="仿宋_GB2312" w:eastAsia="仿宋_GB2312" w:cs="仿宋_GB2312"/>
          <w:b/>
          <w:bCs/>
          <w:kern w:val="2"/>
          <w:sz w:val="32"/>
          <w:szCs w:val="32"/>
          <w:lang w:val="en-US" w:eastAsia="zh-CN" w:bidi="ar-SA"/>
        </w:rPr>
      </w:pPr>
      <w:r>
        <w:rPr>
          <w:rFonts w:hint="eastAsia" w:ascii="楷体" w:hAnsi="楷体" w:eastAsia="楷体" w:cs="楷体"/>
          <w:b w:val="0"/>
          <w:kern w:val="2"/>
          <w:sz w:val="32"/>
          <w:szCs w:val="32"/>
          <w:rtl w:val="0"/>
          <w:lang w:val="en-US" w:eastAsia="zh-CN" w:bidi="ar-SA"/>
        </w:rPr>
        <w:t>1.传承保护为核心。</w:t>
      </w:r>
      <w:r>
        <w:rPr>
          <w:rFonts w:hint="eastAsia" w:ascii="仿宋_GB2312" w:hAnsi="仿宋_GB2312" w:eastAsia="仿宋_GB2312" w:cs="仿宋_GB2312"/>
          <w:b w:val="0"/>
          <w:bCs/>
          <w:sz w:val="32"/>
          <w:szCs w:val="32"/>
        </w:rPr>
        <w:t>开展第九批区级</w:t>
      </w:r>
      <w:r>
        <w:rPr>
          <w:rFonts w:hint="eastAsia" w:ascii="仿宋_GB2312" w:hAnsi="仿宋_GB2312" w:eastAsia="仿宋_GB2312" w:cs="仿宋_GB2312"/>
          <w:b w:val="0"/>
          <w:bCs/>
          <w:sz w:val="32"/>
          <w:szCs w:val="32"/>
          <w:lang w:val="en-US" w:eastAsia="zh-CN"/>
        </w:rPr>
        <w:t>非遗项目</w:t>
      </w:r>
      <w:r>
        <w:rPr>
          <w:rFonts w:hint="eastAsia" w:ascii="仿宋_GB2312" w:hAnsi="仿宋_GB2312" w:eastAsia="仿宋_GB2312" w:cs="仿宋_GB2312"/>
          <w:b w:val="0"/>
          <w:bCs/>
          <w:sz w:val="32"/>
          <w:szCs w:val="32"/>
        </w:rPr>
        <w:t>评审</w:t>
      </w:r>
      <w:r>
        <w:rPr>
          <w:rFonts w:hint="eastAsia" w:ascii="仿宋_GB2312" w:hAnsi="仿宋_GB2312" w:eastAsia="仿宋_GB2312" w:cs="仿宋_GB2312"/>
          <w:b w:val="0"/>
          <w:bCs/>
          <w:sz w:val="32"/>
          <w:szCs w:val="32"/>
          <w:lang w:eastAsia="zh-CN"/>
        </w:rPr>
        <w:t>，新增27项区级非遗项目，截至目前，我区拥有各级非遗项目</w:t>
      </w:r>
      <w:r>
        <w:rPr>
          <w:rFonts w:hint="eastAsia" w:ascii="仿宋_GB2312" w:hAnsi="仿宋_GB2312" w:eastAsia="仿宋_GB2312" w:cs="仿宋_GB2312"/>
          <w:b w:val="0"/>
          <w:bCs/>
          <w:sz w:val="32"/>
          <w:szCs w:val="32"/>
          <w:lang w:val="en-US" w:eastAsia="zh-CN"/>
        </w:rPr>
        <w:t>145个；加强传承人梯队建设，新增国家级传承人2人，市级传承人6人，截至目前，我区拥有国家级传承人4人，市级传承人11人。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仿宋_GB2312" w:hAnsi="仿宋_GB2312" w:eastAsia="仿宋_GB2312" w:cs="仿宋_GB2312"/>
          <w:b w:val="0"/>
          <w:bCs/>
          <w:sz w:val="32"/>
          <w:szCs w:val="32"/>
          <w:lang w:val="en-US" w:eastAsia="zh-CN"/>
        </w:rPr>
      </w:pPr>
      <w:r>
        <w:rPr>
          <w:rFonts w:hint="eastAsia" w:ascii="楷体" w:hAnsi="楷体" w:eastAsia="楷体" w:cs="楷体"/>
          <w:b w:val="0"/>
          <w:kern w:val="2"/>
          <w:sz w:val="32"/>
          <w:szCs w:val="32"/>
          <w:rtl w:val="0"/>
          <w:lang w:val="en-US" w:eastAsia="zh-CN" w:bidi="ar-SA"/>
        </w:rPr>
        <w:t>2.数字化赋能为抓手。</w:t>
      </w:r>
      <w:r>
        <w:rPr>
          <w:rFonts w:hint="eastAsia" w:ascii="仿宋_GB2312" w:hAnsi="仿宋_GB2312" w:eastAsia="仿宋_GB2312" w:cs="仿宋_GB2312"/>
          <w:b w:val="0"/>
          <w:bCs/>
          <w:sz w:val="32"/>
          <w:szCs w:val="32"/>
          <w:lang w:val="en-US" w:eastAsia="zh-CN"/>
        </w:rPr>
        <w:t>深入实施京西太平鼓等数字化项目，实现了京西太平鼓内容的全息化和无损化的矢量记录，推出非遗数字人IP“鼓小仙”，通过虚拟现实、互动展示等方式，进一步延展非遗保护内容；联合市场监管局探索实施非遗数字版权保护计划，为非遗传承创新提供坚实保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b w:val="0"/>
          <w:kern w:val="2"/>
          <w:sz w:val="32"/>
          <w:szCs w:val="32"/>
          <w:lang w:val="en-US" w:eastAsia="zh-CN" w:bidi="ar-SA"/>
        </w:rPr>
      </w:pPr>
      <w:r>
        <w:rPr>
          <w:rFonts w:hint="eastAsia" w:ascii="楷体" w:hAnsi="楷体" w:eastAsia="楷体" w:cs="楷体"/>
          <w:b w:val="0"/>
          <w:kern w:val="2"/>
          <w:sz w:val="32"/>
          <w:szCs w:val="32"/>
          <w:rtl w:val="0"/>
          <w:lang w:val="en-US" w:eastAsia="zh-CN" w:bidi="ar-SA"/>
        </w:rPr>
        <w:t>3.非遗+文旅深度融合。</w:t>
      </w:r>
      <w:r>
        <w:rPr>
          <w:rFonts w:hint="eastAsia" w:ascii="仿宋_GB2312" w:hAnsi="仿宋_GB2312" w:eastAsia="仿宋_GB2312" w:cs="仿宋_GB2312"/>
          <w:b w:val="0"/>
          <w:kern w:val="2"/>
          <w:sz w:val="32"/>
          <w:szCs w:val="32"/>
          <w:lang w:val="en-US" w:eastAsia="zh-CN" w:bidi="ar-SA"/>
        </w:rPr>
        <w:t>启动</w:t>
      </w:r>
      <w:r>
        <w:rPr>
          <w:rFonts w:hint="default" w:ascii="仿宋_GB2312" w:hAnsi="仿宋_GB2312" w:eastAsia="仿宋_GB2312" w:cs="仿宋_GB2312"/>
          <w:b w:val="0"/>
          <w:kern w:val="2"/>
          <w:sz w:val="32"/>
          <w:szCs w:val="32"/>
          <w:lang w:val="en-US" w:eastAsia="zh-CN" w:bidi="ar-SA"/>
        </w:rPr>
        <w:t>2025年“文化和自然遗产日”</w:t>
      </w:r>
      <w:r>
        <w:rPr>
          <w:rFonts w:hint="eastAsia" w:ascii="仿宋_GB2312" w:hAnsi="仿宋_GB2312" w:eastAsia="仿宋_GB2312" w:cs="仿宋_GB2312"/>
          <w:b w:val="0"/>
          <w:kern w:val="2"/>
          <w:sz w:val="32"/>
          <w:szCs w:val="32"/>
          <w:lang w:val="en-US" w:eastAsia="zh-CN" w:bidi="ar-SA"/>
        </w:rPr>
        <w:t>系列活动</w:t>
      </w:r>
      <w:r>
        <w:rPr>
          <w:rFonts w:hint="default" w:ascii="仿宋_GB2312" w:hAnsi="仿宋_GB2312" w:eastAsia="仿宋_GB2312" w:cs="仿宋_GB2312"/>
          <w:b w:val="0"/>
          <w:kern w:val="2"/>
          <w:sz w:val="32"/>
          <w:szCs w:val="32"/>
          <w:lang w:val="en-US" w:eastAsia="zh-CN" w:bidi="ar-SA"/>
        </w:rPr>
        <w:t>，聚焦“非遗+”模式，推动非遗</w:t>
      </w:r>
      <w:r>
        <w:rPr>
          <w:rFonts w:hint="eastAsia" w:ascii="仿宋_GB2312" w:hAnsi="仿宋_GB2312" w:eastAsia="仿宋_GB2312" w:cs="仿宋_GB2312"/>
          <w:b w:val="0"/>
          <w:kern w:val="2"/>
          <w:sz w:val="32"/>
          <w:szCs w:val="32"/>
          <w:lang w:val="en-US" w:eastAsia="zh-CN" w:bidi="ar-SA"/>
        </w:rPr>
        <w:t>研学、非遗中医药社区等工作落地实施，促进非遗</w:t>
      </w:r>
      <w:r>
        <w:rPr>
          <w:rFonts w:hint="default" w:ascii="仿宋_GB2312" w:hAnsi="仿宋_GB2312" w:eastAsia="仿宋_GB2312" w:cs="仿宋_GB2312"/>
          <w:b w:val="0"/>
          <w:kern w:val="2"/>
          <w:sz w:val="32"/>
          <w:szCs w:val="32"/>
          <w:lang w:val="en-US" w:eastAsia="zh-CN" w:bidi="ar-SA"/>
        </w:rPr>
        <w:t>与科技、旅游、教育、民生等领域融合发展，培育文化消费新动能。</w:t>
      </w:r>
    </w:p>
    <w:p>
      <w:pPr>
        <w:keepNext w:val="0"/>
        <w:keepLines w:val="0"/>
        <w:pageBreakBefore w:val="0"/>
        <w:numPr>
          <w:ilvl w:val="0"/>
          <w:numId w:val="1"/>
        </w:numPr>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下一步工作计划</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kern w:val="2"/>
          <w:sz w:val="32"/>
          <w:szCs w:val="32"/>
          <w:lang w:val="en-US" w:eastAsia="zh-CN" w:bidi="ar-SA"/>
        </w:rPr>
      </w:pPr>
      <w:r>
        <w:rPr>
          <w:rFonts w:hint="eastAsia" w:ascii="楷体" w:hAnsi="楷体" w:eastAsia="楷体" w:cs="楷体"/>
          <w:b w:val="0"/>
          <w:kern w:val="2"/>
          <w:sz w:val="32"/>
          <w:szCs w:val="32"/>
          <w:rtl w:val="0"/>
          <w:lang w:val="en-US" w:eastAsia="zh-CN" w:bidi="ar-SA"/>
        </w:rPr>
        <w:t>1.示范区创建。</w:t>
      </w:r>
      <w:r>
        <w:rPr>
          <w:rFonts w:hint="eastAsia" w:ascii="仿宋_GB2312" w:hAnsi="仿宋_GB2312" w:eastAsia="仿宋_GB2312" w:cs="仿宋_GB2312"/>
          <w:b w:val="0"/>
          <w:kern w:val="2"/>
          <w:sz w:val="32"/>
          <w:szCs w:val="32"/>
          <w:lang w:val="en-US" w:eastAsia="zh-CN" w:bidi="ar-SA"/>
        </w:rPr>
        <w:t>推进文体中心建设，重点研究运营模式，探索开展“艺术夜校”等，出台演艺新空间认定办法，挂牌2-3家区级演艺新空间；全面开展2025年度镇街文化中心效能评估；全力冲刺示范区创建。</w:t>
      </w:r>
    </w:p>
    <w:p>
      <w:pPr>
        <w:pStyle w:val="2"/>
        <w:rPr>
          <w:rFonts w:hint="default" w:ascii="楷体" w:hAnsi="楷体" w:eastAsia="楷体" w:cs="楷体"/>
          <w:b w:val="0"/>
          <w:kern w:val="2"/>
          <w:sz w:val="32"/>
          <w:szCs w:val="32"/>
          <w:rtl w:val="0"/>
          <w:lang w:val="en-US" w:eastAsia="zh-CN" w:bidi="ar-SA"/>
        </w:rPr>
      </w:pPr>
      <w:r>
        <w:rPr>
          <w:rFonts w:hint="eastAsia" w:ascii="楷体" w:hAnsi="楷体" w:eastAsia="楷体" w:cs="楷体"/>
          <w:b w:val="0"/>
          <w:kern w:val="2"/>
          <w:sz w:val="32"/>
          <w:szCs w:val="32"/>
          <w:rtl w:val="0"/>
          <w:lang w:val="en-US" w:eastAsia="zh-CN" w:bidi="ar-SA"/>
        </w:rPr>
        <w:t>2.群众文化活动供给。</w:t>
      </w:r>
      <w:r>
        <w:rPr>
          <w:rFonts w:hint="eastAsia" w:ascii="仿宋_GB2312" w:hAnsi="仿宋_GB2312" w:eastAsia="仿宋_GB2312" w:cs="仿宋_GB2312"/>
          <w:b w:val="0"/>
          <w:kern w:val="2"/>
          <w:sz w:val="32"/>
          <w:szCs w:val="32"/>
          <w:rtl w:val="0"/>
          <w:lang w:val="en-US" w:eastAsia="zh-CN" w:bidi="ar-SA"/>
        </w:rPr>
        <w:t>开展2025年度京西文化大篷车配送服务；以暑期、国庆、中秋、七夕、重阳等为重要节点，开展消夏活动、节庆日等群众文化活动；筹备举办永定河乡土文化节。</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CC"/>
    <w:family w:val="roman"/>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auto"/>
    <w:pitch w:val="default"/>
    <w:sig w:usb0="00000000" w:usb1="00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
    <w:altName w:val="方正楷体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FFECF05"/>
    <w:multiLevelType w:val="singleLevel"/>
    <w:tmpl w:val="7FFECF0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77A8"/>
    <w:rsid w:val="0010743F"/>
    <w:rsid w:val="004679C8"/>
    <w:rsid w:val="004A77A8"/>
    <w:rsid w:val="0093305A"/>
    <w:rsid w:val="0F844CC3"/>
    <w:rsid w:val="0FEBB431"/>
    <w:rsid w:val="1FBB9C5B"/>
    <w:rsid w:val="1FFD0EE8"/>
    <w:rsid w:val="1FFE0FA9"/>
    <w:rsid w:val="26CD4CBE"/>
    <w:rsid w:val="26EFC824"/>
    <w:rsid w:val="29FD53CC"/>
    <w:rsid w:val="2B5EF479"/>
    <w:rsid w:val="2BD76142"/>
    <w:rsid w:val="2FBB27BA"/>
    <w:rsid w:val="2FFFAF92"/>
    <w:rsid w:val="336F7BA4"/>
    <w:rsid w:val="33FFA36C"/>
    <w:rsid w:val="34DDC323"/>
    <w:rsid w:val="372B013D"/>
    <w:rsid w:val="3BF40C6E"/>
    <w:rsid w:val="3BFBE7FA"/>
    <w:rsid w:val="3CEF75AE"/>
    <w:rsid w:val="3EBBA4C3"/>
    <w:rsid w:val="3EDF49DF"/>
    <w:rsid w:val="3F1A885D"/>
    <w:rsid w:val="47FF92D8"/>
    <w:rsid w:val="4E7FE490"/>
    <w:rsid w:val="4EDD115F"/>
    <w:rsid w:val="51F4F5EB"/>
    <w:rsid w:val="577DE7C4"/>
    <w:rsid w:val="59BE0067"/>
    <w:rsid w:val="5D7C6F4A"/>
    <w:rsid w:val="5FA7426A"/>
    <w:rsid w:val="5FAFB9AA"/>
    <w:rsid w:val="67FD4A29"/>
    <w:rsid w:val="6BF03D64"/>
    <w:rsid w:val="6C5F3507"/>
    <w:rsid w:val="6F579886"/>
    <w:rsid w:val="769EF387"/>
    <w:rsid w:val="79A716E5"/>
    <w:rsid w:val="7C87D72F"/>
    <w:rsid w:val="7CEDDCFC"/>
    <w:rsid w:val="7D7C6688"/>
    <w:rsid w:val="7EBD6684"/>
    <w:rsid w:val="7EDE47BF"/>
    <w:rsid w:val="7F538D7E"/>
    <w:rsid w:val="7F5BDECB"/>
    <w:rsid w:val="7F7DFB49"/>
    <w:rsid w:val="7F8E18BD"/>
    <w:rsid w:val="7FFF015C"/>
    <w:rsid w:val="7FFF2072"/>
    <w:rsid w:val="8CE3016F"/>
    <w:rsid w:val="8FBEA6F6"/>
    <w:rsid w:val="A5F69CA0"/>
    <w:rsid w:val="A9FB0F28"/>
    <w:rsid w:val="B3FE8335"/>
    <w:rsid w:val="B5F30F36"/>
    <w:rsid w:val="B6FF03AE"/>
    <w:rsid w:val="B97F2ED9"/>
    <w:rsid w:val="BE3FAA4B"/>
    <w:rsid w:val="BE4F1047"/>
    <w:rsid w:val="BF7AB67C"/>
    <w:rsid w:val="BFFBA28A"/>
    <w:rsid w:val="C7BB863B"/>
    <w:rsid w:val="C7D63F42"/>
    <w:rsid w:val="C7EF0E7A"/>
    <w:rsid w:val="D2F73845"/>
    <w:rsid w:val="D6CF5912"/>
    <w:rsid w:val="DA7FF63B"/>
    <w:rsid w:val="DAFB7558"/>
    <w:rsid w:val="DBF8B56A"/>
    <w:rsid w:val="DD3EA54B"/>
    <w:rsid w:val="DE6E2DCF"/>
    <w:rsid w:val="DEDE7A03"/>
    <w:rsid w:val="DFFB1AFA"/>
    <w:rsid w:val="E3D13916"/>
    <w:rsid w:val="E79E328C"/>
    <w:rsid w:val="E7FC02B1"/>
    <w:rsid w:val="E9D7C49E"/>
    <w:rsid w:val="EA7C49D1"/>
    <w:rsid w:val="EB7D64E5"/>
    <w:rsid w:val="ED4F6BB3"/>
    <w:rsid w:val="EEFD9DCB"/>
    <w:rsid w:val="EF5723B3"/>
    <w:rsid w:val="EF78F8E0"/>
    <w:rsid w:val="EFA29A37"/>
    <w:rsid w:val="EFF92F35"/>
    <w:rsid w:val="EFF9340C"/>
    <w:rsid w:val="F3BF143E"/>
    <w:rsid w:val="F3FD5D32"/>
    <w:rsid w:val="F6FFEEA8"/>
    <w:rsid w:val="F7F2B8F5"/>
    <w:rsid w:val="FBF52708"/>
    <w:rsid w:val="FDBDA4BD"/>
    <w:rsid w:val="FEBB08B2"/>
    <w:rsid w:val="FEFB7CD1"/>
    <w:rsid w:val="FFB64353"/>
    <w:rsid w:val="FFF5F73C"/>
    <w:rsid w:val="FFFFA920"/>
    <w:rsid w:val="FFFFAE38"/>
    <w:rsid w:val="FFFFDF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qFormat="1" w:unhideWhenUsed="0" w:uiPriority="0" w:semiHidden="0" w:name="toc 8"/>
    <w:lsdException w:uiPriority="39" w:name="toc 9"/>
    <w:lsdException w:qFormat="1" w:unhideWhenUsed="0" w:uiPriority="0" w:semiHidden="0"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qFormat/>
    <w:uiPriority w:val="9"/>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5">
    <w:name w:val="heading 2"/>
    <w:basedOn w:val="1"/>
    <w:next w:val="1"/>
    <w:semiHidden/>
    <w:unhideWhenUsed/>
    <w:qFormat/>
    <w:uiPriority w:val="9"/>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3"/>
    <w:qFormat/>
    <w:uiPriority w:val="0"/>
    <w:pPr>
      <w:tabs>
        <w:tab w:val="left" w:pos="547"/>
        <w:tab w:val="left" w:pos="1080"/>
      </w:tabs>
      <w:spacing w:line="480" w:lineRule="atLeast"/>
      <w:ind w:firstLine="547"/>
    </w:pPr>
    <w:rPr>
      <w:rFonts w:ascii="Times New Roman" w:hAnsi="Times New Roman"/>
      <w:kern w:val="0"/>
      <w:sz w:val="24"/>
      <w:szCs w:val="24"/>
    </w:rPr>
  </w:style>
  <w:style w:type="paragraph" w:styleId="3">
    <w:name w:val="toc 8"/>
    <w:next w:val="1"/>
    <w:qFormat/>
    <w:uiPriority w:val="0"/>
    <w:pPr>
      <w:wordWrap w:val="0"/>
      <w:ind w:left="2550"/>
      <w:jc w:val="both"/>
    </w:pPr>
    <w:rPr>
      <w:rFonts w:ascii="Times New Roman" w:hAnsi="Times New Roman" w:eastAsia="宋体" w:cs="Times New Roman"/>
      <w:sz w:val="21"/>
      <w:szCs w:val="22"/>
      <w:lang w:val="en-US" w:eastAsia="zh-CN" w:bidi="ar-SA"/>
    </w:rPr>
  </w:style>
  <w:style w:type="paragraph" w:styleId="6">
    <w:name w:val="Body Text Indent"/>
    <w:basedOn w:val="1"/>
    <w:qFormat/>
    <w:uiPriority w:val="0"/>
    <w:pPr>
      <w:spacing w:line="460" w:lineRule="exact"/>
      <w:ind w:firstLine="640" w:firstLineChars="200"/>
    </w:pPr>
    <w:rPr>
      <w:rFonts w:ascii="仿宋_GB2312" w:hAnsi="Times New Roman" w:eastAsia="仿宋_GB2312" w:cs="Times New Roman"/>
      <w:sz w:val="32"/>
    </w:rPr>
  </w:style>
  <w:style w:type="paragraph" w:styleId="7">
    <w:name w:val="footer"/>
    <w:basedOn w:val="1"/>
    <w:link w:val="17"/>
    <w:semiHidden/>
    <w:unhideWhenUsed/>
    <w:qFormat/>
    <w:uiPriority w:val="99"/>
    <w:pPr>
      <w:tabs>
        <w:tab w:val="center" w:pos="4153"/>
        <w:tab w:val="right" w:pos="8306"/>
      </w:tabs>
      <w:snapToGrid w:val="0"/>
      <w:jc w:val="left"/>
    </w:pPr>
    <w:rPr>
      <w:sz w:val="18"/>
      <w:szCs w:val="18"/>
    </w:rPr>
  </w:style>
  <w:style w:type="paragraph" w:styleId="8">
    <w:name w:val="header"/>
    <w:basedOn w:val="1"/>
    <w:link w:val="16"/>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10">
    <w:name w:val="Body Text First Indent 2"/>
    <w:basedOn w:val="6"/>
    <w:qFormat/>
    <w:uiPriority w:val="0"/>
    <w:pPr>
      <w:spacing w:after="120"/>
      <w:ind w:left="420" w:leftChars="200" w:firstLine="420" w:firstLineChars="200"/>
    </w:pPr>
    <w:rPr>
      <w:rFonts w:ascii="Times New Roman" w:hAnsi="Times New Roman" w:eastAsia="宋体" w:cs="Times New Roman"/>
      <w:sz w:val="21"/>
      <w:szCs w:val="24"/>
    </w:rPr>
  </w:style>
  <w:style w:type="character" w:styleId="13">
    <w:name w:val="Strong"/>
    <w:basedOn w:val="12"/>
    <w:qFormat/>
    <w:uiPriority w:val="0"/>
    <w:rPr>
      <w:b/>
    </w:rPr>
  </w:style>
  <w:style w:type="character" w:styleId="14">
    <w:name w:val="Emphasis"/>
    <w:basedOn w:val="12"/>
    <w:qFormat/>
    <w:uiPriority w:val="20"/>
    <w:rPr>
      <w:i/>
    </w:rPr>
  </w:style>
  <w:style w:type="character" w:styleId="15">
    <w:name w:val="Hyperlink"/>
    <w:basedOn w:val="12"/>
    <w:semiHidden/>
    <w:unhideWhenUsed/>
    <w:qFormat/>
    <w:uiPriority w:val="99"/>
    <w:rPr>
      <w:color w:val="0000FF"/>
      <w:u w:val="single"/>
    </w:rPr>
  </w:style>
  <w:style w:type="character" w:customStyle="1" w:styleId="16">
    <w:name w:val="页眉 Char"/>
    <w:basedOn w:val="12"/>
    <w:link w:val="8"/>
    <w:semiHidden/>
    <w:qFormat/>
    <w:uiPriority w:val="99"/>
    <w:rPr>
      <w:sz w:val="18"/>
      <w:szCs w:val="18"/>
    </w:rPr>
  </w:style>
  <w:style w:type="character" w:customStyle="1" w:styleId="17">
    <w:name w:val="页脚 Char"/>
    <w:basedOn w:val="12"/>
    <w:link w:val="7"/>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1583</Words>
  <Characters>1657</Characters>
  <Lines>3</Lines>
  <Paragraphs>1</Paragraphs>
  <TotalTime>76</TotalTime>
  <ScaleCrop>false</ScaleCrop>
  <LinksUpToDate>false</LinksUpToDate>
  <CharactersWithSpaces>1662</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2023-04-01T15:54:00Z</dcterms:created>
  <dc:creator>wenwei1</dc:creator>
  <cp:lastModifiedBy>sugon</cp:lastModifiedBy>
  <dcterms:modified xsi:type="dcterms:W3CDTF">2025-08-04T14:30:16Z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KSOTemplateDocerSaveRecord">
    <vt:lpwstr>eyJoZGlkIjoiYjk5ODM0YmMxOWJiYWQyNDU4MGIzYWRmYTA0ZmI5NDciLCJ1c2VySWQiOiIzNzU4MDMzMDMifQ==</vt:lpwstr>
  </property>
  <property fmtid="{D5CDD505-2E9C-101B-9397-08002B2CF9AE}" pid="4" name="ICV">
    <vt:lpwstr>A73E0063F0234103AF964B66DC6713C2_12</vt:lpwstr>
  </property>
</Properties>
</file>