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lang w:eastAsia="zh-CN"/>
        </w:rPr>
      </w:pPr>
      <w:bookmarkStart w:id="0" w:name="_GoBack"/>
      <w:bookmarkEnd w:id="0"/>
      <w:r>
        <w:rPr>
          <w:rFonts w:hint="eastAsia" w:ascii="方正小标宋简体" w:hAnsi="方正小标宋简体" w:eastAsia="方正小标宋简体" w:cs="方正小标宋简体"/>
          <w:sz w:val="44"/>
          <w:szCs w:val="44"/>
          <w:highlight w:val="none"/>
          <w:lang w:val="en-US" w:eastAsia="zh-CN"/>
        </w:rPr>
        <w:t>北京市门头沟区科学技术和信息化局</w:t>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lang w:val="en-US" w:eastAsia="zh-CN"/>
        </w:rPr>
      </w:pPr>
      <w:r>
        <w:rPr>
          <w:rFonts w:hint="eastAsia" w:ascii="仿宋" w:hAnsi="仿宋" w:eastAsia="仿宋" w:cs="仿宋"/>
          <w:spacing w:val="8"/>
          <w:kern w:val="0"/>
          <w:sz w:val="32"/>
          <w:szCs w:val="32"/>
          <w:lang w:val="en-US" w:eastAsia="zh-CN"/>
        </w:rPr>
        <w:t>2023年，区科技和信息化局以习近平新时代中国特色社会主义思想为指导，深入贯彻《政府信息公开条例》，坚持遵循“以公开为常态、不公开为例外”原则，在党的二十大精神指引下，不断提高政务公开的针对性、规范性和实效性，增强政府信息公开工作质效。</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spacing w:val="8"/>
          <w:kern w:val="0"/>
          <w:sz w:val="32"/>
          <w:szCs w:val="32"/>
          <w:lang w:val="en-US" w:eastAsia="zh-CN"/>
        </w:rPr>
      </w:pPr>
      <w:r>
        <w:rPr>
          <w:rFonts w:hint="eastAsia" w:ascii="楷体" w:hAnsi="楷体" w:eastAsia="楷体" w:cs="楷体"/>
          <w:spacing w:val="8"/>
          <w:kern w:val="0"/>
          <w:sz w:val="32"/>
          <w:szCs w:val="32"/>
          <w:lang w:val="en-US" w:eastAsia="zh-CN"/>
        </w:rPr>
        <w:t>（一）组织领导情况</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 w:hAnsi="仿宋" w:eastAsia="仿宋" w:cs="仿宋"/>
          <w:spacing w:val="8"/>
          <w:kern w:val="0"/>
          <w:sz w:val="32"/>
          <w:szCs w:val="32"/>
          <w:lang w:val="en-US" w:eastAsia="zh-CN"/>
        </w:rPr>
      </w:pPr>
      <w:r>
        <w:rPr>
          <w:rFonts w:hint="eastAsia" w:ascii="仿宋" w:hAnsi="仿宋" w:eastAsia="仿宋" w:cs="仿宋"/>
          <w:spacing w:val="8"/>
          <w:kern w:val="0"/>
          <w:sz w:val="32"/>
          <w:szCs w:val="32"/>
          <w:lang w:val="en-US" w:eastAsia="zh-CN"/>
        </w:rPr>
        <w:t>区科技和信息化局主要领导高度重视信息公开工作，明确局办公室作为政府信息责任科室，负责主动公开政府信息工作的组织、协调、指导和督促，局办公室</w:t>
      </w:r>
      <w:r>
        <w:rPr>
          <w:rFonts w:hint="default" w:ascii="仿宋" w:hAnsi="仿宋" w:eastAsia="仿宋" w:cs="仿宋"/>
          <w:spacing w:val="8"/>
          <w:kern w:val="0"/>
          <w:sz w:val="32"/>
          <w:szCs w:val="32"/>
          <w:lang w:val="en-US" w:eastAsia="zh-CN"/>
        </w:rPr>
        <w:t>严格对照本单位编制发布的政府信息主动公开全清单，</w:t>
      </w:r>
      <w:r>
        <w:rPr>
          <w:rFonts w:hint="eastAsia" w:ascii="仿宋" w:hAnsi="仿宋" w:eastAsia="仿宋" w:cs="仿宋"/>
          <w:spacing w:val="8"/>
          <w:kern w:val="0"/>
          <w:sz w:val="32"/>
          <w:szCs w:val="32"/>
          <w:lang w:val="en-US" w:eastAsia="zh-CN"/>
        </w:rPr>
        <w:t>安排兼职信息公开工作人员1名，保障信息公开工作顺利开展。</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spacing w:val="8"/>
          <w:kern w:val="0"/>
          <w:sz w:val="32"/>
          <w:szCs w:val="32"/>
          <w:lang w:val="en-US" w:eastAsia="zh-CN"/>
        </w:rPr>
      </w:pPr>
      <w:r>
        <w:rPr>
          <w:rFonts w:hint="eastAsia" w:ascii="楷体" w:hAnsi="楷体" w:eastAsia="楷体" w:cs="楷体"/>
          <w:spacing w:val="8"/>
          <w:kern w:val="0"/>
          <w:sz w:val="32"/>
          <w:szCs w:val="32"/>
          <w:lang w:val="en-US" w:eastAsia="zh-CN"/>
        </w:rPr>
        <w:t>（二）信息公开情况</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 w:hAnsi="仿宋" w:eastAsia="仿宋" w:cs="仿宋"/>
          <w:spacing w:val="8"/>
          <w:kern w:val="0"/>
          <w:sz w:val="32"/>
          <w:szCs w:val="32"/>
          <w:lang w:val="en-US" w:eastAsia="zh-CN"/>
        </w:rPr>
      </w:pPr>
      <w:r>
        <w:rPr>
          <w:rFonts w:hint="eastAsia" w:ascii="仿宋" w:hAnsi="仿宋" w:eastAsia="仿宋" w:cs="仿宋"/>
          <w:spacing w:val="8"/>
          <w:kern w:val="0"/>
          <w:sz w:val="32"/>
          <w:szCs w:val="32"/>
          <w:lang w:val="en-US" w:eastAsia="zh-CN"/>
        </w:rPr>
        <w:t>严格落实市、区两级关于政务公开工作决策部署，做好信息公开工作。将本单位行政执法信息迁移至“门头沟区行政执法公示”专栏中，并更新公开信息数据确保无误；针对本单位机构设置、领导介绍等信息做到及时更新。2023年主动公开政府信息475条，包括微信公众号公开政府信息数316条，门户网站公开政府信息数159条，其中政策文件及政策解读2条，相关工作总结计划3条，主动公开财政预算决算、“三公经费”和行政经费信息数14条。全年共收到政府信息公开申请3件均已办结。2023年本单位没有发生与政府信息公开有关的行政复议、行政诉讼及与政府信息公开有关的举报。</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spacing w:val="8"/>
          <w:kern w:val="0"/>
          <w:sz w:val="32"/>
          <w:szCs w:val="32"/>
          <w:lang w:val="en-US" w:eastAsia="zh-CN"/>
        </w:rPr>
      </w:pPr>
      <w:r>
        <w:rPr>
          <w:rFonts w:hint="eastAsia" w:ascii="楷体" w:hAnsi="楷体" w:eastAsia="楷体" w:cs="楷体"/>
          <w:spacing w:val="8"/>
          <w:kern w:val="0"/>
          <w:sz w:val="32"/>
          <w:szCs w:val="32"/>
          <w:lang w:eastAsia="zh-CN"/>
        </w:rPr>
        <w:t>（</w:t>
      </w:r>
      <w:r>
        <w:rPr>
          <w:rFonts w:hint="eastAsia" w:ascii="楷体" w:hAnsi="楷体" w:eastAsia="楷体" w:cs="楷体"/>
          <w:spacing w:val="8"/>
          <w:kern w:val="0"/>
          <w:sz w:val="32"/>
          <w:szCs w:val="32"/>
          <w:lang w:val="en-US" w:eastAsia="zh-CN"/>
        </w:rPr>
        <w:t>三</w:t>
      </w:r>
      <w:r>
        <w:rPr>
          <w:rFonts w:hint="eastAsia" w:ascii="楷体" w:hAnsi="楷体" w:eastAsia="楷体" w:cs="楷体"/>
          <w:spacing w:val="8"/>
          <w:kern w:val="0"/>
          <w:sz w:val="32"/>
          <w:szCs w:val="32"/>
          <w:lang w:eastAsia="zh-CN"/>
        </w:rPr>
        <w:t>）</w:t>
      </w:r>
      <w:r>
        <w:rPr>
          <w:rFonts w:hint="eastAsia" w:ascii="楷体" w:hAnsi="楷体" w:eastAsia="楷体" w:cs="楷体"/>
          <w:spacing w:val="8"/>
          <w:kern w:val="0"/>
          <w:sz w:val="32"/>
          <w:szCs w:val="32"/>
        </w:rPr>
        <w:t>政府信息管理</w:t>
      </w:r>
      <w:r>
        <w:rPr>
          <w:rFonts w:hint="eastAsia" w:ascii="楷体" w:hAnsi="楷体" w:eastAsia="楷体" w:cs="楷体"/>
          <w:spacing w:val="8"/>
          <w:kern w:val="0"/>
          <w:sz w:val="32"/>
          <w:szCs w:val="32"/>
          <w:lang w:val="en-US" w:eastAsia="zh-CN"/>
        </w:rPr>
        <w:t>情况</w:t>
      </w:r>
      <w:r>
        <w:rPr>
          <w:rFonts w:hint="eastAsia" w:ascii="楷体" w:hAnsi="楷体" w:eastAsia="楷体" w:cs="楷体"/>
          <w:spacing w:val="8"/>
          <w:kern w:val="0"/>
          <w:sz w:val="32"/>
          <w:szCs w:val="32"/>
        </w:rPr>
        <w:t>平台建设</w:t>
      </w:r>
      <w:r>
        <w:rPr>
          <w:rFonts w:hint="eastAsia" w:ascii="楷体" w:hAnsi="楷体" w:eastAsia="楷体" w:cs="楷体"/>
          <w:spacing w:val="8"/>
          <w:kern w:val="0"/>
          <w:sz w:val="32"/>
          <w:szCs w:val="32"/>
          <w:lang w:val="en-US" w:eastAsia="zh-CN"/>
        </w:rPr>
        <w:t>情况</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rPr>
        <w:t>我局积极借助门头沟区网站</w:t>
      </w:r>
      <w:r>
        <w:rPr>
          <w:rFonts w:hint="eastAsia" w:ascii="仿宋" w:hAnsi="仿宋" w:eastAsia="仿宋" w:cs="仿宋"/>
          <w:spacing w:val="8"/>
          <w:kern w:val="0"/>
          <w:sz w:val="32"/>
          <w:szCs w:val="32"/>
          <w:lang w:val="en-US" w:eastAsia="zh-CN"/>
        </w:rPr>
        <w:t>及微信公众号“门头沟科信”等平台载体公开本单位信息，及时更新门户网站信息内容，提高信息公开质效，保障群众通过网络平台获取信息的权力。此外，我局严格规范政府信息公开流程，经科室负责人、主管领导（主要领导）审核后公开，确保政府信息发布的准确性、完整性、权威性。</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spacing w:val="8"/>
          <w:kern w:val="0"/>
          <w:sz w:val="32"/>
          <w:szCs w:val="32"/>
          <w:lang w:val="en-US" w:eastAsia="zh-CN"/>
        </w:rPr>
      </w:pPr>
      <w:r>
        <w:rPr>
          <w:rFonts w:hint="eastAsia" w:ascii="楷体" w:hAnsi="楷体" w:eastAsia="楷体" w:cs="楷体"/>
          <w:spacing w:val="8"/>
          <w:kern w:val="0"/>
          <w:sz w:val="32"/>
          <w:szCs w:val="32"/>
          <w:lang w:eastAsia="zh-CN"/>
        </w:rPr>
        <w:t>（</w:t>
      </w:r>
      <w:r>
        <w:rPr>
          <w:rFonts w:hint="eastAsia" w:ascii="楷体" w:hAnsi="楷体" w:eastAsia="楷体" w:cs="楷体"/>
          <w:spacing w:val="8"/>
          <w:kern w:val="0"/>
          <w:sz w:val="32"/>
          <w:szCs w:val="32"/>
          <w:lang w:val="en-US" w:eastAsia="zh-CN"/>
        </w:rPr>
        <w:t>四</w:t>
      </w:r>
      <w:r>
        <w:rPr>
          <w:rFonts w:hint="eastAsia" w:ascii="楷体" w:hAnsi="楷体" w:eastAsia="楷体" w:cs="楷体"/>
          <w:spacing w:val="8"/>
          <w:kern w:val="0"/>
          <w:sz w:val="32"/>
          <w:szCs w:val="32"/>
          <w:lang w:eastAsia="zh-CN"/>
        </w:rPr>
        <w:t>）</w:t>
      </w:r>
      <w:r>
        <w:rPr>
          <w:rFonts w:hint="eastAsia" w:ascii="楷体" w:hAnsi="楷体" w:eastAsia="楷体" w:cs="楷体"/>
          <w:spacing w:val="8"/>
          <w:kern w:val="0"/>
          <w:sz w:val="32"/>
          <w:szCs w:val="32"/>
        </w:rPr>
        <w:t>教育培训</w:t>
      </w:r>
      <w:r>
        <w:rPr>
          <w:rFonts w:hint="eastAsia" w:ascii="楷体" w:hAnsi="楷体" w:eastAsia="楷体" w:cs="楷体"/>
          <w:spacing w:val="8"/>
          <w:kern w:val="0"/>
          <w:sz w:val="32"/>
          <w:szCs w:val="32"/>
          <w:lang w:val="en-US" w:eastAsia="zh-CN"/>
        </w:rPr>
        <w:t>及</w:t>
      </w:r>
      <w:r>
        <w:rPr>
          <w:rFonts w:hint="eastAsia" w:ascii="楷体" w:hAnsi="楷体" w:eastAsia="楷体" w:cs="楷体"/>
          <w:spacing w:val="8"/>
          <w:kern w:val="0"/>
          <w:sz w:val="32"/>
          <w:szCs w:val="32"/>
        </w:rPr>
        <w:t>监督保障</w:t>
      </w:r>
      <w:r>
        <w:rPr>
          <w:rFonts w:hint="eastAsia" w:ascii="楷体" w:hAnsi="楷体" w:eastAsia="楷体" w:cs="楷体"/>
          <w:spacing w:val="8"/>
          <w:kern w:val="0"/>
          <w:sz w:val="32"/>
          <w:szCs w:val="32"/>
          <w:lang w:val="en-US" w:eastAsia="zh-CN"/>
        </w:rPr>
        <w:t>情况</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lang w:val="en-US" w:eastAsia="zh-CN"/>
        </w:rPr>
        <w:t>区科技和信息化局积极组织全局干部职工开展信息公开培训，明确信息采集报送要求、信息发布审核流程，保障信息公开工作顺利开展。同时，严格落实“谁主管、谁负责、谁公开、谁审查、先审查、后公开”和“涉密信息不上网、上网信息不涉密”的原则，开展保密审查，加强监督管理，确保政务公开内容无涉及国家秘密和内部敏感事项。</w:t>
      </w:r>
    </w:p>
    <w:p>
      <w:pPr>
        <w:numPr>
          <w:ilvl w:val="0"/>
          <w:numId w:val="1"/>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3"/>
        <w:rPr>
          <w:rFonts w:hint="eastAsia"/>
        </w:rPr>
      </w:pPr>
    </w:p>
    <w:p>
      <w:pPr>
        <w:pStyle w:val="3"/>
        <w:numPr>
          <w:ilvl w:val="0"/>
          <w:numId w:val="0"/>
        </w:numPr>
        <w:rPr>
          <w:rFonts w:hint="eastAsia"/>
        </w:rPr>
      </w:pPr>
    </w:p>
    <w:tbl>
      <w:tblPr>
        <w:tblStyle w:val="4"/>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1</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5</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hAnsi="Times New Roman" w:cs="宋体" w:eastAsiaTheme="minorEastAsia"/>
                <w:sz w:val="24"/>
                <w:lang w:val="en-US" w:eastAsia="zh-CN"/>
              </w:rPr>
            </w:pPr>
            <w:r>
              <w:rPr>
                <w:rFonts w:hint="eastAsia"/>
                <w:lang w:val="en-US" w:eastAsia="zh-CN"/>
              </w:rPr>
              <w:t>0</w:t>
            </w:r>
          </w:p>
        </w:tc>
      </w:tr>
    </w:tbl>
    <w:p>
      <w:pPr>
        <w:numPr>
          <w:ilvl w:val="0"/>
          <w:numId w:val="0"/>
        </w:numPr>
        <w:spacing w:line="560" w:lineRule="exact"/>
        <w:ind w:left="630" w:leftChars="0"/>
        <w:rPr>
          <w:rFonts w:hint="eastAsia" w:ascii="黑体" w:hAnsi="宋体" w:eastAsia="黑体" w:cs="黑体"/>
          <w:sz w:val="32"/>
          <w:szCs w:val="32"/>
        </w:rPr>
      </w:pPr>
      <w:r>
        <w:rPr>
          <w:rFonts w:hint="eastAsia" w:ascii="黑体" w:hAnsi="宋体" w:eastAsia="黑体" w:cs="黑体"/>
          <w:sz w:val="32"/>
          <w:szCs w:val="32"/>
          <w:lang w:val="en-US" w:eastAsia="zh-CN" w:bidi="ar"/>
        </w:rPr>
        <w:t>三、</w:t>
      </w:r>
      <w:r>
        <w:rPr>
          <w:rFonts w:hint="eastAsia" w:ascii="黑体" w:hAnsi="宋体" w:eastAsia="黑体" w:cs="黑体"/>
          <w:sz w:val="32"/>
          <w:szCs w:val="32"/>
          <w:lang w:bidi="ar"/>
        </w:rPr>
        <w:t>收到和处理政府信息公开申请情况</w:t>
      </w:r>
    </w:p>
    <w:p>
      <w:pPr>
        <w:ind w:left="629"/>
        <w:rPr>
          <w:rFonts w:hint="eastAsia" w:ascii="黑体" w:hAnsi="宋体" w:eastAsia="黑体" w:cs="黑体"/>
          <w:sz w:val="24"/>
        </w:rP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Theme="minorHAnsi" w:hAnsiTheme="minorHAnsi" w:eastAsiaTheme="minorEastAsia" w:cstheme="minorBidi"/>
                <w:kern w:val="2"/>
                <w:sz w:val="21"/>
                <w:szCs w:val="24"/>
                <w:lang w:val="en-US" w:eastAsia="zh-CN" w:bidi="ar-SA"/>
              </w:rPr>
            </w:pPr>
            <w:r>
              <w:rPr>
                <w:rFonts w:hint="eastAsia" w:cs="Calibri"/>
                <w:kern w:val="0"/>
                <w:sz w:val="20"/>
                <w:szCs w:val="20"/>
                <w:lang w:val="en-US" w:eastAsia="zh-CN" w:bidi="ar"/>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4"/>
                <w:lang w:val="en-US" w:eastAsia="zh-CN"/>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cs="Calibri"/>
                <w:kern w:val="0"/>
                <w:sz w:val="20"/>
                <w:szCs w:val="20"/>
                <w:lang w:val="en-US" w:eastAsia="zh-CN" w:bidi="ar"/>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cs="Calibri"/>
                <w:kern w:val="0"/>
                <w:sz w:val="20"/>
                <w:szCs w:val="20"/>
                <w:lang w:val="en-US" w:eastAsia="zh-CN" w:bidi="ar"/>
              </w:rPr>
              <w:t>0</w:t>
            </w:r>
          </w:p>
        </w:tc>
        <w:tc>
          <w:tcPr>
            <w:tcW w:w="689"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cs="Calibri"/>
                <w:kern w:val="0"/>
                <w:sz w:val="20"/>
                <w:szCs w:val="20"/>
                <w:lang w:val="en-US" w:eastAsia="zh-CN" w:bidi="ar"/>
              </w:rPr>
              <w:t>0</w:t>
            </w:r>
          </w:p>
        </w:tc>
      </w:tr>
    </w:tbl>
    <w:p>
      <w:pPr>
        <w:pStyle w:val="3"/>
        <w:widowControl/>
        <w:ind w:left="420" w:leftChars="200"/>
      </w:pPr>
    </w:p>
    <w:p>
      <w:pPr>
        <w:pStyle w:val="3"/>
        <w:widowControl/>
        <w:ind w:left="420" w:leftChars="200"/>
      </w:pPr>
    </w:p>
    <w:p>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四、政府信息公开行政复议、行政诉讼情况</w:t>
      </w:r>
    </w:p>
    <w:p>
      <w:pPr>
        <w:widowControl/>
        <w:jc w:val="cente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jc w:val="center"/>
              <w:rPr>
                <w:rFonts w:hint="eastAsia" w:ascii="宋体" w:hAnsi="Times New Roman" w:cs="宋体"/>
                <w:sz w:val="24"/>
              </w:rPr>
            </w:pPr>
            <w:r>
              <w:rPr>
                <w:rFonts w:hint="eastAsia" w:ascii="黑体" w:hAnsi="宋体" w:eastAsia="黑体" w:cs="黑体"/>
                <w:kern w:val="0"/>
                <w:sz w:val="20"/>
                <w:szCs w:val="20"/>
                <w:lang w:val="en-US" w:eastAsia="zh-CN" w:bidi="ar"/>
              </w:rPr>
              <w:t>0</w:t>
            </w:r>
          </w:p>
        </w:tc>
      </w:tr>
    </w:tbl>
    <w:p>
      <w:pPr>
        <w:widowControl/>
        <w:jc w:val="left"/>
      </w:pPr>
    </w:p>
    <w:p>
      <w:pPr>
        <w:widowControl/>
        <w:spacing w:line="560" w:lineRule="exact"/>
        <w:ind w:firstLine="672" w:firstLineChars="200"/>
        <w:jc w:val="left"/>
        <w:rPr>
          <w:rFonts w:hint="eastAsia" w:ascii="宋体" w:hAnsi="宋体" w:cs="宋体"/>
          <w:spacing w:val="8"/>
          <w:kern w:val="0"/>
          <w:sz w:val="24"/>
        </w:rPr>
      </w:pPr>
      <w:r>
        <w:rPr>
          <w:rFonts w:hint="eastAsia" w:ascii="黑体" w:hAnsi="宋体" w:eastAsia="黑体" w:cs="宋体"/>
          <w:spacing w:val="8"/>
          <w:kern w:val="0"/>
          <w:sz w:val="32"/>
          <w:szCs w:val="32"/>
          <w:lang w:bidi="ar"/>
        </w:rPr>
        <w:t>五、存在的主要问题及改进情况</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lang w:val="en-US" w:eastAsia="zh-CN"/>
        </w:rPr>
        <w:t>2023年虽然在全局的共同努力下，我局政府信息公开工作取得了一些成绩，但是也同时暴露出一些问题和不足。</w:t>
      </w:r>
      <w:r>
        <w:rPr>
          <w:rFonts w:hint="eastAsia" w:ascii="楷体" w:hAnsi="楷体" w:eastAsia="楷体" w:cs="楷体"/>
          <w:spacing w:val="8"/>
          <w:kern w:val="0"/>
          <w:sz w:val="32"/>
          <w:szCs w:val="32"/>
          <w:lang w:val="en-US" w:eastAsia="zh-CN"/>
        </w:rPr>
        <w:t>一是信息公开的时效性、准确性还有待提升。</w:t>
      </w:r>
      <w:r>
        <w:rPr>
          <w:rFonts w:hint="eastAsia" w:ascii="仿宋" w:hAnsi="仿宋" w:eastAsia="仿宋" w:cs="仿宋"/>
          <w:spacing w:val="8"/>
          <w:kern w:val="0"/>
          <w:sz w:val="32"/>
          <w:szCs w:val="32"/>
          <w:lang w:val="en-US" w:eastAsia="zh-CN"/>
        </w:rPr>
        <w:t>在信息公开工作中，存在个别公开信息不能及时公开及个别公开信息中存在文字错误的现象。</w:t>
      </w:r>
      <w:r>
        <w:rPr>
          <w:rFonts w:hint="eastAsia" w:ascii="楷体" w:hAnsi="楷体" w:eastAsia="楷体" w:cs="楷体"/>
          <w:spacing w:val="8"/>
          <w:kern w:val="0"/>
          <w:sz w:val="32"/>
          <w:szCs w:val="32"/>
          <w:lang w:val="en-US" w:eastAsia="zh-CN"/>
        </w:rPr>
        <w:t>二是信息公开载体利用不充分。</w:t>
      </w:r>
      <w:r>
        <w:rPr>
          <w:rFonts w:hint="eastAsia" w:ascii="仿宋" w:hAnsi="仿宋" w:eastAsia="仿宋" w:cs="仿宋"/>
          <w:spacing w:val="8"/>
          <w:kern w:val="0"/>
          <w:sz w:val="32"/>
          <w:szCs w:val="32"/>
          <w:lang w:val="en-US" w:eastAsia="zh-CN"/>
        </w:rPr>
        <w:t>没有充分发挥政府门户网站及政府信息公开专栏第一平台的作用，需继续加强应用，并不断完善微信公众号等新媒体载体建设，积极创新公开形式。</w:t>
      </w:r>
    </w:p>
    <w:p>
      <w:pPr>
        <w:widowControl/>
        <w:spacing w:line="560" w:lineRule="exact"/>
        <w:ind w:firstLine="675"/>
        <w:jc w:val="left"/>
        <w:rPr>
          <w:rFonts w:hint="eastAsia" w:ascii="宋体" w:hAnsi="宋体" w:cs="宋体"/>
          <w:spacing w:val="8"/>
          <w:kern w:val="0"/>
          <w:sz w:val="32"/>
          <w:szCs w:val="32"/>
        </w:rPr>
      </w:pPr>
      <w:r>
        <w:rPr>
          <w:rFonts w:hint="eastAsia" w:ascii="黑体" w:hAnsi="宋体" w:eastAsia="黑体" w:cs="宋体"/>
          <w:spacing w:val="8"/>
          <w:kern w:val="0"/>
          <w:sz w:val="32"/>
          <w:szCs w:val="32"/>
          <w:lang w:bidi="ar"/>
        </w:rPr>
        <w:t>六、其他需要报告的事项</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lang w:eastAsia="zh-CN"/>
        </w:rPr>
      </w:pPr>
      <w:r>
        <w:rPr>
          <w:rFonts w:hint="eastAsia" w:ascii="仿宋" w:hAnsi="仿宋" w:eastAsia="仿宋" w:cs="仿宋"/>
          <w:spacing w:val="8"/>
          <w:kern w:val="0"/>
          <w:sz w:val="32"/>
          <w:szCs w:val="32"/>
        </w:rPr>
        <w:t>依据《政府信息公开信息处理费管理办法》(国办函〔2020〕109号)，2023年度</w:t>
      </w:r>
      <w:r>
        <w:rPr>
          <w:rFonts w:hint="eastAsia" w:ascii="仿宋" w:hAnsi="仿宋" w:eastAsia="仿宋" w:cs="仿宋"/>
          <w:spacing w:val="8"/>
          <w:kern w:val="0"/>
          <w:sz w:val="32"/>
          <w:szCs w:val="32"/>
          <w:lang w:val="en-US" w:eastAsia="zh-CN"/>
        </w:rPr>
        <w:t>北京市门头沟区科学技术和信息化局</w:t>
      </w:r>
      <w:r>
        <w:rPr>
          <w:rFonts w:hint="eastAsia" w:ascii="仿宋" w:hAnsi="仿宋" w:eastAsia="仿宋" w:cs="仿宋"/>
          <w:spacing w:val="8"/>
          <w:kern w:val="0"/>
          <w:sz w:val="32"/>
          <w:szCs w:val="32"/>
        </w:rPr>
        <w:t>收取信息处理费情况为：发出收费通知的件数为</w:t>
      </w:r>
      <w:r>
        <w:rPr>
          <w:rFonts w:hint="eastAsia" w:ascii="仿宋" w:hAnsi="仿宋" w:eastAsia="仿宋" w:cs="仿宋"/>
          <w:spacing w:val="8"/>
          <w:kern w:val="0"/>
          <w:sz w:val="32"/>
          <w:szCs w:val="32"/>
          <w:lang w:val="en-US" w:eastAsia="zh-CN"/>
        </w:rPr>
        <w:t>0</w:t>
      </w:r>
      <w:r>
        <w:rPr>
          <w:rFonts w:hint="eastAsia" w:ascii="仿宋" w:hAnsi="仿宋" w:eastAsia="仿宋" w:cs="仿宋"/>
          <w:spacing w:val="8"/>
          <w:kern w:val="0"/>
          <w:sz w:val="32"/>
          <w:szCs w:val="32"/>
        </w:rPr>
        <w:t>件，总金额为</w:t>
      </w:r>
      <w:r>
        <w:rPr>
          <w:rFonts w:hint="eastAsia" w:ascii="仿宋" w:hAnsi="仿宋" w:eastAsia="仿宋" w:cs="仿宋"/>
          <w:spacing w:val="8"/>
          <w:kern w:val="0"/>
          <w:sz w:val="32"/>
          <w:szCs w:val="32"/>
          <w:lang w:val="en-US" w:eastAsia="zh-CN"/>
        </w:rPr>
        <w:t>0</w:t>
      </w:r>
      <w:r>
        <w:rPr>
          <w:rFonts w:hint="eastAsia" w:ascii="仿宋" w:hAnsi="仿宋" w:eastAsia="仿宋" w:cs="仿宋"/>
          <w:spacing w:val="8"/>
          <w:kern w:val="0"/>
          <w:sz w:val="32"/>
          <w:szCs w:val="32"/>
        </w:rPr>
        <w:t>元，实际收取的总金额为</w:t>
      </w:r>
      <w:r>
        <w:rPr>
          <w:rFonts w:hint="eastAsia" w:ascii="仿宋" w:hAnsi="仿宋" w:eastAsia="仿宋" w:cs="仿宋"/>
          <w:spacing w:val="8"/>
          <w:kern w:val="0"/>
          <w:sz w:val="32"/>
          <w:szCs w:val="32"/>
          <w:lang w:val="en-US" w:eastAsia="zh-CN"/>
        </w:rPr>
        <w:t>0</w:t>
      </w:r>
      <w:r>
        <w:rPr>
          <w:rFonts w:hint="eastAsia" w:ascii="仿宋" w:hAnsi="仿宋" w:eastAsia="仿宋" w:cs="仿宋"/>
          <w:spacing w:val="8"/>
          <w:kern w:val="0"/>
          <w:sz w:val="32"/>
          <w:szCs w:val="32"/>
        </w:rPr>
        <w:t>元</w:t>
      </w:r>
      <w:r>
        <w:rPr>
          <w:rFonts w:hint="eastAsia" w:ascii="仿宋" w:hAnsi="仿宋" w:eastAsia="仿宋" w:cs="仿宋"/>
          <w:spacing w:val="8"/>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 w:hAnsi="仿宋" w:eastAsia="仿宋" w:cs="仿宋"/>
          <w:spacing w:val="8"/>
          <w:kern w:val="0"/>
          <w:sz w:val="32"/>
          <w:szCs w:val="32"/>
          <w:lang w:val="en-US" w:eastAsia="zh-CN"/>
        </w:rPr>
      </w:pPr>
      <w:r>
        <w:rPr>
          <w:rFonts w:hint="eastAsia" w:ascii="仿宋" w:hAnsi="仿宋" w:eastAsia="仿宋" w:cs="仿宋"/>
          <w:spacing w:val="8"/>
          <w:kern w:val="0"/>
          <w:sz w:val="32"/>
          <w:szCs w:val="32"/>
          <w:lang w:val="en-US" w:eastAsia="zh-CN"/>
        </w:rPr>
        <w:t>北京市门头沟区人民政府网站网址为https://www.bjmtg.gov.cn/，如需了解更多政府信息，请登录查询。</w:t>
      </w:r>
    </w:p>
    <w:p>
      <w:pPr>
        <w:widowControl/>
        <w:spacing w:line="560" w:lineRule="exact"/>
        <w:ind w:firstLine="672"/>
        <w:jc w:val="left"/>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F2B911-9303-47F9-9D5C-9858330158D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6057555-C3FE-4910-806B-9C86A8B68F61}"/>
  </w:font>
  <w:font w:name="方正小标宋简体">
    <w:panose1 w:val="02000000000000000000"/>
    <w:charset w:val="86"/>
    <w:family w:val="auto"/>
    <w:pitch w:val="default"/>
    <w:sig w:usb0="00000001" w:usb1="08000000" w:usb2="00000000" w:usb3="00000000" w:csb0="00040000" w:csb1="00000000"/>
    <w:embedRegular r:id="rId3" w:fontKey="{EFB2C6E9-0D39-4E0B-AB75-8069F027C2D3}"/>
  </w:font>
  <w:font w:name="微软雅黑">
    <w:panose1 w:val="020B0503020204020204"/>
    <w:charset w:val="86"/>
    <w:family w:val="auto"/>
    <w:pitch w:val="default"/>
    <w:sig w:usb0="80000287" w:usb1="2ACF3C50" w:usb2="00000016" w:usb3="00000000" w:csb0="0004001F" w:csb1="00000000"/>
    <w:embedRegular r:id="rId4" w:fontKey="{5443B163-47AE-4FF9-A4E4-A85BE6227501}"/>
  </w:font>
  <w:font w:name="仿宋">
    <w:panose1 w:val="02010609060101010101"/>
    <w:charset w:val="86"/>
    <w:family w:val="auto"/>
    <w:pitch w:val="default"/>
    <w:sig w:usb0="800002BF" w:usb1="38CF7CFA" w:usb2="00000016" w:usb3="00000000" w:csb0="00040001" w:csb1="00000000"/>
    <w:embedRegular r:id="rId5" w:fontKey="{CE9DA0F2-9103-41AA-8E2F-6D1B430D1DE6}"/>
  </w:font>
  <w:font w:name="楷体">
    <w:panose1 w:val="02010609060101010101"/>
    <w:charset w:val="86"/>
    <w:family w:val="modern"/>
    <w:pitch w:val="default"/>
    <w:sig w:usb0="800002BF" w:usb1="38CF7CFA" w:usb2="00000016" w:usb3="00000000" w:csb0="00040001" w:csb1="00000000"/>
    <w:embedRegular r:id="rId6" w:fontKey="{A3841EB9-E277-4F93-98BB-73A4D0BBDB7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68086409"/>
    <w:rsid w:val="05165087"/>
    <w:rsid w:val="0A051C23"/>
    <w:rsid w:val="238A4457"/>
    <w:rsid w:val="2458007D"/>
    <w:rsid w:val="2AFF3299"/>
    <w:rsid w:val="66AA5901"/>
    <w:rsid w:val="67B42DC1"/>
    <w:rsid w:val="68086409"/>
    <w:rsid w:val="69840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Ascii" w:hAnsiTheme="minorAsci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2023-12-29T06:15:00Z</dcterms:created>
  <dc:creator>bgs</dc:creator>
  <cp:lastModifiedBy>Mint1398171869</cp:lastModifiedBy>
  <dcterms:modified xsi:type="dcterms:W3CDTF">2024-01-23T08:21:49Z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0A6014F899C94B22BF1889A26B83C060_13</vt:lpwstr>
  </property>
</Properties>
</file>