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E7CFE8">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kern w:val="2"/>
          <w:sz w:val="44"/>
          <w:szCs w:val="44"/>
          <w:lang w:val="en-US" w:eastAsia="zh-CN" w:bidi="ar"/>
        </w:rPr>
      </w:pPr>
      <w:r>
        <w:rPr>
          <w:rFonts w:hint="eastAsia" w:ascii="方正小标宋简体" w:hAnsi="方正小标宋简体" w:eastAsia="方正小标宋简体" w:cs="方正小标宋简体"/>
          <w:kern w:val="2"/>
          <w:sz w:val="44"/>
          <w:szCs w:val="44"/>
          <w:lang w:val="en-US" w:eastAsia="zh-CN" w:bidi="ar"/>
        </w:rPr>
        <w:t>北京市门头沟区住房和城乡建设委员会</w:t>
      </w:r>
    </w:p>
    <w:p w14:paraId="4458CD5B">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kern w:val="2"/>
          <w:sz w:val="44"/>
          <w:szCs w:val="44"/>
          <w:lang w:val="en-US" w:eastAsia="zh-CN" w:bidi="ar"/>
        </w:rPr>
      </w:pPr>
      <w:r>
        <w:rPr>
          <w:rFonts w:hint="eastAsia" w:ascii="方正小标宋简体" w:hAnsi="方正小标宋简体" w:eastAsia="方正小标宋简体" w:cs="方正小标宋简体"/>
          <w:kern w:val="2"/>
          <w:sz w:val="44"/>
          <w:szCs w:val="44"/>
          <w:lang w:val="en-US" w:eastAsia="zh-CN" w:bidi="ar"/>
        </w:rPr>
        <w:t>2024年政府信息公开工作年度报告</w:t>
      </w:r>
    </w:p>
    <w:p w14:paraId="4805C4C4">
      <w:pPr>
        <w:keepNext w:val="0"/>
        <w:keepLines w:val="0"/>
        <w:widowControl w:val="0"/>
        <w:suppressLineNumbers w:val="0"/>
        <w:spacing w:before="0" w:beforeAutospacing="0" w:after="0" w:afterAutospacing="0" w:line="560" w:lineRule="exact"/>
        <w:ind w:right="0"/>
        <w:jc w:val="both"/>
        <w:rPr>
          <w:rFonts w:hint="eastAsia" w:ascii="仿宋_GB2312" w:hAnsi="宋体" w:eastAsia="仿宋_GB2312" w:cs="宋体"/>
          <w:spacing w:val="8"/>
          <w:kern w:val="0"/>
          <w:sz w:val="32"/>
          <w:szCs w:val="32"/>
          <w:lang w:val="en-US" w:eastAsia="zh-CN" w:bidi="ar"/>
        </w:rPr>
      </w:pPr>
    </w:p>
    <w:p w14:paraId="1C2893D7">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依据《中华人民共和国政府信息公开条例》(以下简称《政府信息公开条例》)第五十条规定，编制本报告。</w:t>
      </w:r>
    </w:p>
    <w:p w14:paraId="6C473B46">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一、总体情况</w:t>
      </w:r>
    </w:p>
    <w:p w14:paraId="4C79419A">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2024年，区住房城乡建设委坚持以习近平新时代中国特色社会主义思想为指导，认真学习贯彻党的</w:t>
      </w:r>
      <w:bookmarkStart w:id="0" w:name="_GoBack"/>
      <w:bookmarkEnd w:id="0"/>
      <w:r>
        <w:rPr>
          <w:rFonts w:hint="eastAsia" w:ascii="仿宋_GB2312" w:hAnsi="宋体" w:eastAsia="仿宋_GB2312" w:cs="宋体"/>
          <w:spacing w:val="8"/>
          <w:kern w:val="0"/>
          <w:sz w:val="32"/>
          <w:szCs w:val="32"/>
          <w:lang w:val="en-US" w:eastAsia="zh-CN"/>
        </w:rPr>
        <w:t>二十大精神，严格贯彻落实《政府信息公开条例》，把政府信息公开工作摆在我委工作的重要位置，切实加强组织领导，做到办公室及相关责任科室各司其职，认真落实工作责任，严把信息公开内容及质量，不断增强政务公开实效，及时回应群众关注关切，持续提升政府信息公开水平。</w:t>
      </w:r>
    </w:p>
    <w:p w14:paraId="233818DE">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（一）主动公开情况</w:t>
      </w:r>
    </w:p>
    <w:p w14:paraId="11E03CB1">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围绕区住房城乡建设委主责主业，聚焦住房保障、行政许可、建设工程等方面，通过政府门户网站</w:t>
      </w:r>
      <w:r>
        <w:rPr>
          <w:rFonts w:hint="default" w:ascii="仿宋_GB2312" w:hAnsi="宋体" w:eastAsia="仿宋_GB2312" w:cs="宋体"/>
          <w:spacing w:val="8"/>
          <w:kern w:val="0"/>
          <w:sz w:val="32"/>
          <w:szCs w:val="32"/>
          <w:lang w:val="en-US" w:eastAsia="zh-CN"/>
        </w:rPr>
        <w:t>主动公开政府信息数</w:t>
      </w:r>
      <w:r>
        <w:rPr>
          <w:rFonts w:hint="eastAsia" w:ascii="仿宋_GB2312" w:hAnsi="宋体" w:eastAsia="仿宋_GB2312" w:cs="宋体"/>
          <w:spacing w:val="8"/>
          <w:kern w:val="0"/>
          <w:sz w:val="32"/>
          <w:szCs w:val="32"/>
          <w:lang w:val="en-US" w:eastAsia="zh-CN"/>
        </w:rPr>
        <w:t>235</w:t>
      </w:r>
      <w:r>
        <w:rPr>
          <w:rFonts w:hint="default" w:ascii="仿宋_GB2312" w:hAnsi="宋体" w:eastAsia="仿宋_GB2312" w:cs="宋体"/>
          <w:spacing w:val="8"/>
          <w:kern w:val="0"/>
          <w:sz w:val="32"/>
          <w:szCs w:val="32"/>
          <w:lang w:val="en-US" w:eastAsia="zh-CN"/>
        </w:rPr>
        <w:t>件</w:t>
      </w:r>
      <w:r>
        <w:rPr>
          <w:rFonts w:hint="eastAsia" w:ascii="仿宋_GB2312" w:hAnsi="宋体" w:eastAsia="仿宋_GB2312" w:cs="宋体"/>
          <w:spacing w:val="8"/>
          <w:kern w:val="0"/>
          <w:sz w:val="32"/>
          <w:szCs w:val="32"/>
          <w:lang w:val="en-US" w:eastAsia="zh-CN"/>
        </w:rPr>
        <w:t>，</w:t>
      </w:r>
      <w:r>
        <w:rPr>
          <w:rFonts w:hint="default" w:ascii="仿宋_GB2312" w:hAnsi="宋体" w:eastAsia="仿宋_GB2312" w:cs="宋体"/>
          <w:spacing w:val="8"/>
          <w:kern w:val="0"/>
          <w:sz w:val="32"/>
          <w:szCs w:val="32"/>
          <w:lang w:val="en-US" w:eastAsia="zh-CN"/>
        </w:rPr>
        <w:t>其中，规划计划类</w:t>
      </w:r>
      <w:r>
        <w:rPr>
          <w:rFonts w:hint="eastAsia" w:ascii="仿宋_GB2312" w:hAnsi="宋体" w:eastAsia="仿宋_GB2312" w:cs="宋体"/>
          <w:spacing w:val="8"/>
          <w:kern w:val="0"/>
          <w:sz w:val="32"/>
          <w:szCs w:val="32"/>
          <w:lang w:val="en-US" w:eastAsia="zh-CN"/>
        </w:rPr>
        <w:t>7</w:t>
      </w:r>
      <w:r>
        <w:rPr>
          <w:rFonts w:hint="default" w:ascii="仿宋_GB2312" w:hAnsi="宋体" w:eastAsia="仿宋_GB2312" w:cs="宋体"/>
          <w:spacing w:val="8"/>
          <w:kern w:val="0"/>
          <w:sz w:val="32"/>
          <w:szCs w:val="32"/>
          <w:lang w:val="en-US" w:eastAsia="zh-CN"/>
        </w:rPr>
        <w:t>件，业务动态</w:t>
      </w:r>
      <w:r>
        <w:rPr>
          <w:rFonts w:hint="eastAsia" w:ascii="仿宋_GB2312" w:hAnsi="宋体" w:eastAsia="仿宋_GB2312" w:cs="宋体"/>
          <w:spacing w:val="8"/>
          <w:kern w:val="0"/>
          <w:sz w:val="32"/>
          <w:szCs w:val="32"/>
          <w:lang w:val="en-US" w:eastAsia="zh-CN"/>
        </w:rPr>
        <w:t>70</w:t>
      </w:r>
      <w:r>
        <w:rPr>
          <w:rFonts w:hint="default" w:ascii="仿宋_GB2312" w:hAnsi="宋体" w:eastAsia="仿宋_GB2312" w:cs="宋体"/>
          <w:spacing w:val="8"/>
          <w:kern w:val="0"/>
          <w:sz w:val="32"/>
          <w:szCs w:val="32"/>
          <w:lang w:val="en-US" w:eastAsia="zh-CN"/>
        </w:rPr>
        <w:t>件,重点领域</w:t>
      </w:r>
      <w:r>
        <w:rPr>
          <w:rFonts w:hint="eastAsia" w:ascii="仿宋_GB2312" w:hAnsi="宋体" w:eastAsia="仿宋_GB2312" w:cs="宋体"/>
          <w:spacing w:val="8"/>
          <w:kern w:val="0"/>
          <w:sz w:val="32"/>
          <w:szCs w:val="32"/>
          <w:lang w:val="en-US" w:eastAsia="zh-CN"/>
        </w:rPr>
        <w:t>72</w:t>
      </w:r>
      <w:r>
        <w:rPr>
          <w:rFonts w:hint="default" w:ascii="仿宋_GB2312" w:hAnsi="宋体" w:eastAsia="仿宋_GB2312" w:cs="宋体"/>
          <w:spacing w:val="8"/>
          <w:kern w:val="0"/>
          <w:sz w:val="32"/>
          <w:szCs w:val="32"/>
          <w:lang w:val="en-US" w:eastAsia="zh-CN"/>
        </w:rPr>
        <w:t>件，行政执法信息</w:t>
      </w:r>
      <w:r>
        <w:rPr>
          <w:rFonts w:hint="eastAsia" w:ascii="仿宋_GB2312" w:hAnsi="宋体" w:eastAsia="仿宋_GB2312" w:cs="宋体"/>
          <w:spacing w:val="8"/>
          <w:kern w:val="0"/>
          <w:sz w:val="32"/>
          <w:szCs w:val="32"/>
          <w:lang w:val="en-US" w:eastAsia="zh-CN"/>
        </w:rPr>
        <w:t>77</w:t>
      </w:r>
      <w:r>
        <w:rPr>
          <w:rFonts w:hint="default" w:ascii="仿宋_GB2312" w:hAnsi="宋体" w:eastAsia="仿宋_GB2312" w:cs="宋体"/>
          <w:spacing w:val="8"/>
          <w:kern w:val="0"/>
          <w:sz w:val="32"/>
          <w:szCs w:val="32"/>
          <w:lang w:val="en-US" w:eastAsia="zh-CN"/>
        </w:rPr>
        <w:t>件，</w:t>
      </w:r>
      <w:r>
        <w:rPr>
          <w:rFonts w:hint="eastAsia" w:ascii="仿宋_GB2312" w:hAnsi="宋体" w:eastAsia="仿宋_GB2312" w:cs="宋体"/>
          <w:spacing w:val="8"/>
          <w:kern w:val="0"/>
          <w:sz w:val="32"/>
          <w:szCs w:val="32"/>
          <w:lang w:val="en-US" w:eastAsia="zh-CN"/>
        </w:rPr>
        <w:t>专题专栏2件，</w:t>
      </w:r>
      <w:r>
        <w:rPr>
          <w:rFonts w:hint="default" w:ascii="仿宋_GB2312" w:hAnsi="宋体" w:eastAsia="仿宋_GB2312" w:cs="宋体"/>
          <w:spacing w:val="8"/>
          <w:kern w:val="0"/>
          <w:sz w:val="32"/>
          <w:szCs w:val="32"/>
          <w:lang w:val="en-US" w:eastAsia="zh-CN"/>
        </w:rPr>
        <w:t>政务</w:t>
      </w:r>
      <w:r>
        <w:rPr>
          <w:rFonts w:hint="eastAsia" w:ascii="仿宋_GB2312" w:hAnsi="宋体" w:eastAsia="仿宋_GB2312" w:cs="宋体"/>
          <w:spacing w:val="8"/>
          <w:kern w:val="0"/>
          <w:sz w:val="32"/>
          <w:szCs w:val="32"/>
          <w:lang w:val="en-US" w:eastAsia="zh-CN"/>
        </w:rPr>
        <w:t>公开6</w:t>
      </w:r>
      <w:r>
        <w:rPr>
          <w:rFonts w:hint="default" w:ascii="仿宋_GB2312" w:hAnsi="宋体" w:eastAsia="仿宋_GB2312" w:cs="宋体"/>
          <w:spacing w:val="8"/>
          <w:kern w:val="0"/>
          <w:sz w:val="32"/>
          <w:szCs w:val="32"/>
          <w:lang w:val="en-US" w:eastAsia="zh-CN"/>
        </w:rPr>
        <w:t>件，法治政府建设年度情况报告1件。</w:t>
      </w:r>
    </w:p>
    <w:p w14:paraId="3DA8F55E">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（二）依申请公开情况</w:t>
      </w:r>
    </w:p>
    <w:p w14:paraId="20A13888">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严格落实《政府信息公开条例》相关要求，做到受理申请、规范办理、按期答复。</w:t>
      </w:r>
      <w:r>
        <w:rPr>
          <w:rFonts w:hint="default" w:ascii="仿宋_GB2312" w:hAnsi="宋体" w:eastAsia="仿宋_GB2312" w:cs="宋体"/>
          <w:spacing w:val="8"/>
          <w:kern w:val="0"/>
          <w:sz w:val="32"/>
          <w:szCs w:val="32"/>
          <w:lang w:val="en-US" w:eastAsia="zh-CN"/>
        </w:rPr>
        <w:t>20</w:t>
      </w:r>
      <w:r>
        <w:rPr>
          <w:rFonts w:hint="eastAsia" w:ascii="仿宋_GB2312" w:hAnsi="宋体" w:eastAsia="仿宋_GB2312" w:cs="宋体"/>
          <w:spacing w:val="8"/>
          <w:kern w:val="0"/>
          <w:sz w:val="32"/>
          <w:szCs w:val="32"/>
          <w:lang w:val="en-US" w:eastAsia="zh-CN"/>
        </w:rPr>
        <w:t>24</w:t>
      </w:r>
      <w:r>
        <w:rPr>
          <w:rFonts w:hint="default" w:ascii="仿宋_GB2312" w:hAnsi="宋体" w:eastAsia="仿宋_GB2312" w:cs="宋体"/>
          <w:spacing w:val="8"/>
          <w:kern w:val="0"/>
          <w:sz w:val="32"/>
          <w:szCs w:val="32"/>
          <w:lang w:val="en-US" w:eastAsia="zh-CN"/>
        </w:rPr>
        <w:t>年度共受理政府信息公开申请</w:t>
      </w:r>
      <w:r>
        <w:rPr>
          <w:rFonts w:hint="eastAsia" w:ascii="仿宋_GB2312" w:hAnsi="宋体" w:eastAsia="仿宋_GB2312" w:cs="宋体"/>
          <w:spacing w:val="8"/>
          <w:kern w:val="0"/>
          <w:sz w:val="32"/>
          <w:szCs w:val="32"/>
          <w:lang w:val="en-US" w:eastAsia="zh-CN"/>
        </w:rPr>
        <w:t>80</w:t>
      </w:r>
      <w:r>
        <w:rPr>
          <w:rFonts w:hint="default" w:ascii="仿宋_GB2312" w:hAnsi="宋体" w:eastAsia="仿宋_GB2312" w:cs="宋体"/>
          <w:spacing w:val="8"/>
          <w:kern w:val="0"/>
          <w:sz w:val="32"/>
          <w:szCs w:val="32"/>
          <w:lang w:val="en-US" w:eastAsia="zh-CN"/>
        </w:rPr>
        <w:t>件</w:t>
      </w:r>
      <w:r>
        <w:rPr>
          <w:rFonts w:hint="eastAsia" w:ascii="仿宋_GB2312" w:hAnsi="宋体" w:eastAsia="仿宋_GB2312" w:cs="宋体"/>
          <w:spacing w:val="8"/>
          <w:kern w:val="0"/>
          <w:sz w:val="32"/>
          <w:szCs w:val="32"/>
          <w:lang w:val="en-US" w:eastAsia="zh-CN"/>
        </w:rPr>
        <w:t>。</w:t>
      </w:r>
      <w:r>
        <w:rPr>
          <w:rFonts w:hint="default" w:ascii="仿宋_GB2312" w:hAnsi="宋体" w:eastAsia="仿宋_GB2312" w:cs="宋体"/>
          <w:spacing w:val="8"/>
          <w:kern w:val="0"/>
          <w:sz w:val="32"/>
          <w:szCs w:val="32"/>
          <w:lang w:val="en-US" w:eastAsia="zh-CN"/>
        </w:rPr>
        <w:t>从申请的方式来看，当面申请</w:t>
      </w:r>
      <w:r>
        <w:rPr>
          <w:rFonts w:hint="eastAsia" w:ascii="仿宋_GB2312" w:hAnsi="宋体" w:eastAsia="仿宋_GB2312" w:cs="宋体"/>
          <w:spacing w:val="8"/>
          <w:kern w:val="0"/>
          <w:sz w:val="32"/>
          <w:szCs w:val="32"/>
          <w:lang w:val="en-US" w:eastAsia="zh-CN"/>
        </w:rPr>
        <w:t>40</w:t>
      </w:r>
      <w:r>
        <w:rPr>
          <w:rFonts w:hint="default" w:ascii="仿宋_GB2312" w:hAnsi="宋体" w:eastAsia="仿宋_GB2312" w:cs="宋体"/>
          <w:spacing w:val="8"/>
          <w:kern w:val="0"/>
          <w:sz w:val="32"/>
          <w:szCs w:val="32"/>
          <w:lang w:val="en-US" w:eastAsia="zh-CN"/>
        </w:rPr>
        <w:t>件，约占总数的</w:t>
      </w:r>
      <w:r>
        <w:rPr>
          <w:rFonts w:hint="eastAsia" w:ascii="仿宋_GB2312" w:hAnsi="宋体" w:eastAsia="仿宋_GB2312" w:cs="宋体"/>
          <w:spacing w:val="8"/>
          <w:kern w:val="0"/>
          <w:sz w:val="32"/>
          <w:szCs w:val="32"/>
          <w:lang w:val="en-US" w:eastAsia="zh-CN"/>
        </w:rPr>
        <w:t>50</w:t>
      </w:r>
      <w:r>
        <w:rPr>
          <w:rFonts w:hint="default" w:ascii="仿宋_GB2312" w:hAnsi="宋体" w:eastAsia="仿宋_GB2312" w:cs="宋体"/>
          <w:spacing w:val="8"/>
          <w:kern w:val="0"/>
          <w:sz w:val="32"/>
          <w:szCs w:val="32"/>
          <w:lang w:val="en-US" w:eastAsia="zh-CN"/>
        </w:rPr>
        <w:t>%；信函申请</w:t>
      </w:r>
      <w:r>
        <w:rPr>
          <w:rFonts w:hint="eastAsia" w:ascii="仿宋_GB2312" w:hAnsi="宋体" w:eastAsia="仿宋_GB2312" w:cs="宋体"/>
          <w:spacing w:val="8"/>
          <w:kern w:val="0"/>
          <w:sz w:val="32"/>
          <w:szCs w:val="32"/>
          <w:lang w:val="en-US" w:eastAsia="zh-CN"/>
        </w:rPr>
        <w:t>30</w:t>
      </w:r>
      <w:r>
        <w:rPr>
          <w:rFonts w:hint="default" w:ascii="仿宋_GB2312" w:hAnsi="宋体" w:eastAsia="仿宋_GB2312" w:cs="宋体"/>
          <w:spacing w:val="8"/>
          <w:kern w:val="0"/>
          <w:sz w:val="32"/>
          <w:szCs w:val="32"/>
          <w:lang w:val="en-US" w:eastAsia="zh-CN"/>
        </w:rPr>
        <w:t>件，约占总数的</w:t>
      </w:r>
      <w:r>
        <w:rPr>
          <w:rFonts w:hint="eastAsia" w:ascii="仿宋_GB2312" w:hAnsi="宋体" w:eastAsia="仿宋_GB2312" w:cs="宋体"/>
          <w:spacing w:val="8"/>
          <w:kern w:val="0"/>
          <w:sz w:val="32"/>
          <w:szCs w:val="32"/>
          <w:lang w:val="en-US" w:eastAsia="zh-CN"/>
        </w:rPr>
        <w:t>37.5</w:t>
      </w:r>
      <w:r>
        <w:rPr>
          <w:rFonts w:hint="default" w:ascii="仿宋_GB2312" w:hAnsi="宋体" w:eastAsia="仿宋_GB2312" w:cs="宋体"/>
          <w:spacing w:val="8"/>
          <w:kern w:val="0"/>
          <w:sz w:val="32"/>
          <w:szCs w:val="32"/>
          <w:lang w:val="en-US" w:eastAsia="zh-CN"/>
        </w:rPr>
        <w:t>%，电子邮件申请</w:t>
      </w:r>
      <w:r>
        <w:rPr>
          <w:rFonts w:hint="eastAsia" w:ascii="仿宋_GB2312" w:hAnsi="宋体" w:eastAsia="仿宋_GB2312" w:cs="宋体"/>
          <w:spacing w:val="8"/>
          <w:kern w:val="0"/>
          <w:sz w:val="32"/>
          <w:szCs w:val="32"/>
          <w:lang w:val="en-US" w:eastAsia="zh-CN"/>
        </w:rPr>
        <w:t>10</w:t>
      </w:r>
      <w:r>
        <w:rPr>
          <w:rFonts w:hint="default" w:ascii="仿宋_GB2312" w:hAnsi="宋体" w:eastAsia="仿宋_GB2312" w:cs="宋体"/>
          <w:spacing w:val="8"/>
          <w:kern w:val="0"/>
          <w:sz w:val="32"/>
          <w:szCs w:val="32"/>
          <w:lang w:val="en-US" w:eastAsia="zh-CN"/>
        </w:rPr>
        <w:t>件，约占总数的</w:t>
      </w:r>
      <w:r>
        <w:rPr>
          <w:rFonts w:hint="eastAsia" w:ascii="仿宋_GB2312" w:hAnsi="宋体" w:eastAsia="仿宋_GB2312" w:cs="宋体"/>
          <w:spacing w:val="8"/>
          <w:kern w:val="0"/>
          <w:sz w:val="32"/>
          <w:szCs w:val="32"/>
          <w:lang w:val="en-US" w:eastAsia="zh-CN"/>
        </w:rPr>
        <w:t>12.5</w:t>
      </w:r>
      <w:r>
        <w:rPr>
          <w:rFonts w:hint="default" w:ascii="仿宋_GB2312" w:hAnsi="宋体" w:eastAsia="仿宋_GB2312" w:cs="宋体"/>
          <w:spacing w:val="8"/>
          <w:kern w:val="0"/>
          <w:sz w:val="32"/>
          <w:szCs w:val="32"/>
          <w:lang w:val="en-US" w:eastAsia="zh-CN"/>
        </w:rPr>
        <w:t>%。</w:t>
      </w:r>
    </w:p>
    <w:p w14:paraId="1F1EDDD6">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（三）政府信息管理</w:t>
      </w:r>
    </w:p>
    <w:p w14:paraId="579DC06F">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一是严格落实政府信息审查公开审查机制，业务科室对公开的政府信息进行逐条逐级审核，确保公开的信息不涉密，涉密的信息不公开，确保信息的安全准确，办公室依据业务科室上报的的答复意见和相关材料进行发布。二是规范依申请公开办理流程，形成受理、登记、审核、办理、答复、送达、归档等工作闭环，保证政府信息公开的合规性、及时性、准确性。</w:t>
      </w:r>
    </w:p>
    <w:p w14:paraId="02D88B0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（四）教育培训</w:t>
      </w:r>
    </w:p>
    <w:p w14:paraId="1E248488">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强化学习意识，提高工作水平。各部门信息公开工作人员持续深化对《政府信息公开条例》的理解，全力做好政府信息公开工作，提升信息公开工作质效。</w:t>
      </w:r>
    </w:p>
    <w:p w14:paraId="2E58652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（五）监督保障</w:t>
      </w:r>
    </w:p>
    <w:p w14:paraId="65654FFF">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认真</w:t>
      </w:r>
      <w:r>
        <w:rPr>
          <w:rFonts w:hint="default" w:ascii="仿宋_GB2312" w:hAnsi="宋体" w:eastAsia="仿宋_GB2312" w:cs="宋体"/>
          <w:spacing w:val="8"/>
          <w:kern w:val="0"/>
          <w:sz w:val="32"/>
          <w:szCs w:val="32"/>
          <w:lang w:val="en-US" w:eastAsia="zh-CN"/>
        </w:rPr>
        <w:t>贯彻落实《政府信息公开条例》，</w:t>
      </w:r>
      <w:r>
        <w:rPr>
          <w:rFonts w:hint="eastAsia" w:ascii="仿宋_GB2312" w:hAnsi="宋体" w:eastAsia="仿宋_GB2312" w:cs="宋体"/>
          <w:spacing w:val="8"/>
          <w:kern w:val="0"/>
          <w:sz w:val="32"/>
          <w:szCs w:val="32"/>
          <w:lang w:val="en-US" w:eastAsia="zh-CN"/>
        </w:rPr>
        <w:t>坚持公开为常态，不公开为例外，遵循公正、公平、合法、便民的原则，加强组织领导，压实工作职责，主动接受监督，做好问题整改。</w:t>
      </w:r>
    </w:p>
    <w:p w14:paraId="209AE1A2">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二、主动公开政府信息情况</w:t>
      </w:r>
    </w:p>
    <w:tbl>
      <w:tblPr>
        <w:tblStyle w:val="7"/>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5"/>
        <w:gridCol w:w="2435"/>
        <w:gridCol w:w="2435"/>
        <w:gridCol w:w="2435"/>
      </w:tblGrid>
      <w:tr w14:paraId="7D441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14:paraId="6CE1A001">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第二十条第（一）项</w:t>
            </w:r>
          </w:p>
        </w:tc>
      </w:tr>
      <w:tr w14:paraId="2AF21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0B8786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07F05C08">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12F821A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4B940B0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14:paraId="333D9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196C75F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3C76276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eastAsiaTheme="minorEastAsia" w:cstheme="minorEastAsia"/>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70E1833E">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eastAsiaTheme="minorEastAsia" w:cstheme="minorEastAsia"/>
                <w:sz w:val="20"/>
                <w:szCs w:val="20"/>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64CCD8F8">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eastAsiaTheme="minorEastAsia" w:cstheme="minorEastAsia"/>
                <w:sz w:val="20"/>
                <w:szCs w:val="20"/>
                <w:lang w:val="en-US" w:eastAsia="zh-CN"/>
              </w:rPr>
              <w:t>0</w:t>
            </w:r>
          </w:p>
        </w:tc>
      </w:tr>
      <w:tr w14:paraId="17B92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35FFD973">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29A6FCF8">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color w:val="000000"/>
                <w:kern w:val="0"/>
                <w:sz w:val="20"/>
                <w:szCs w:val="20"/>
                <w:lang w:val="en-US" w:eastAsia="zh-CN" w:bidi="ar"/>
              </w:rPr>
              <w:t>7</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6E4267A8">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eastAsiaTheme="minorEastAsia" w:cstheme="minorEastAsia"/>
                <w:sz w:val="20"/>
                <w:szCs w:val="20"/>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03174897">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eastAsiaTheme="minorEastAsia" w:cstheme="minorEastAsia"/>
                <w:sz w:val="20"/>
                <w:szCs w:val="20"/>
                <w:highlight w:val="none"/>
                <w:lang w:val="en-US" w:eastAsia="zh-CN"/>
              </w:rPr>
              <w:t>7</w:t>
            </w:r>
          </w:p>
        </w:tc>
      </w:tr>
      <w:tr w14:paraId="2FFD3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65D4B0A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第二十条第（五）项</w:t>
            </w:r>
          </w:p>
        </w:tc>
      </w:tr>
      <w:tr w14:paraId="1653E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7ED248C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14:paraId="3349218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本年处理决定数量</w:t>
            </w:r>
          </w:p>
        </w:tc>
      </w:tr>
      <w:tr w14:paraId="03B33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054D555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6CA1C74">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asciiTheme="minorEastAsia" w:hAnsiTheme="minorEastAsia" w:cstheme="minorEastAsia"/>
                <w:sz w:val="20"/>
                <w:szCs w:val="20"/>
                <w:lang w:val="en-US" w:eastAsia="zh-CN"/>
              </w:rPr>
              <w:t>1162</w:t>
            </w:r>
          </w:p>
        </w:tc>
      </w:tr>
      <w:tr w14:paraId="6AD5B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2FF3A665">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第二十条第（六）项</w:t>
            </w:r>
          </w:p>
        </w:tc>
      </w:tr>
      <w:tr w14:paraId="76DD2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0D676D9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79CFED7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本年处理决定数量</w:t>
            </w:r>
          </w:p>
        </w:tc>
      </w:tr>
      <w:tr w14:paraId="1E596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1D6BB8B0">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43443C1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85</w:t>
            </w:r>
          </w:p>
        </w:tc>
      </w:tr>
      <w:tr w14:paraId="2CD29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CD5B70B">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545A7A2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r>
      <w:tr w14:paraId="230C7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6BA85AC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第二十条第（八）项</w:t>
            </w:r>
          </w:p>
        </w:tc>
      </w:tr>
      <w:tr w14:paraId="1219E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24875A3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14:paraId="04E4C825">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本年收费金额（单位：万元）</w:t>
            </w:r>
          </w:p>
        </w:tc>
      </w:tr>
      <w:tr w14:paraId="660B6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453911D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5007E4DE">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eastAsia="zh-CN"/>
              </w:rPr>
            </w:pPr>
            <w:r>
              <w:rPr>
                <w:rFonts w:hint="eastAsia" w:ascii="宋体" w:hAnsi="宋体" w:eastAsia="宋体" w:cs="宋体"/>
                <w:color w:val="000000"/>
                <w:kern w:val="0"/>
                <w:sz w:val="20"/>
                <w:szCs w:val="20"/>
                <w:lang w:val="en-US" w:eastAsia="zh-CN" w:bidi="ar"/>
              </w:rPr>
              <w:t>0</w:t>
            </w:r>
          </w:p>
        </w:tc>
      </w:tr>
    </w:tbl>
    <w:p w14:paraId="29BC3B07">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三、收到和处理政府信息公开申请情况</w:t>
      </w:r>
    </w:p>
    <w:tbl>
      <w:tblPr>
        <w:tblStyle w:val="7"/>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67"/>
        <w:gridCol w:w="943"/>
        <w:gridCol w:w="3212"/>
        <w:gridCol w:w="695"/>
        <w:gridCol w:w="687"/>
        <w:gridCol w:w="687"/>
        <w:gridCol w:w="687"/>
        <w:gridCol w:w="687"/>
        <w:gridCol w:w="687"/>
        <w:gridCol w:w="696"/>
      </w:tblGrid>
      <w:tr w14:paraId="199CFF5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PrEx>
        <w:trPr>
          <w:jc w:val="center"/>
        </w:trPr>
        <w:tc>
          <w:tcPr>
            <w:tcW w:w="4922" w:type="dxa"/>
            <w:gridSpan w:val="3"/>
            <w:vMerge w:val="restart"/>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63751415">
            <w:pPr>
              <w:keepNext w:val="0"/>
              <w:keepLines w:val="0"/>
              <w:widowControl/>
              <w:suppressLineNumbers w:val="0"/>
              <w:spacing w:before="0" w:beforeAutospacing="0" w:after="0" w:afterAutospacing="0"/>
              <w:ind w:left="0" w:right="0"/>
              <w:jc w:val="left"/>
              <w:rPr>
                <w:rFonts w:hint="default"/>
                <w:lang w:val="en-US"/>
              </w:rPr>
            </w:pPr>
            <w:r>
              <w:rPr>
                <w:rFonts w:hint="eastAsia" w:ascii="楷体" w:hAnsi="楷体" w:eastAsia="楷体" w:cs="楷体"/>
                <w:kern w:val="0"/>
                <w:sz w:val="20"/>
                <w:szCs w:val="20"/>
                <w:lang w:val="en-US" w:eastAsia="zh-CN" w:bidi="ar"/>
              </w:rPr>
              <w:t>（本列数据的勾稽关系为：第一项加第二项之和，等于第三项加第四项之和）</w:t>
            </w:r>
          </w:p>
        </w:tc>
        <w:tc>
          <w:tcPr>
            <w:tcW w:w="4826"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4B17167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申请人情况</w:t>
            </w:r>
          </w:p>
        </w:tc>
      </w:tr>
      <w:tr w14:paraId="40B0FB9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22"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1748AE3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95"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14:paraId="035D397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自然人</w:t>
            </w:r>
          </w:p>
        </w:tc>
        <w:tc>
          <w:tcPr>
            <w:tcW w:w="3435" w:type="dxa"/>
            <w:gridSpan w:val="5"/>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37AC06B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法人或其他组织</w:t>
            </w:r>
          </w:p>
        </w:tc>
        <w:tc>
          <w:tcPr>
            <w:tcW w:w="696" w:type="dxa"/>
            <w:vMerge w:val="restart"/>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14:paraId="3067956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总计</w:t>
            </w:r>
          </w:p>
        </w:tc>
      </w:tr>
      <w:tr w14:paraId="68FA2BF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22"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09B4A08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95"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14:paraId="3A6C1AC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7" w:type="dxa"/>
            <w:tcBorders>
              <w:top w:val="nil"/>
              <w:left w:val="nil"/>
              <w:bottom w:val="single" w:color="auto" w:sz="8" w:space="0"/>
              <w:right w:val="single" w:color="auto" w:sz="8" w:space="0"/>
            </w:tcBorders>
            <w:shd w:val="clear" w:color="auto" w:fill="9BC2E6"/>
            <w:tcMar>
              <w:left w:w="57" w:type="dxa"/>
              <w:right w:w="57" w:type="dxa"/>
            </w:tcMar>
            <w:vAlign w:val="center"/>
          </w:tcPr>
          <w:p w14:paraId="17C7F96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商业</w:t>
            </w:r>
          </w:p>
          <w:p w14:paraId="6E44F2A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企业</w:t>
            </w:r>
          </w:p>
        </w:tc>
        <w:tc>
          <w:tcPr>
            <w:tcW w:w="687" w:type="dxa"/>
            <w:tcBorders>
              <w:top w:val="nil"/>
              <w:left w:val="nil"/>
              <w:bottom w:val="single" w:color="auto" w:sz="8" w:space="0"/>
              <w:right w:val="single" w:color="auto" w:sz="8" w:space="0"/>
            </w:tcBorders>
            <w:shd w:val="clear" w:color="auto" w:fill="9BC2E6"/>
            <w:tcMar>
              <w:left w:w="57" w:type="dxa"/>
              <w:right w:w="57" w:type="dxa"/>
            </w:tcMar>
            <w:vAlign w:val="center"/>
          </w:tcPr>
          <w:p w14:paraId="79FA791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科研</w:t>
            </w:r>
          </w:p>
          <w:p w14:paraId="23311D6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机构</w:t>
            </w:r>
          </w:p>
        </w:tc>
        <w:tc>
          <w:tcPr>
            <w:tcW w:w="687"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619C7CD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社会公益组织</w:t>
            </w:r>
          </w:p>
        </w:tc>
        <w:tc>
          <w:tcPr>
            <w:tcW w:w="687"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5113D99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法律服务机构</w:t>
            </w:r>
          </w:p>
        </w:tc>
        <w:tc>
          <w:tcPr>
            <w:tcW w:w="687"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5AC92E4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p>
        </w:tc>
        <w:tc>
          <w:tcPr>
            <w:tcW w:w="696" w:type="dxa"/>
            <w:vMerge w:val="continue"/>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14:paraId="6CC251B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0DB3329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22"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336DE26E">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一、本年新收政府信息公开申请数量</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66F9B7A8">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eastAsiaTheme="minorEastAsia" w:cstheme="minorEastAsia"/>
                <w:kern w:val="0"/>
                <w:sz w:val="20"/>
                <w:szCs w:val="20"/>
                <w:lang w:val="en-US" w:eastAsia="zh-CN" w:bidi="ar"/>
              </w:rPr>
              <w:t>70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64EAE97">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eastAsiaTheme="minorEastAsia" w:cstheme="minorEastAsia"/>
                <w:kern w:val="0"/>
                <w:sz w:val="20"/>
                <w:szCs w:val="20"/>
                <w:lang w:val="en-US" w:eastAsia="zh-CN" w:bidi="ar"/>
              </w:rPr>
              <w:t>9</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6AF4D07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349DCCC0">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3C6F0A00">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5E08147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eastAsiaTheme="minorEastAsia" w:cstheme="minorEastAsia"/>
                <w:kern w:val="0"/>
                <w:sz w:val="20"/>
                <w:szCs w:val="20"/>
                <w:lang w:val="en-US" w:eastAsia="zh-CN" w:bidi="ar"/>
              </w:rPr>
              <w:t>1</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top"/>
          </w:tcPr>
          <w:p w14:paraId="5D4D634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eastAsiaTheme="minorEastAsia" w:cstheme="minorEastAsia"/>
                <w:kern w:val="0"/>
                <w:sz w:val="20"/>
                <w:szCs w:val="20"/>
                <w:lang w:val="en-US" w:eastAsia="zh-CN" w:bidi="ar"/>
              </w:rPr>
              <w:t>80</w:t>
            </w:r>
          </w:p>
        </w:tc>
      </w:tr>
      <w:tr w14:paraId="528B584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22"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00B7393E">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二、上年结转政府信息公开申请数量</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68AFC95D">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eastAsiaTheme="minorEastAsia" w:cstheme="minorEastAsia"/>
                <w:kern w:val="0"/>
                <w:sz w:val="20"/>
                <w:szCs w:val="20"/>
                <w:lang w:val="en-US" w:eastAsia="zh-CN" w:bidi="ar"/>
              </w:rPr>
              <w:t>2</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6F5A695F">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1B2C60C4">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30ED0E4C">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50169B7C">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00C0FFED">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top"/>
          </w:tcPr>
          <w:p w14:paraId="00745DD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eastAsiaTheme="minorEastAsia" w:cstheme="minorEastAsia"/>
                <w:kern w:val="0"/>
                <w:sz w:val="20"/>
                <w:szCs w:val="20"/>
                <w:lang w:val="en-US" w:eastAsia="zh-CN" w:bidi="ar"/>
              </w:rPr>
              <w:t>2</w:t>
            </w:r>
          </w:p>
        </w:tc>
      </w:tr>
      <w:tr w14:paraId="414115A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restart"/>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5885D6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三、本年度办理结果</w:t>
            </w:r>
          </w:p>
        </w:tc>
        <w:tc>
          <w:tcPr>
            <w:tcW w:w="4155"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4AA7024F">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（一）予以公开</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2BFF6BE0">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17</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DF3D2D3">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2</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69186FBD">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07B0C41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23E653B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64BA3AEC">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1</w:t>
            </w:r>
          </w:p>
        </w:tc>
        <w:tc>
          <w:tcPr>
            <w:tcW w:w="696"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403F1CEA">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20</w:t>
            </w:r>
          </w:p>
        </w:tc>
      </w:tr>
      <w:tr w14:paraId="7846C7C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2E306FC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55"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24B9442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0B32B102">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12</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6DEEA537">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3</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060504C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4BB58F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5742BC7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2CE85E4F">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center"/>
          </w:tcPr>
          <w:p w14:paraId="4A7F8FCA">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15</w:t>
            </w:r>
          </w:p>
        </w:tc>
      </w:tr>
      <w:tr w14:paraId="692865A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1D74D2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0101FFE9">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（三）不予公开</w:t>
            </w:r>
          </w:p>
        </w:tc>
        <w:tc>
          <w:tcPr>
            <w:tcW w:w="3212" w:type="dxa"/>
            <w:tcBorders>
              <w:top w:val="nil"/>
              <w:left w:val="nil"/>
              <w:bottom w:val="single" w:color="auto" w:sz="8" w:space="0"/>
              <w:right w:val="single" w:color="auto" w:sz="8" w:space="0"/>
            </w:tcBorders>
            <w:shd w:val="clear" w:color="auto" w:fill="DDEBF7"/>
            <w:tcMar>
              <w:left w:w="57" w:type="dxa"/>
              <w:right w:w="57" w:type="dxa"/>
            </w:tcMar>
            <w:vAlign w:val="top"/>
          </w:tcPr>
          <w:p w14:paraId="265C17A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1.属于国家秘密</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790EB147">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09E33311">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1D4FDCFB">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0EB0D948">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4484992B">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63C4B6F6">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7F1FBF7">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r>
      <w:tr w14:paraId="5CB9B8B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4BB3E3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5662E04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2" w:type="dxa"/>
            <w:tcBorders>
              <w:top w:val="nil"/>
              <w:left w:val="nil"/>
              <w:bottom w:val="single" w:color="auto" w:sz="8" w:space="0"/>
              <w:right w:val="single" w:color="auto" w:sz="8" w:space="0"/>
            </w:tcBorders>
            <w:shd w:val="clear" w:color="auto" w:fill="DDEBF7"/>
            <w:tcMar>
              <w:left w:w="57" w:type="dxa"/>
              <w:right w:w="57" w:type="dxa"/>
            </w:tcMar>
            <w:vAlign w:val="top"/>
          </w:tcPr>
          <w:p w14:paraId="76142C1B">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2.其他法律行政法规禁止公开</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55373912">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9257304">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D36A942">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AA13628">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5047A12">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675F7D08">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center"/>
          </w:tcPr>
          <w:p w14:paraId="4AEE8A00">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r>
      <w:tr w14:paraId="545D23B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25BAA2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1CB66F8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2" w:type="dxa"/>
            <w:tcBorders>
              <w:top w:val="nil"/>
              <w:left w:val="nil"/>
              <w:bottom w:val="single" w:color="auto" w:sz="8" w:space="0"/>
              <w:right w:val="single" w:color="auto" w:sz="8" w:space="0"/>
            </w:tcBorders>
            <w:shd w:val="clear" w:color="auto" w:fill="DDEBF7"/>
            <w:tcMar>
              <w:left w:w="57" w:type="dxa"/>
              <w:right w:w="57" w:type="dxa"/>
            </w:tcMar>
            <w:vAlign w:val="top"/>
          </w:tcPr>
          <w:p w14:paraId="6BDB65F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3.危及“三安全一稳定”</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4FBF5EAB">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21AAD0E7">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1565B9FD">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8126890">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0DB65E07">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177A9751">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center"/>
          </w:tcPr>
          <w:p w14:paraId="7E47EEB3">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r>
      <w:tr w14:paraId="166EEBB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1D9B68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2BC2481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2" w:type="dxa"/>
            <w:tcBorders>
              <w:top w:val="nil"/>
              <w:left w:val="nil"/>
              <w:bottom w:val="single" w:color="auto" w:sz="8" w:space="0"/>
              <w:right w:val="single" w:color="auto" w:sz="8" w:space="0"/>
            </w:tcBorders>
            <w:shd w:val="clear" w:color="auto" w:fill="DDEBF7"/>
            <w:tcMar>
              <w:left w:w="57" w:type="dxa"/>
              <w:right w:w="57" w:type="dxa"/>
            </w:tcMar>
            <w:vAlign w:val="top"/>
          </w:tcPr>
          <w:p w14:paraId="027652E9">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4.保护第三方合法权益</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5CFF42ED">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5D4E3028">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6EA62CF5">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2169297E">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34E19E80">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64C7B26D">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center"/>
          </w:tcPr>
          <w:p w14:paraId="370D91EE">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r>
      <w:tr w14:paraId="633B08D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322AB3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382A07B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2" w:type="dxa"/>
            <w:tcBorders>
              <w:top w:val="nil"/>
              <w:left w:val="nil"/>
              <w:bottom w:val="single" w:color="auto" w:sz="8" w:space="0"/>
              <w:right w:val="single" w:color="auto" w:sz="8" w:space="0"/>
            </w:tcBorders>
            <w:shd w:val="clear" w:color="auto" w:fill="DDEBF7"/>
            <w:tcMar>
              <w:left w:w="57" w:type="dxa"/>
              <w:right w:w="57" w:type="dxa"/>
            </w:tcMar>
            <w:vAlign w:val="top"/>
          </w:tcPr>
          <w:p w14:paraId="692F845E">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5.属于三类内部事务信息</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022BF62C">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286BD7AD">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48DB18EF">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6823B5F7">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2B393F7B">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32419647">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center"/>
          </w:tcPr>
          <w:p w14:paraId="547B9254">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r>
      <w:tr w14:paraId="3068F34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C34DA8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48540BE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2" w:type="dxa"/>
            <w:tcBorders>
              <w:top w:val="nil"/>
              <w:left w:val="nil"/>
              <w:bottom w:val="single" w:color="auto" w:sz="8" w:space="0"/>
              <w:right w:val="single" w:color="auto" w:sz="8" w:space="0"/>
            </w:tcBorders>
            <w:shd w:val="clear" w:color="auto" w:fill="DDEBF7"/>
            <w:tcMar>
              <w:left w:w="57" w:type="dxa"/>
              <w:right w:w="57" w:type="dxa"/>
            </w:tcMar>
            <w:vAlign w:val="top"/>
          </w:tcPr>
          <w:p w14:paraId="61127CF6">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6.属于四类过程性信息</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65884F3C">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2</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top"/>
          </w:tcPr>
          <w:p w14:paraId="42260B9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1</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3EC12EB5">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BE7BD2D">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2CE3BD85">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6A452426">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top"/>
          </w:tcPr>
          <w:p w14:paraId="0643401C">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3</w:t>
            </w:r>
          </w:p>
        </w:tc>
      </w:tr>
      <w:tr w14:paraId="274B718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ECA572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3E96AA9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2" w:type="dxa"/>
            <w:tcBorders>
              <w:top w:val="nil"/>
              <w:left w:val="nil"/>
              <w:bottom w:val="single" w:color="auto" w:sz="8" w:space="0"/>
              <w:right w:val="single" w:color="auto" w:sz="8" w:space="0"/>
            </w:tcBorders>
            <w:shd w:val="clear" w:color="auto" w:fill="DDEBF7"/>
            <w:tcMar>
              <w:left w:w="57" w:type="dxa"/>
              <w:right w:w="57" w:type="dxa"/>
            </w:tcMar>
            <w:vAlign w:val="top"/>
          </w:tcPr>
          <w:p w14:paraId="15FC98C7">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7.属于行政执法案卷</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0714AFCB">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top"/>
          </w:tcPr>
          <w:p w14:paraId="563E9A8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1</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4ACF60CA">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505B8671">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326B662F">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40B8BB2">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top"/>
          </w:tcPr>
          <w:p w14:paraId="254DBB5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1</w:t>
            </w:r>
          </w:p>
        </w:tc>
      </w:tr>
      <w:tr w14:paraId="7F05F14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E12A62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72CBC9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2" w:type="dxa"/>
            <w:tcBorders>
              <w:top w:val="nil"/>
              <w:left w:val="nil"/>
              <w:bottom w:val="single" w:color="auto" w:sz="8" w:space="0"/>
              <w:right w:val="single" w:color="auto" w:sz="8" w:space="0"/>
            </w:tcBorders>
            <w:shd w:val="clear" w:color="auto" w:fill="DDEBF7"/>
            <w:tcMar>
              <w:left w:w="57" w:type="dxa"/>
              <w:right w:w="57" w:type="dxa"/>
            </w:tcMar>
            <w:vAlign w:val="top"/>
          </w:tcPr>
          <w:p w14:paraId="6094BF56">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8.属于行政查询事项</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2D784EBA">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5BD4AF51">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1A8EEB6A">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261F9859">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30C11875">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07891641">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center"/>
          </w:tcPr>
          <w:p w14:paraId="481B8960">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r>
      <w:tr w14:paraId="0CCC743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2C3CB29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3AB6C1A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（四）无法提供</w:t>
            </w:r>
          </w:p>
        </w:tc>
        <w:tc>
          <w:tcPr>
            <w:tcW w:w="3212" w:type="dxa"/>
            <w:tcBorders>
              <w:top w:val="nil"/>
              <w:left w:val="nil"/>
              <w:bottom w:val="single" w:color="auto" w:sz="8" w:space="0"/>
              <w:right w:val="single" w:color="auto" w:sz="8" w:space="0"/>
            </w:tcBorders>
            <w:shd w:val="clear" w:color="auto" w:fill="DDEBF7"/>
            <w:tcMar>
              <w:left w:w="57" w:type="dxa"/>
              <w:right w:w="57" w:type="dxa"/>
            </w:tcMar>
            <w:vAlign w:val="top"/>
          </w:tcPr>
          <w:p w14:paraId="06E00CD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1.本机关不掌握相关政府信息</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1137889F">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38</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top"/>
          </w:tcPr>
          <w:p w14:paraId="1509864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1</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top"/>
          </w:tcPr>
          <w:p w14:paraId="6784D9DF">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top"/>
          </w:tcPr>
          <w:p w14:paraId="41EA3D4D">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top"/>
          </w:tcPr>
          <w:p w14:paraId="53F56CD8">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top"/>
          </w:tcPr>
          <w:p w14:paraId="42B4FED5">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top"/>
          </w:tcPr>
          <w:p w14:paraId="68FC6CD5">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39</w:t>
            </w:r>
          </w:p>
        </w:tc>
      </w:tr>
      <w:tr w14:paraId="6D7D2B8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D481A9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0E36D4F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2" w:type="dxa"/>
            <w:tcBorders>
              <w:top w:val="nil"/>
              <w:left w:val="nil"/>
              <w:bottom w:val="single" w:color="auto" w:sz="8" w:space="0"/>
              <w:right w:val="single" w:color="auto" w:sz="8" w:space="0"/>
            </w:tcBorders>
            <w:shd w:val="clear" w:color="auto" w:fill="DDEBF7"/>
            <w:tcMar>
              <w:left w:w="57" w:type="dxa"/>
              <w:right w:w="57" w:type="dxa"/>
            </w:tcMar>
            <w:vAlign w:val="top"/>
          </w:tcPr>
          <w:p w14:paraId="31BCB40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2.没有现成信息需要另行制作</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48A6F6DD">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0E6E69A6">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B80D29D">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68D267B0">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CBBEC8A">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20BCE9BC">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center"/>
          </w:tcPr>
          <w:p w14:paraId="556B1C72">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r>
      <w:tr w14:paraId="57CCD15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BAE730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767E15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2" w:type="dxa"/>
            <w:tcBorders>
              <w:top w:val="nil"/>
              <w:left w:val="nil"/>
              <w:bottom w:val="single" w:color="auto" w:sz="8" w:space="0"/>
              <w:right w:val="single" w:color="auto" w:sz="8" w:space="0"/>
            </w:tcBorders>
            <w:shd w:val="clear" w:color="auto" w:fill="DDEBF7"/>
            <w:tcMar>
              <w:left w:w="57" w:type="dxa"/>
              <w:right w:w="57" w:type="dxa"/>
            </w:tcMar>
            <w:vAlign w:val="top"/>
          </w:tcPr>
          <w:p w14:paraId="349AEAD2">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3.补正后申请内容仍不明确</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3E2734E8">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0661552B">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A897D3E">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3F84758C">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3A4DEE46">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1C2889B8">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center"/>
          </w:tcPr>
          <w:p w14:paraId="201E8399">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r>
      <w:tr w14:paraId="6D5F20A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26" w:hRule="atLeast"/>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E44BD8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2DE0FB6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（五）不予处理</w:t>
            </w:r>
          </w:p>
        </w:tc>
        <w:tc>
          <w:tcPr>
            <w:tcW w:w="3212" w:type="dxa"/>
            <w:tcBorders>
              <w:top w:val="nil"/>
              <w:left w:val="nil"/>
              <w:bottom w:val="single" w:color="auto" w:sz="8" w:space="0"/>
              <w:right w:val="single" w:color="auto" w:sz="8" w:space="0"/>
            </w:tcBorders>
            <w:shd w:val="clear" w:color="auto" w:fill="DDEBF7"/>
            <w:tcMar>
              <w:left w:w="57" w:type="dxa"/>
              <w:right w:w="57" w:type="dxa"/>
            </w:tcMar>
            <w:vAlign w:val="top"/>
          </w:tcPr>
          <w:p w14:paraId="44B8A9D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1.信访举报投诉类申请</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7C0832C8">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1</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3807518E">
            <w:pPr>
              <w:keepNext w:val="0"/>
              <w:keepLines w:val="0"/>
              <w:widowControl/>
              <w:suppressLineNumbers w:val="0"/>
              <w:spacing w:before="0" w:beforeAutospacing="0" w:after="0" w:afterAutospacing="0"/>
              <w:ind w:left="0" w:leftChars="0" w:right="0" w:rightChars="0"/>
              <w:jc w:val="center"/>
              <w:rPr>
                <w:rFonts w:hint="default"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667EFC4F">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5A13CF27">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30F00864">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65DD8DF9">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center"/>
          </w:tcPr>
          <w:p w14:paraId="3EA6BD93">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1</w:t>
            </w:r>
          </w:p>
        </w:tc>
      </w:tr>
      <w:tr w14:paraId="7608870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A01964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55A3757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2" w:type="dxa"/>
            <w:tcBorders>
              <w:top w:val="nil"/>
              <w:left w:val="nil"/>
              <w:bottom w:val="single" w:color="auto" w:sz="8" w:space="0"/>
              <w:right w:val="single" w:color="auto" w:sz="8" w:space="0"/>
            </w:tcBorders>
            <w:shd w:val="clear" w:color="auto" w:fill="DDEBF7"/>
            <w:tcMar>
              <w:left w:w="57" w:type="dxa"/>
              <w:right w:w="57" w:type="dxa"/>
            </w:tcMar>
            <w:vAlign w:val="top"/>
          </w:tcPr>
          <w:p w14:paraId="02F51FA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2.重复申请</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0DB614EF">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122AB82E">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49AF6D54">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56B8424B">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6739FB3">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4B39EF9A">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center"/>
          </w:tcPr>
          <w:p w14:paraId="45FA6ED2">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r>
      <w:tr w14:paraId="21FE754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EFEE3F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4C36CD3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2" w:type="dxa"/>
            <w:tcBorders>
              <w:top w:val="nil"/>
              <w:left w:val="nil"/>
              <w:bottom w:val="single" w:color="auto" w:sz="8" w:space="0"/>
              <w:right w:val="single" w:color="auto" w:sz="8" w:space="0"/>
            </w:tcBorders>
            <w:shd w:val="clear" w:color="auto" w:fill="DDEBF7"/>
            <w:tcMar>
              <w:left w:w="57" w:type="dxa"/>
              <w:right w:w="57" w:type="dxa"/>
            </w:tcMar>
            <w:vAlign w:val="top"/>
          </w:tcPr>
          <w:p w14:paraId="690E65F7">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3.要求提供公开出版物</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71A398B3">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3244929D">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4AC95A31">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135FD01E">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2C6D9627">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5844378">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center"/>
          </w:tcPr>
          <w:p w14:paraId="7D1F0A92">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r>
      <w:tr w14:paraId="57556D0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E2A618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02AE773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2" w:type="dxa"/>
            <w:tcBorders>
              <w:top w:val="nil"/>
              <w:left w:val="nil"/>
              <w:bottom w:val="single" w:color="auto" w:sz="8" w:space="0"/>
              <w:right w:val="single" w:color="auto" w:sz="8" w:space="0"/>
            </w:tcBorders>
            <w:shd w:val="clear" w:color="auto" w:fill="DDEBF7"/>
            <w:tcMar>
              <w:left w:w="57" w:type="dxa"/>
              <w:right w:w="57" w:type="dxa"/>
            </w:tcMar>
            <w:vAlign w:val="top"/>
          </w:tcPr>
          <w:p w14:paraId="25BB08CB">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4.无正当理由大量反复申请</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3AA2B738">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28B3E788">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FC0119D">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0306C757">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6988E67">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4AFF7B45">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center"/>
          </w:tcPr>
          <w:p w14:paraId="1037502D">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r>
      <w:tr w14:paraId="7BE13EE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58191F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402B00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2" w:type="dxa"/>
            <w:tcBorders>
              <w:top w:val="nil"/>
              <w:left w:val="nil"/>
              <w:bottom w:val="inset" w:color="auto" w:sz="8" w:space="0"/>
              <w:right w:val="single" w:color="auto" w:sz="8" w:space="0"/>
            </w:tcBorders>
            <w:shd w:val="clear" w:color="auto" w:fill="DDEBF7"/>
            <w:tcMar>
              <w:left w:w="57" w:type="dxa"/>
              <w:right w:w="57" w:type="dxa"/>
            </w:tcMar>
            <w:vAlign w:val="center"/>
          </w:tcPr>
          <w:p w14:paraId="27DDB05D">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5.要求行政机关确认或重新出具已获取信息</w:t>
            </w:r>
          </w:p>
        </w:tc>
        <w:tc>
          <w:tcPr>
            <w:tcW w:w="695" w:type="dxa"/>
            <w:tcBorders>
              <w:top w:val="nil"/>
              <w:left w:val="nil"/>
              <w:bottom w:val="inset" w:color="auto" w:sz="8" w:space="0"/>
              <w:right w:val="single" w:color="auto" w:sz="8" w:space="0"/>
            </w:tcBorders>
            <w:shd w:val="clear" w:color="auto" w:fill="auto"/>
            <w:tcMar>
              <w:left w:w="57" w:type="dxa"/>
              <w:right w:w="57" w:type="dxa"/>
            </w:tcMar>
            <w:vAlign w:val="center"/>
          </w:tcPr>
          <w:p w14:paraId="7FE28322">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inset" w:color="auto" w:sz="8" w:space="0"/>
              <w:right w:val="single" w:color="auto" w:sz="8" w:space="0"/>
            </w:tcBorders>
            <w:shd w:val="clear" w:color="auto" w:fill="auto"/>
            <w:tcMar>
              <w:left w:w="57" w:type="dxa"/>
              <w:right w:w="57" w:type="dxa"/>
            </w:tcMar>
            <w:vAlign w:val="center"/>
          </w:tcPr>
          <w:p w14:paraId="2801A51E">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inset" w:color="auto" w:sz="8" w:space="0"/>
              <w:right w:val="single" w:color="auto" w:sz="8" w:space="0"/>
            </w:tcBorders>
            <w:shd w:val="clear" w:color="auto" w:fill="auto"/>
            <w:tcMar>
              <w:left w:w="57" w:type="dxa"/>
              <w:right w:w="57" w:type="dxa"/>
            </w:tcMar>
            <w:vAlign w:val="center"/>
          </w:tcPr>
          <w:p w14:paraId="38988344">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inset" w:color="auto" w:sz="8" w:space="0"/>
              <w:right w:val="single" w:color="auto" w:sz="8" w:space="0"/>
            </w:tcBorders>
            <w:shd w:val="clear" w:color="auto" w:fill="auto"/>
            <w:tcMar>
              <w:left w:w="57" w:type="dxa"/>
              <w:right w:w="57" w:type="dxa"/>
            </w:tcMar>
            <w:vAlign w:val="center"/>
          </w:tcPr>
          <w:p w14:paraId="03488325">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inset" w:color="auto" w:sz="8" w:space="0"/>
              <w:right w:val="single" w:color="auto" w:sz="8" w:space="0"/>
            </w:tcBorders>
            <w:shd w:val="clear" w:color="auto" w:fill="auto"/>
            <w:tcMar>
              <w:left w:w="57" w:type="dxa"/>
              <w:right w:w="57" w:type="dxa"/>
            </w:tcMar>
            <w:vAlign w:val="center"/>
          </w:tcPr>
          <w:p w14:paraId="025A87C9">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inset" w:color="auto" w:sz="8" w:space="0"/>
              <w:right w:val="single" w:color="auto" w:sz="8" w:space="0"/>
            </w:tcBorders>
            <w:shd w:val="clear" w:color="auto" w:fill="auto"/>
            <w:tcMar>
              <w:left w:w="57" w:type="dxa"/>
              <w:right w:w="57" w:type="dxa"/>
            </w:tcMar>
            <w:vAlign w:val="center"/>
          </w:tcPr>
          <w:p w14:paraId="4EA593DD">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inset" w:color="auto" w:sz="8" w:space="0"/>
              <w:right w:val="single" w:color="auto" w:sz="8" w:space="0"/>
            </w:tcBorders>
            <w:shd w:val="clear" w:color="auto" w:fill="auto"/>
            <w:tcMar>
              <w:left w:w="57" w:type="dxa"/>
              <w:right w:w="57" w:type="dxa"/>
            </w:tcMar>
            <w:vAlign w:val="center"/>
          </w:tcPr>
          <w:p w14:paraId="7C5F4C07">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r>
      <w:tr w14:paraId="138FADD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2696A7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1DED5A6E">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（六）其他处理</w:t>
            </w:r>
          </w:p>
        </w:tc>
        <w:tc>
          <w:tcPr>
            <w:tcW w:w="3212" w:type="dxa"/>
            <w:tcBorders>
              <w:top w:val="nil"/>
              <w:left w:val="nil"/>
              <w:bottom w:val="single" w:color="auto" w:sz="8" w:space="0"/>
              <w:right w:val="single" w:color="auto" w:sz="8" w:space="0"/>
            </w:tcBorders>
            <w:shd w:val="clear" w:color="auto" w:fill="DDEBF7"/>
            <w:tcMar>
              <w:left w:w="57" w:type="dxa"/>
              <w:right w:w="57" w:type="dxa"/>
            </w:tcMar>
            <w:vAlign w:val="center"/>
          </w:tcPr>
          <w:p w14:paraId="5D4AE094">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6326BE14">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1F53D3A4">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5B846BC4">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2ECA854F">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37F37484">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4C762C80">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center"/>
          </w:tcPr>
          <w:p w14:paraId="5505DDF9">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r>
      <w:tr w14:paraId="4F893A4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07B40E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54E2438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2" w:type="dxa"/>
            <w:tcBorders>
              <w:top w:val="nil"/>
              <w:left w:val="nil"/>
              <w:bottom w:val="single" w:color="auto" w:sz="8" w:space="0"/>
              <w:right w:val="single" w:color="auto" w:sz="8" w:space="0"/>
            </w:tcBorders>
            <w:shd w:val="clear" w:color="auto" w:fill="DDEBF7"/>
            <w:tcMar>
              <w:left w:w="57" w:type="dxa"/>
              <w:right w:w="57" w:type="dxa"/>
            </w:tcMar>
            <w:vAlign w:val="center"/>
          </w:tcPr>
          <w:p w14:paraId="68B34371">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4EBA814E">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26DCA441">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D1DDC93">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668C95B1">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0F000813">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5B34D7C4">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center"/>
          </w:tcPr>
          <w:p w14:paraId="1A88AF5D">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r>
      <w:tr w14:paraId="65B41EE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20DBBC4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009C5E6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2" w:type="dxa"/>
            <w:tcBorders>
              <w:top w:val="nil"/>
              <w:left w:val="nil"/>
              <w:bottom w:val="single" w:color="auto" w:sz="8" w:space="0"/>
              <w:right w:val="single" w:color="auto" w:sz="8" w:space="0"/>
            </w:tcBorders>
            <w:shd w:val="clear" w:color="auto" w:fill="DDEBF7"/>
            <w:tcMar>
              <w:left w:w="57" w:type="dxa"/>
              <w:right w:w="57" w:type="dxa"/>
            </w:tcMar>
            <w:vAlign w:val="center"/>
          </w:tcPr>
          <w:p w14:paraId="3A2560D2">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3.其他</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1E186833">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555A3755">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2B64C71E">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2C9B5147">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32A0B556">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4EB04302">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center"/>
          </w:tcPr>
          <w:p w14:paraId="14AD32A2">
            <w:pPr>
              <w:keepNext w:val="0"/>
              <w:keepLines w:val="0"/>
              <w:widowControl/>
              <w:suppressLineNumbers w:val="0"/>
              <w:spacing w:before="0" w:beforeAutospacing="0" w:after="0" w:afterAutospacing="0"/>
              <w:ind w:left="0" w:leftChars="0" w:right="0" w:rightChars="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sz w:val="20"/>
                <w:szCs w:val="20"/>
                <w:lang w:val="en-US" w:eastAsia="zh-CN"/>
              </w:rPr>
              <w:t>0</w:t>
            </w:r>
          </w:p>
        </w:tc>
      </w:tr>
      <w:tr w14:paraId="5B2CB15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2364D9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55"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76951E1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（七）总计</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21961DE0">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70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093FBF88">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8</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5B4E19B0">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69C1654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4E31D2B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0</w:t>
            </w:r>
          </w:p>
        </w:tc>
        <w:tc>
          <w:tcPr>
            <w:tcW w:w="687" w:type="dxa"/>
            <w:tcBorders>
              <w:top w:val="nil"/>
              <w:left w:val="nil"/>
              <w:bottom w:val="single" w:color="auto" w:sz="8" w:space="0"/>
              <w:right w:val="single" w:color="auto" w:sz="8" w:space="0"/>
            </w:tcBorders>
            <w:shd w:val="clear" w:color="auto" w:fill="auto"/>
            <w:tcMar>
              <w:left w:w="57" w:type="dxa"/>
              <w:right w:w="57" w:type="dxa"/>
            </w:tcMar>
            <w:vAlign w:val="center"/>
          </w:tcPr>
          <w:p w14:paraId="7AEA573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1</w:t>
            </w:r>
          </w:p>
        </w:tc>
        <w:tc>
          <w:tcPr>
            <w:tcW w:w="696" w:type="dxa"/>
            <w:tcBorders>
              <w:top w:val="nil"/>
              <w:left w:val="nil"/>
              <w:bottom w:val="single" w:color="auto" w:sz="8" w:space="0"/>
              <w:right w:val="single" w:color="auto" w:sz="8" w:space="0"/>
            </w:tcBorders>
            <w:shd w:val="clear" w:color="auto" w:fill="auto"/>
            <w:tcMar>
              <w:left w:w="57" w:type="dxa"/>
              <w:right w:w="57" w:type="dxa"/>
            </w:tcMar>
            <w:vAlign w:val="top"/>
          </w:tcPr>
          <w:p w14:paraId="23D19511">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rPr>
            </w:pPr>
            <w:r>
              <w:rPr>
                <w:rFonts w:hint="eastAsia" w:asciiTheme="minorEastAsia" w:hAnsiTheme="minorEastAsia" w:cstheme="minorEastAsia"/>
                <w:kern w:val="0"/>
                <w:sz w:val="20"/>
                <w:szCs w:val="20"/>
                <w:lang w:val="en-US" w:eastAsia="zh-CN" w:bidi="ar"/>
              </w:rPr>
              <w:t>79</w:t>
            </w:r>
          </w:p>
        </w:tc>
      </w:tr>
      <w:tr w14:paraId="5638A21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22"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7368EC1E">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四、结转下年度继续办理</w:t>
            </w:r>
          </w:p>
        </w:tc>
        <w:tc>
          <w:tcPr>
            <w:tcW w:w="0" w:type="auto"/>
            <w:tcBorders>
              <w:top w:val="inset" w:color="auto" w:sz="6" w:space="0"/>
              <w:left w:val="nil"/>
              <w:bottom w:val="inset" w:color="auto" w:sz="6" w:space="0"/>
              <w:right w:val="inset" w:color="auto" w:sz="6" w:space="0"/>
            </w:tcBorders>
            <w:shd w:val="clear" w:color="auto" w:fill="auto"/>
            <w:vAlign w:val="center"/>
          </w:tcPr>
          <w:p w14:paraId="04E973A6">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2</w:t>
            </w:r>
          </w:p>
        </w:tc>
        <w:tc>
          <w:tcPr>
            <w:tcW w:w="0" w:type="auto"/>
            <w:tcBorders>
              <w:top w:val="inset" w:color="auto" w:sz="6" w:space="0"/>
              <w:left w:val="nil"/>
              <w:bottom w:val="inset" w:color="auto" w:sz="6" w:space="0"/>
              <w:right w:val="inset" w:color="auto" w:sz="6" w:space="0"/>
            </w:tcBorders>
            <w:shd w:val="clear" w:color="auto" w:fill="auto"/>
            <w:vAlign w:val="center"/>
          </w:tcPr>
          <w:p w14:paraId="4A27C22E">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1</w:t>
            </w:r>
          </w:p>
        </w:tc>
        <w:tc>
          <w:tcPr>
            <w:tcW w:w="687" w:type="dxa"/>
            <w:tcBorders>
              <w:top w:val="inset" w:color="auto" w:sz="6" w:space="0"/>
              <w:left w:val="nil"/>
              <w:bottom w:val="inset" w:color="auto" w:sz="6" w:space="0"/>
              <w:right w:val="inset" w:color="auto" w:sz="6" w:space="0"/>
            </w:tcBorders>
            <w:shd w:val="clear" w:color="auto" w:fill="auto"/>
            <w:vAlign w:val="center"/>
          </w:tcPr>
          <w:p w14:paraId="1B365BC6">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0</w:t>
            </w:r>
          </w:p>
        </w:tc>
        <w:tc>
          <w:tcPr>
            <w:tcW w:w="687" w:type="dxa"/>
            <w:tcBorders>
              <w:top w:val="inset" w:color="auto" w:sz="6" w:space="0"/>
              <w:left w:val="nil"/>
              <w:bottom w:val="inset" w:color="auto" w:sz="6" w:space="0"/>
              <w:right w:val="inset" w:color="auto" w:sz="6" w:space="0"/>
            </w:tcBorders>
            <w:shd w:val="clear" w:color="auto" w:fill="auto"/>
            <w:vAlign w:val="center"/>
          </w:tcPr>
          <w:p w14:paraId="246A835A">
            <w:pPr>
              <w:keepNext w:val="0"/>
              <w:keepLines w:val="0"/>
              <w:widowControl w:val="0"/>
              <w:suppressLineNumbers w:val="0"/>
              <w:spacing w:before="0" w:beforeAutospacing="0" w:after="0" w:afterAutospacing="0"/>
              <w:ind w:left="0" w:right="0"/>
              <w:jc w:val="center"/>
              <w:rPr>
                <w:rFonts w:hint="default"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0</w:t>
            </w:r>
          </w:p>
        </w:tc>
        <w:tc>
          <w:tcPr>
            <w:tcW w:w="687" w:type="dxa"/>
            <w:tcBorders>
              <w:top w:val="inset" w:color="auto" w:sz="6" w:space="0"/>
              <w:left w:val="nil"/>
              <w:bottom w:val="inset" w:color="auto" w:sz="6" w:space="0"/>
              <w:right w:val="inset" w:color="auto" w:sz="6" w:space="0"/>
            </w:tcBorders>
            <w:shd w:val="clear" w:color="auto" w:fill="auto"/>
            <w:vAlign w:val="center"/>
          </w:tcPr>
          <w:p w14:paraId="541A8FC6">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0</w:t>
            </w:r>
          </w:p>
        </w:tc>
        <w:tc>
          <w:tcPr>
            <w:tcW w:w="687" w:type="dxa"/>
            <w:tcBorders>
              <w:top w:val="inset" w:color="auto" w:sz="6" w:space="0"/>
              <w:left w:val="nil"/>
              <w:bottom w:val="inset" w:color="auto" w:sz="6" w:space="0"/>
              <w:right w:val="inset" w:color="auto" w:sz="6" w:space="0"/>
            </w:tcBorders>
            <w:shd w:val="clear" w:color="auto" w:fill="auto"/>
            <w:vAlign w:val="center"/>
          </w:tcPr>
          <w:p w14:paraId="67E9D796">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0</w:t>
            </w:r>
          </w:p>
        </w:tc>
        <w:tc>
          <w:tcPr>
            <w:tcW w:w="696" w:type="dxa"/>
            <w:tcBorders>
              <w:top w:val="inset" w:color="auto" w:sz="6" w:space="0"/>
              <w:left w:val="nil"/>
              <w:bottom w:val="inset" w:color="auto" w:sz="6" w:space="0"/>
              <w:right w:val="inset" w:color="auto" w:sz="6" w:space="0"/>
            </w:tcBorders>
            <w:shd w:val="clear" w:color="auto" w:fill="auto"/>
            <w:vAlign w:val="center"/>
          </w:tcPr>
          <w:p w14:paraId="4A6506BA">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3</w:t>
            </w:r>
          </w:p>
        </w:tc>
      </w:tr>
    </w:tbl>
    <w:p w14:paraId="2D28565B">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四、政府信息公开行政复议、行政诉讼情况</w:t>
      </w:r>
    </w:p>
    <w:tbl>
      <w:tblPr>
        <w:tblStyle w:val="7"/>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476D20B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47" w:hRule="atLeast"/>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5497154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6948418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行政诉讼</w:t>
            </w:r>
          </w:p>
        </w:tc>
      </w:tr>
      <w:tr w14:paraId="53A6A9E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82" w:hRule="atLeast"/>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66E6EE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9DFDB4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7A0A45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45305E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EDA212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308D287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6981286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复议后起诉</w:t>
            </w:r>
          </w:p>
        </w:tc>
      </w:tr>
      <w:tr w14:paraId="795FB2E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714" w:hRule="atLeast"/>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D2F2C2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0B8176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11BF8C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934EC5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14C2DB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98EF80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29E0A3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62F052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7AE40F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C4B746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B27BA5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E0B224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316883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BB90AE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A87665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总计</w:t>
            </w:r>
          </w:p>
        </w:tc>
      </w:tr>
      <w:tr w14:paraId="5F75144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132CCC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4</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221420E">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1</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DA985D8">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1DAB720">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1</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BCB907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6</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A4D7201">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4</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308B35D">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9E2E02D">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1</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A48952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1</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429CFF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6</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D9AAA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4</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5E1481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8ACF78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D81A67E">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3707210">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cstheme="minorEastAsia"/>
                <w:sz w:val="20"/>
                <w:szCs w:val="20"/>
                <w:lang w:val="en-US" w:eastAsia="zh-CN"/>
              </w:rPr>
              <w:t>4</w:t>
            </w:r>
          </w:p>
        </w:tc>
      </w:tr>
    </w:tbl>
    <w:p w14:paraId="62664B59">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五、存在的主要问题及改进情况</w:t>
      </w:r>
    </w:p>
    <w:p w14:paraId="3F2D8880">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2024年，区住房城乡建设委认真做好政府信息公开工作并取得一定成效，但仍存在不足之处，一是业务部门工作人员的信息公开意识有待加强，门户网站部门栏目更新不够及时，二是信息公开的范围及内容不够丰富，三是依申请公开内容较广，办理难度上升。</w:t>
      </w:r>
    </w:p>
    <w:p w14:paraId="28EB2BB0">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针对上述问题，我委将进行改进，一是强化信息公开理念，工作人员要充分认识政府信息公开工作的重要意义，加强组织领导，健全工作机制，逐级落实责任，各业务部门确定专人报送信息，确保各业务领域信息及时更新。二是加大信息公开力度，进一步围绕社会广泛关注、事关群众切身利益的重大事项加大主动公开力度，及时更新政府信息，有序扩大公开范围。三是提升信息公开工作质量，加强政策学习，提高专业水平，充实信息内容，丰富信息形式，全面推进信息公开工作提质增效。四是增强解决问题的能力，针对难度较大的问题，相关工作人员要进一步增加横向交流，积极学习好经验和做法，增强本领，同时牢固树立为民服务意识，转变办理的保守意识，充分了解申请人申请政府信息公开背后的真实诉求，加强与相关部门协作，有效降低依申请公开数量，切实提升依申请公开工作水平。</w:t>
      </w:r>
    </w:p>
    <w:p w14:paraId="23C220FD">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六、其他需要报告的事项</w:t>
      </w:r>
    </w:p>
    <w:p w14:paraId="5125AF6D">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根据《政府信息公开信息处理费管理办法》(国办函〔2020〕109号)，2024年度北京市门头沟区住房和城乡建委员会收取信息处理费情况为：发出收费通知的件数为0件，总金额为0元，实际收取的总金额为0元。</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96253C7-ACEE-45C6-BCD1-59F33F1C675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2" w:fontKey="{D50F1671-DAD1-4457-A2A5-69A154E54AC3}"/>
  </w:font>
  <w:font w:name="仿宋_GB2312">
    <w:panose1 w:val="02010609030101010101"/>
    <w:charset w:val="86"/>
    <w:family w:val="modern"/>
    <w:pitch w:val="default"/>
    <w:sig w:usb0="00000001" w:usb1="080E0000" w:usb2="00000000" w:usb3="00000000" w:csb0="00040000" w:csb1="00000000"/>
    <w:embedRegular r:id="rId3" w:fontKey="{43B904B8-86F6-4B41-B044-A5A58E187F8C}"/>
  </w:font>
  <w:font w:name="楷体">
    <w:panose1 w:val="02010609060101010101"/>
    <w:charset w:val="86"/>
    <w:family w:val="modern"/>
    <w:pitch w:val="default"/>
    <w:sig w:usb0="800002BF" w:usb1="38CF7CFA" w:usb2="00000016" w:usb3="00000000" w:csb0="00040001" w:csb1="00000000"/>
    <w:embedRegular r:id="rId4" w:fontKey="{D754F7DA-3F81-48BA-81A4-458CE71B090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94EF1">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DF7B4F">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8DF7B4F">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3OGE3ZTQxMWQwNWYzZjBiNGRhMWI4ODVjZWVkZjEifQ=="/>
    <w:docVar w:name="KSO_WPS_MARK_KEY" w:val="b46633d3-65d9-4d47-bea9-123699980ff7"/>
  </w:docVars>
  <w:rsids>
    <w:rsidRoot w:val="12EB65A5"/>
    <w:rsid w:val="0208294C"/>
    <w:rsid w:val="0339544E"/>
    <w:rsid w:val="045C6C12"/>
    <w:rsid w:val="07D6F7F7"/>
    <w:rsid w:val="0C392ABC"/>
    <w:rsid w:val="0CFF62DF"/>
    <w:rsid w:val="12EB65A5"/>
    <w:rsid w:val="164B3423"/>
    <w:rsid w:val="16C23AFA"/>
    <w:rsid w:val="17371930"/>
    <w:rsid w:val="174D5C54"/>
    <w:rsid w:val="18738998"/>
    <w:rsid w:val="1D3F5A31"/>
    <w:rsid w:val="1D5D6E24"/>
    <w:rsid w:val="1D9D4F02"/>
    <w:rsid w:val="20977EB3"/>
    <w:rsid w:val="213E0B73"/>
    <w:rsid w:val="21AD09D2"/>
    <w:rsid w:val="25871C98"/>
    <w:rsid w:val="25B25B45"/>
    <w:rsid w:val="27F12CB2"/>
    <w:rsid w:val="2E1B49FC"/>
    <w:rsid w:val="2EB35BD6"/>
    <w:rsid w:val="2EEE1E6F"/>
    <w:rsid w:val="2F2D192B"/>
    <w:rsid w:val="2F65312F"/>
    <w:rsid w:val="305D48EB"/>
    <w:rsid w:val="31760DC0"/>
    <w:rsid w:val="325B56DA"/>
    <w:rsid w:val="3330627F"/>
    <w:rsid w:val="335A04B6"/>
    <w:rsid w:val="34C14D08"/>
    <w:rsid w:val="35DFA65A"/>
    <w:rsid w:val="37643766"/>
    <w:rsid w:val="3A1EFF11"/>
    <w:rsid w:val="3A2F7FE5"/>
    <w:rsid w:val="3B2FE589"/>
    <w:rsid w:val="3D6C99C7"/>
    <w:rsid w:val="3EAB7648"/>
    <w:rsid w:val="3F1FB7D5"/>
    <w:rsid w:val="3F2FC517"/>
    <w:rsid w:val="3FBD5701"/>
    <w:rsid w:val="3FFF8F77"/>
    <w:rsid w:val="46322CD4"/>
    <w:rsid w:val="48475164"/>
    <w:rsid w:val="4AFDAAE3"/>
    <w:rsid w:val="4DC23FB1"/>
    <w:rsid w:val="4EBE5186"/>
    <w:rsid w:val="4ED7657D"/>
    <w:rsid w:val="4F5FFA21"/>
    <w:rsid w:val="51F34C5B"/>
    <w:rsid w:val="56EF834A"/>
    <w:rsid w:val="575E3C29"/>
    <w:rsid w:val="57FD2B51"/>
    <w:rsid w:val="5AFA13CF"/>
    <w:rsid w:val="5BDF65D4"/>
    <w:rsid w:val="5C7F9906"/>
    <w:rsid w:val="5F7EAF9A"/>
    <w:rsid w:val="5F9FAEAF"/>
    <w:rsid w:val="5FD760D2"/>
    <w:rsid w:val="5FDD6114"/>
    <w:rsid w:val="5FFFCB01"/>
    <w:rsid w:val="60BC260E"/>
    <w:rsid w:val="61723263"/>
    <w:rsid w:val="643F20FC"/>
    <w:rsid w:val="65EE4DB6"/>
    <w:rsid w:val="66FFE4FE"/>
    <w:rsid w:val="67BA31D7"/>
    <w:rsid w:val="67D22957"/>
    <w:rsid w:val="67FFB0F6"/>
    <w:rsid w:val="6B375FC8"/>
    <w:rsid w:val="6BE50625"/>
    <w:rsid w:val="6DD7BB2C"/>
    <w:rsid w:val="6DFF92D7"/>
    <w:rsid w:val="6FDD1C53"/>
    <w:rsid w:val="6FDE7B66"/>
    <w:rsid w:val="6FFFDBE4"/>
    <w:rsid w:val="71FED6CA"/>
    <w:rsid w:val="72FE9C34"/>
    <w:rsid w:val="767F1624"/>
    <w:rsid w:val="76F37B94"/>
    <w:rsid w:val="77EA2E30"/>
    <w:rsid w:val="7ABB4A21"/>
    <w:rsid w:val="7B6FB80B"/>
    <w:rsid w:val="7B7FC810"/>
    <w:rsid w:val="7BDFAAC2"/>
    <w:rsid w:val="7BF5CF55"/>
    <w:rsid w:val="7C792090"/>
    <w:rsid w:val="7D154CE6"/>
    <w:rsid w:val="7D6D49F9"/>
    <w:rsid w:val="7DD766A5"/>
    <w:rsid w:val="7EEFA685"/>
    <w:rsid w:val="7EF7E223"/>
    <w:rsid w:val="7EFEE0E2"/>
    <w:rsid w:val="7F637628"/>
    <w:rsid w:val="7F6FDDAC"/>
    <w:rsid w:val="7F7E8881"/>
    <w:rsid w:val="7F7EC85A"/>
    <w:rsid w:val="7F7F56DB"/>
    <w:rsid w:val="7FB52C18"/>
    <w:rsid w:val="7FBBE625"/>
    <w:rsid w:val="7FDF2D95"/>
    <w:rsid w:val="7FF712ED"/>
    <w:rsid w:val="7FFB7968"/>
    <w:rsid w:val="7FFF0895"/>
    <w:rsid w:val="7FFFD277"/>
    <w:rsid w:val="88AF0F87"/>
    <w:rsid w:val="9AF54745"/>
    <w:rsid w:val="A255DE7F"/>
    <w:rsid w:val="A3EFF340"/>
    <w:rsid w:val="AB7F747A"/>
    <w:rsid w:val="AFBFCC06"/>
    <w:rsid w:val="B3C64E50"/>
    <w:rsid w:val="B537D31D"/>
    <w:rsid w:val="B5BFFB8D"/>
    <w:rsid w:val="BE3D055E"/>
    <w:rsid w:val="BE5D39BB"/>
    <w:rsid w:val="BE7CB019"/>
    <w:rsid w:val="BEBCEA85"/>
    <w:rsid w:val="BEFD820E"/>
    <w:rsid w:val="BEFF9B60"/>
    <w:rsid w:val="BF7B1876"/>
    <w:rsid w:val="BFE7F3E2"/>
    <w:rsid w:val="BFF0B3A1"/>
    <w:rsid w:val="C3FF71D5"/>
    <w:rsid w:val="CD9DEDFE"/>
    <w:rsid w:val="CFBF164D"/>
    <w:rsid w:val="D2FBB5C6"/>
    <w:rsid w:val="D34F79B4"/>
    <w:rsid w:val="D3FDCF2B"/>
    <w:rsid w:val="D6FB9420"/>
    <w:rsid w:val="D7FD77E2"/>
    <w:rsid w:val="DAEF1365"/>
    <w:rsid w:val="DF7DA75D"/>
    <w:rsid w:val="DFDD2462"/>
    <w:rsid w:val="DFFAD615"/>
    <w:rsid w:val="EBFF7FA2"/>
    <w:rsid w:val="EF58C997"/>
    <w:rsid w:val="EF72739D"/>
    <w:rsid w:val="EF7DF243"/>
    <w:rsid w:val="EFEF1DE1"/>
    <w:rsid w:val="F0F5B032"/>
    <w:rsid w:val="F3BDDE94"/>
    <w:rsid w:val="F67A6B27"/>
    <w:rsid w:val="F67A7016"/>
    <w:rsid w:val="F793A5A7"/>
    <w:rsid w:val="F7B68B88"/>
    <w:rsid w:val="F7F74616"/>
    <w:rsid w:val="F8F56824"/>
    <w:rsid w:val="F9BF7A25"/>
    <w:rsid w:val="F9DD2891"/>
    <w:rsid w:val="FB7ECA31"/>
    <w:rsid w:val="FB9B8F8D"/>
    <w:rsid w:val="FBAE9167"/>
    <w:rsid w:val="FDCBC83D"/>
    <w:rsid w:val="FDEF101C"/>
    <w:rsid w:val="FDFB33B0"/>
    <w:rsid w:val="FDFFCF12"/>
    <w:rsid w:val="FE9FBD4C"/>
    <w:rsid w:val="FEF47D4F"/>
    <w:rsid w:val="FEFB0503"/>
    <w:rsid w:val="FEFFAA17"/>
    <w:rsid w:val="FF2FEA3C"/>
    <w:rsid w:val="FF4F38D7"/>
    <w:rsid w:val="FF5A78F4"/>
    <w:rsid w:val="FF5C22DD"/>
    <w:rsid w:val="FF6DEA6D"/>
    <w:rsid w:val="FF765849"/>
    <w:rsid w:val="FF77BDB4"/>
    <w:rsid w:val="FFDD6A1B"/>
    <w:rsid w:val="FFFA17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Plain Text"/>
    <w:basedOn w:val="1"/>
    <w:link w:val="12"/>
    <w:qFormat/>
    <w:uiPriority w:val="0"/>
    <w:pPr>
      <w:keepNext w:val="0"/>
      <w:keepLines w:val="0"/>
      <w:widowControl w:val="0"/>
      <w:suppressLineNumbers w:val="0"/>
      <w:spacing w:before="0" w:beforeAutospacing="0" w:after="0" w:afterAutospacing="0"/>
      <w:ind w:left="0" w:right="0"/>
      <w:jc w:val="both"/>
    </w:pPr>
    <w:rPr>
      <w:rFonts w:hint="eastAsia" w:ascii="等线" w:hAnsi="Courier New" w:eastAsia="等线" w:cs="Courier New"/>
      <w:kern w:val="2"/>
      <w:sz w:val="21"/>
      <w:szCs w:val="24"/>
      <w:lang w:val="en-US" w:eastAsia="zh-CN" w:bidi="ar"/>
    </w:rPr>
  </w:style>
  <w:style w:type="paragraph" w:styleId="4">
    <w:name w:val="footer"/>
    <w:basedOn w:val="1"/>
    <w:link w:val="1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paragraph" w:customStyle="1" w:styleId="10">
    <w:name w:val="列出段落1"/>
    <w:basedOn w:val="1"/>
    <w:unhideWhenUsed/>
    <w:qFormat/>
    <w:uiPriority w:val="99"/>
    <w:pPr>
      <w:ind w:firstLine="420" w:firstLineChars="200"/>
    </w:pPr>
  </w:style>
  <w:style w:type="character" w:customStyle="1" w:styleId="11">
    <w:name w:val="页脚 字符"/>
    <w:basedOn w:val="8"/>
    <w:link w:val="4"/>
    <w:qFormat/>
    <w:uiPriority w:val="0"/>
    <w:rPr>
      <w:kern w:val="2"/>
      <w:sz w:val="18"/>
      <w:szCs w:val="24"/>
    </w:rPr>
  </w:style>
  <w:style w:type="character" w:customStyle="1" w:styleId="12">
    <w:name w:val="纯文本 字符"/>
    <w:basedOn w:val="8"/>
    <w:link w:val="2"/>
    <w:qFormat/>
    <w:uiPriority w:val="0"/>
    <w:rPr>
      <w:rFonts w:hint="eastAsia" w:ascii="等线" w:hAnsi="Courier New" w:eastAsia="等线" w:cs="Courier New"/>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区委办公室</Company>
  <Pages>5</Pages>
  <Words>2292</Words>
  <Characters>2364</Characters>
  <Lines>0</Lines>
  <Paragraphs>0</Paragraphs>
  <TotalTime>13</TotalTime>
  <ScaleCrop>false</ScaleCrop>
  <LinksUpToDate>false</LinksUpToDate>
  <CharactersWithSpaces>2364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2022-12-31T04:05:00Z</dcterms:created>
  <dc:creator>MRX</dc:creator>
  <cp:lastModifiedBy>Mint1398171869</cp:lastModifiedBy>
  <cp:lastPrinted>2025-01-14T23:44:00Z</cp:lastPrinted>
  <dcterms:modified xsi:type="dcterms:W3CDTF">2025-01-21T04:17:15Z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6F900372813F4946884745F9D422A106_13</vt:lpwstr>
  </property>
  <property fmtid="{D5CDD505-2E9C-101B-9397-08002B2CF9AE}" pid="4" name="KSOTemplateDocerSaveRecord">
    <vt:lpwstr>eyJoZGlkIjoiMDdmNjUwM2Y1NDNmOWE2YzU2MTgyNGU5OGRlNTRlMDciLCJ1c2VySWQiOiIxNDYxNjAxNCJ9</vt:lpwstr>
  </property>
</Properties>
</file>