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华文中宋" w:hAnsi="华文中宋" w:eastAsia="华文中宋" w:cs="华文中宋"/>
          <w:i w:val="0"/>
          <w:caps w:val="0"/>
          <w:color w:val="333333"/>
          <w:spacing w:val="0"/>
          <w:sz w:val="44"/>
          <w:szCs w:val="44"/>
          <w:shd w:val="clear" w:fill="FFFFFF"/>
        </w:rPr>
      </w:pPr>
      <w:r>
        <w:rPr>
          <w:rFonts w:hint="eastAsia" w:ascii="华文中宋" w:hAnsi="华文中宋" w:eastAsia="华文中宋" w:cs="华文中宋"/>
          <w:i w:val="0"/>
          <w:caps w:val="0"/>
          <w:color w:val="333333"/>
          <w:spacing w:val="0"/>
          <w:sz w:val="44"/>
          <w:szCs w:val="44"/>
          <w:shd w:val="clear" w:fill="FFFFFF"/>
        </w:rPr>
        <w:t>北京市门头沟区教育委员会</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ascii="微软雅黑" w:hAnsi="微软雅黑" w:eastAsia="微软雅黑" w:cs="微软雅黑"/>
          <w:i w:val="0"/>
          <w:caps w:val="0"/>
          <w:color w:val="333333"/>
          <w:spacing w:val="0"/>
          <w:sz w:val="44"/>
          <w:szCs w:val="44"/>
          <w:shd w:val="clear" w:fill="FFFFFF"/>
        </w:rPr>
      </w:pPr>
      <w:r>
        <w:rPr>
          <w:rFonts w:hint="eastAsia" w:ascii="华文中宋" w:hAnsi="华文中宋" w:eastAsia="华文中宋" w:cs="华文中宋"/>
          <w:i w:val="0"/>
          <w:caps w:val="0"/>
          <w:color w:val="333333"/>
          <w:spacing w:val="0"/>
          <w:sz w:val="44"/>
          <w:szCs w:val="44"/>
          <w:shd w:val="clear" w:fill="FFFFFF"/>
        </w:rPr>
        <w:t>2019年政府信息公开工作年度报告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ascii="微软雅黑" w:hAnsi="微软雅黑" w:eastAsia="微软雅黑" w:cs="微软雅黑"/>
          <w:i w:val="0"/>
          <w:caps w:val="0"/>
          <w:color w:val="404040"/>
          <w:spacing w:val="0"/>
          <w:sz w:val="19"/>
          <w:szCs w:val="19"/>
        </w:rPr>
      </w:pPr>
      <w:r>
        <w:rPr>
          <w:rFonts w:ascii="仿宋_GB2312" w:hAnsi="微软雅黑" w:eastAsia="仿宋_GB2312" w:cs="仿宋_GB2312"/>
          <w:i w:val="0"/>
          <w:caps w:val="0"/>
          <w:color w:val="333333"/>
          <w:spacing w:val="0"/>
          <w:kern w:val="0"/>
          <w:sz w:val="32"/>
          <w:szCs w:val="32"/>
          <w:shd w:val="clear" w:fill="FFFFFF"/>
          <w:lang w:val="en-US" w:eastAsia="zh-CN" w:bidi="ar"/>
        </w:rPr>
        <w:t>依据《中华人民共和国政府信息公开条例》第五十条之规定，制作本报告。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3"/>
        <w:jc w:val="left"/>
        <w:rPr>
          <w:rFonts w:hint="eastAsia" w:ascii="微软雅黑" w:hAnsi="微软雅黑" w:eastAsia="微软雅黑" w:cs="微软雅黑"/>
          <w:i w:val="0"/>
          <w:caps w:val="0"/>
          <w:color w:val="404040"/>
          <w:spacing w:val="0"/>
          <w:sz w:val="19"/>
          <w:szCs w:val="19"/>
        </w:rPr>
      </w:pPr>
      <w:r>
        <w:rPr>
          <w:rFonts w:ascii="黑体" w:hAnsi="宋体" w:eastAsia="黑体" w:cs="黑体"/>
          <w:b/>
          <w:i w:val="0"/>
          <w:caps w:val="0"/>
          <w:color w:val="333333"/>
          <w:spacing w:val="0"/>
          <w:kern w:val="0"/>
          <w:sz w:val="32"/>
          <w:szCs w:val="32"/>
          <w:shd w:val="clear" w:fill="FFFFFF"/>
          <w:lang w:val="en-US" w:eastAsia="zh-CN" w:bidi="ar"/>
        </w:rPr>
        <w:t>一、总体情况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2019年，区教委严格履行工作职责，全面贯彻党的十九大精神，落实立德树人根本任务，坚持稳中求进总基调，积极回应社会关切，努力办好人民满意的教育。区教委政府信息公开工作认真贯彻落实《中华人民共和国政府信息公开条例》、《门头沟区2019年政务公开工作要点》</w:t>
      </w:r>
      <w:r>
        <w:rPr>
          <w:rFonts w:hint="eastAsia" w:ascii="仿宋_GB2312" w:hAnsi="微软雅黑" w:eastAsia="仿宋_GB2312" w:cs="仿宋_GB2312"/>
          <w:i w:val="0"/>
          <w:caps w:val="0"/>
          <w:color w:val="000000"/>
          <w:spacing w:val="0"/>
          <w:kern w:val="0"/>
          <w:sz w:val="32"/>
          <w:szCs w:val="32"/>
          <w:shd w:val="clear" w:fill="FFFFFF"/>
          <w:lang w:val="en-US" w:eastAsia="zh-CN" w:bidi="ar"/>
        </w:rPr>
        <w:t>（门政服字〔2019〕20号）</w:t>
      </w:r>
      <w:r>
        <w:rPr>
          <w:rFonts w:hint="eastAsia" w:ascii="仿宋_GB2312" w:hAnsi="微软雅黑" w:eastAsia="仿宋_GB2312" w:cs="仿宋_GB2312"/>
          <w:i w:val="0"/>
          <w:caps w:val="0"/>
          <w:color w:val="404040"/>
          <w:spacing w:val="0"/>
          <w:kern w:val="0"/>
          <w:sz w:val="32"/>
          <w:szCs w:val="32"/>
          <w:shd w:val="clear" w:fill="FFFFFF"/>
          <w:lang w:val="en-US" w:eastAsia="zh-CN" w:bidi="ar"/>
        </w:rPr>
        <w:t>以及区政府、区政务服务局关于政府信息公开的各项工作要求，扎实推进重点事项公开，做到信息发布及时，内容准确完整，努力满足公众的知情需要和利益关切。</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30"/>
        <w:jc w:val="left"/>
        <w:rPr>
          <w:rFonts w:hint="eastAsia" w:ascii="微软雅黑" w:hAnsi="微软雅黑" w:eastAsia="微软雅黑" w:cs="微软雅黑"/>
          <w:i w:val="0"/>
          <w:caps w:val="0"/>
          <w:color w:val="404040"/>
          <w:spacing w:val="0"/>
          <w:sz w:val="19"/>
          <w:szCs w:val="19"/>
        </w:rPr>
      </w:pPr>
      <w:r>
        <w:rPr>
          <w:rFonts w:ascii="楷体_GB2312" w:hAnsi="微软雅黑" w:eastAsia="楷体_GB2312" w:cs="楷体_GB2312"/>
          <w:b/>
          <w:i w:val="0"/>
          <w:caps w:val="0"/>
          <w:color w:val="000000"/>
          <w:spacing w:val="0"/>
          <w:kern w:val="0"/>
          <w:sz w:val="32"/>
          <w:szCs w:val="32"/>
          <w:shd w:val="clear" w:fill="FFFFFF"/>
          <w:lang w:val="en-US" w:eastAsia="zh-CN" w:bidi="ar"/>
        </w:rPr>
        <w:t>（一）主动公开情况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2019年主动公开政府信息数75件。教育重点领域公开政府信息数14条。其中，主动公开财政预算决算、“三公经费”和行政经费信息数3条；主动公开政府部门预算执行审计结果等信息数1条。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00"/>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通过不同渠道和方式公开政府信息的情况，包括政府网站公开政府信息数75</w:t>
      </w:r>
      <w:bookmarkStart w:id="0" w:name="_GoBack"/>
      <w:bookmarkEnd w:id="0"/>
      <w:r>
        <w:rPr>
          <w:rFonts w:hint="eastAsia" w:ascii="仿宋_GB2312" w:hAnsi="微软雅黑" w:eastAsia="仿宋_GB2312" w:cs="仿宋_GB2312"/>
          <w:i w:val="0"/>
          <w:caps w:val="0"/>
          <w:color w:val="404040"/>
          <w:spacing w:val="0"/>
          <w:kern w:val="0"/>
          <w:sz w:val="32"/>
          <w:szCs w:val="32"/>
          <w:shd w:val="clear" w:fill="FFFFFF"/>
          <w:lang w:val="en-US" w:eastAsia="zh-CN" w:bidi="ar"/>
        </w:rPr>
        <w:t>条、政务微信公开政府信息数770条；其他方式公开政府信息数0条。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30"/>
        <w:jc w:val="left"/>
        <w:rPr>
          <w:rFonts w:hint="eastAsia" w:ascii="楷体_GB2312" w:hAnsi="微软雅黑" w:eastAsia="楷体_GB2312" w:cs="楷体_GB2312"/>
          <w:b/>
          <w:i w:val="0"/>
          <w:caps w:val="0"/>
          <w:color w:val="000000"/>
          <w:spacing w:val="0"/>
          <w:kern w:val="0"/>
          <w:sz w:val="32"/>
          <w:szCs w:val="32"/>
          <w:shd w:val="clear" w:fill="FFFFFF"/>
          <w:lang w:val="en-US" w:eastAsia="zh-CN" w:bidi="ar"/>
        </w:rPr>
      </w:pPr>
      <w:r>
        <w:rPr>
          <w:rFonts w:hint="eastAsia" w:ascii="楷体_GB2312" w:hAnsi="微软雅黑" w:eastAsia="楷体_GB2312" w:cs="楷体_GB2312"/>
          <w:b/>
          <w:i w:val="0"/>
          <w:caps w:val="0"/>
          <w:color w:val="000000"/>
          <w:spacing w:val="0"/>
          <w:kern w:val="0"/>
          <w:sz w:val="32"/>
          <w:szCs w:val="32"/>
          <w:shd w:val="clear" w:fill="FFFFFF"/>
          <w:lang w:val="en-US" w:eastAsia="zh-CN" w:bidi="ar"/>
        </w:rPr>
        <w:t>（二）依申请公开办理情况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2019年区教委共收到申请1件，协助区政务服务局办理1件，我委已依法依规根据依申请公开办理流程向市民回复了查询方式和政策内容。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30"/>
        <w:jc w:val="left"/>
        <w:rPr>
          <w:rFonts w:hint="eastAsia" w:ascii="楷体_GB2312" w:hAnsi="微软雅黑" w:eastAsia="楷体_GB2312" w:cs="楷体_GB2312"/>
          <w:b/>
          <w:i w:val="0"/>
          <w:caps w:val="0"/>
          <w:color w:val="000000"/>
          <w:spacing w:val="0"/>
          <w:kern w:val="0"/>
          <w:sz w:val="32"/>
          <w:szCs w:val="32"/>
          <w:shd w:val="clear" w:fill="FFFFFF"/>
          <w:lang w:val="en-US" w:eastAsia="zh-CN" w:bidi="ar"/>
        </w:rPr>
      </w:pPr>
      <w:r>
        <w:rPr>
          <w:rFonts w:hint="eastAsia" w:ascii="楷体_GB2312" w:hAnsi="微软雅黑" w:eastAsia="楷体_GB2312" w:cs="楷体_GB2312"/>
          <w:b/>
          <w:i w:val="0"/>
          <w:caps w:val="0"/>
          <w:color w:val="000000"/>
          <w:spacing w:val="0"/>
          <w:kern w:val="0"/>
          <w:sz w:val="32"/>
          <w:szCs w:val="32"/>
          <w:shd w:val="clear" w:fill="FFFFFF"/>
          <w:lang w:val="en-US" w:eastAsia="zh-CN" w:bidi="ar"/>
        </w:rPr>
        <w:t>（三）政府信息资源的规范化、标准化管理情况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区教委切实把政府信息公开作为一项重要工作，形成了主要领导带头抓，分管领导具体抓的工作机制。明确办公室作为政府信息公开责任科室，并由专人负责政府信息公开工作，形成了上下联动、整体推进的工作体系，使政府信息公开与日常工作融为一体，整体同步推进。2019年，我委聚焦教育教学重点领域，加大对义务教育入学、中高考改革等公众热切关注的教育信息的梳理、归类、整合力度，提高信息的含金量和针对性。</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30"/>
        <w:jc w:val="left"/>
        <w:rPr>
          <w:rFonts w:hint="eastAsia" w:ascii="楷体_GB2312" w:hAnsi="微软雅黑" w:eastAsia="楷体_GB2312" w:cs="楷体_GB2312"/>
          <w:b/>
          <w:i w:val="0"/>
          <w:caps w:val="0"/>
          <w:color w:val="000000"/>
          <w:spacing w:val="0"/>
          <w:kern w:val="0"/>
          <w:sz w:val="32"/>
          <w:szCs w:val="32"/>
          <w:shd w:val="clear" w:fill="FFFFFF"/>
          <w:lang w:val="en-US" w:eastAsia="zh-CN" w:bidi="ar"/>
        </w:rPr>
      </w:pPr>
      <w:r>
        <w:rPr>
          <w:rFonts w:hint="eastAsia" w:ascii="楷体_GB2312" w:hAnsi="微软雅黑" w:eastAsia="楷体_GB2312" w:cs="楷体_GB2312"/>
          <w:b/>
          <w:i w:val="0"/>
          <w:caps w:val="0"/>
          <w:color w:val="000000"/>
          <w:spacing w:val="0"/>
          <w:kern w:val="0"/>
          <w:sz w:val="32"/>
          <w:szCs w:val="32"/>
          <w:shd w:val="clear" w:fill="FFFFFF"/>
          <w:lang w:val="en-US" w:eastAsia="zh-CN" w:bidi="ar"/>
        </w:rPr>
        <w:t>（四）政府信息公开平台建设情况</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firstLineChars="200"/>
        <w:jc w:val="both"/>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sz w:val="32"/>
          <w:szCs w:val="32"/>
          <w:shd w:val="clear" w:fill="FFFFFF"/>
        </w:rPr>
        <w:t>根据区政府要求，我委积极维护信息公开专栏，开设了机构职能、法规文件、规划计划、行政职责、业务动态等栏目。关停我委单独网站，将教育信息、服务和互动资源无缝融入到区政府网站，开设教育重点领域专栏，更新重点领域信息18条。</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30"/>
        <w:jc w:val="left"/>
        <w:rPr>
          <w:rFonts w:hint="eastAsia" w:ascii="楷体_GB2312" w:hAnsi="微软雅黑" w:eastAsia="楷体_GB2312" w:cs="楷体_GB2312"/>
          <w:b/>
          <w:i w:val="0"/>
          <w:caps w:val="0"/>
          <w:color w:val="000000"/>
          <w:spacing w:val="0"/>
          <w:kern w:val="0"/>
          <w:sz w:val="32"/>
          <w:szCs w:val="32"/>
          <w:shd w:val="clear" w:fill="FFFFFF"/>
          <w:lang w:val="en-US" w:eastAsia="zh-CN" w:bidi="ar"/>
        </w:rPr>
      </w:pPr>
      <w:r>
        <w:rPr>
          <w:rFonts w:hint="eastAsia" w:ascii="楷体_GB2312" w:hAnsi="微软雅黑" w:eastAsia="楷体_GB2312" w:cs="楷体_GB2312"/>
          <w:b/>
          <w:i w:val="0"/>
          <w:caps w:val="0"/>
          <w:color w:val="000000"/>
          <w:spacing w:val="0"/>
          <w:kern w:val="0"/>
          <w:sz w:val="32"/>
          <w:szCs w:val="32"/>
          <w:shd w:val="clear" w:fill="FFFFFF"/>
          <w:lang w:val="en-US" w:eastAsia="zh-CN" w:bidi="ar"/>
        </w:rPr>
        <w:t>（五）政府信息公开监督保障及教育培训情况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区教委严格程序，规范信息公开流程，所有公开信息均经科室负责人、主管领导审核通过后录入，确保发布信息准确完整。同时公布了监督举报联系方式，接收公民监督。2019年，我委组织主管领导及办公室学习新修订的《政府信息公开条例》，召开政府信息公开协调会2次，参与培训人数83人次。</w:t>
      </w:r>
      <w:r>
        <w:rPr>
          <w:rFonts w:hint="eastAsia" w:ascii="黑体" w:hAnsi="宋体" w:eastAsia="黑体" w:cs="黑体"/>
          <w:b/>
          <w:i w:val="0"/>
          <w:caps w:val="0"/>
          <w:color w:val="333333"/>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643"/>
        <w:jc w:val="left"/>
        <w:rPr>
          <w:rFonts w:hint="eastAsia" w:ascii="微软雅黑" w:hAnsi="微软雅黑" w:eastAsia="微软雅黑" w:cs="微软雅黑"/>
          <w:i w:val="0"/>
          <w:caps w:val="0"/>
          <w:color w:val="404040"/>
          <w:spacing w:val="0"/>
          <w:sz w:val="19"/>
          <w:szCs w:val="19"/>
        </w:rPr>
      </w:pPr>
      <w:r>
        <w:rPr>
          <w:rFonts w:hint="eastAsia" w:ascii="黑体" w:hAnsi="宋体" w:eastAsia="黑体" w:cs="黑体"/>
          <w:b/>
          <w:i w:val="0"/>
          <w:caps w:val="0"/>
          <w:color w:val="333333"/>
          <w:spacing w:val="0"/>
          <w:kern w:val="0"/>
          <w:sz w:val="32"/>
          <w:szCs w:val="32"/>
          <w:shd w:val="clear" w:fill="FFFFFF"/>
          <w:lang w:val="en-US" w:eastAsia="zh-CN" w:bidi="ar"/>
        </w:rPr>
        <w:t>二、主动公开政府信息情况</w:t>
      </w:r>
    </w:p>
    <w:tbl>
      <w:tblPr>
        <w:tblStyle w:val="3"/>
        <w:tblW w:w="8140" w:type="dxa"/>
        <w:jc w:val="center"/>
        <w:shd w:val="clear" w:color="auto" w:fill="auto"/>
        <w:tblLayout w:type="autofit"/>
        <w:tblCellMar>
          <w:top w:w="0" w:type="dxa"/>
          <w:left w:w="0" w:type="dxa"/>
          <w:bottom w:w="0" w:type="dxa"/>
          <w:right w:w="0" w:type="dxa"/>
        </w:tblCellMar>
      </w:tblPr>
      <w:tblGrid>
        <w:gridCol w:w="2113"/>
        <w:gridCol w:w="1104"/>
        <w:gridCol w:w="1771"/>
        <w:gridCol w:w="6"/>
        <w:gridCol w:w="1265"/>
        <w:gridCol w:w="1881"/>
      </w:tblGrid>
      <w:tr>
        <w:tblPrEx>
          <w:shd w:val="clear" w:color="auto" w:fill="auto"/>
          <w:tblCellMar>
            <w:top w:w="0" w:type="dxa"/>
            <w:left w:w="0" w:type="dxa"/>
            <w:bottom w:w="0" w:type="dxa"/>
            <w:right w:w="0" w:type="dxa"/>
          </w:tblCellMar>
        </w:tblPrEx>
        <w:trPr>
          <w:trHeight w:val="495" w:hRule="atLeast"/>
          <w:jc w:val="center"/>
        </w:trPr>
        <w:tc>
          <w:tcPr>
            <w:tcW w:w="8140" w:type="dxa"/>
            <w:gridSpan w:val="6"/>
            <w:tcBorders>
              <w:top w:val="single" w:color="auto" w:sz="8" w:space="0"/>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第二十条第（一）项</w:t>
            </w:r>
          </w:p>
        </w:tc>
      </w:tr>
      <w:tr>
        <w:tblPrEx>
          <w:tblCellMar>
            <w:top w:w="0" w:type="dxa"/>
            <w:left w:w="0" w:type="dxa"/>
            <w:bottom w:w="0" w:type="dxa"/>
            <w:right w:w="0" w:type="dxa"/>
          </w:tblCellMar>
        </w:tblPrEx>
        <w:trPr>
          <w:trHeight w:val="882" w:hRule="atLeast"/>
          <w:jc w:val="center"/>
        </w:trPr>
        <w:tc>
          <w:tcPr>
            <w:tcW w:w="3217"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信息内容</w:t>
            </w:r>
          </w:p>
        </w:tc>
        <w:tc>
          <w:tcPr>
            <w:tcW w:w="177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本年新</w:t>
            </w:r>
            <w:r>
              <w:rPr>
                <w:rFonts w:hint="eastAsia" w:ascii="宋体" w:hAnsi="宋体" w:eastAsia="宋体" w:cs="宋体"/>
                <w:caps w:val="0"/>
                <w:color w:val="000000"/>
                <w:spacing w:val="0"/>
                <w:kern w:val="0"/>
                <w:sz w:val="20"/>
                <w:szCs w:val="20"/>
                <w:lang w:val="en-US" w:eastAsia="zh-CN" w:bidi="ar"/>
              </w:rPr>
              <w:br w:type="textWrapping"/>
            </w:r>
            <w:r>
              <w:rPr>
                <w:rFonts w:hint="eastAsia" w:ascii="宋体" w:hAnsi="宋体" w:eastAsia="宋体" w:cs="宋体"/>
                <w:caps w:val="0"/>
                <w:spacing w:val="0"/>
                <w:kern w:val="0"/>
                <w:sz w:val="20"/>
                <w:szCs w:val="20"/>
                <w:lang w:val="en-US" w:eastAsia="zh-CN" w:bidi="ar"/>
              </w:rPr>
              <w:t>制作数量</w:t>
            </w:r>
          </w:p>
        </w:tc>
        <w:tc>
          <w:tcPr>
            <w:tcW w:w="1271"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本年新</w:t>
            </w:r>
            <w:r>
              <w:rPr>
                <w:rFonts w:hint="eastAsia" w:ascii="宋体" w:hAnsi="宋体" w:eastAsia="宋体" w:cs="宋体"/>
                <w:caps w:val="0"/>
                <w:color w:val="000000"/>
                <w:spacing w:val="0"/>
                <w:kern w:val="0"/>
                <w:sz w:val="20"/>
                <w:szCs w:val="20"/>
                <w:lang w:val="en-US" w:eastAsia="zh-CN" w:bidi="ar"/>
              </w:rPr>
              <w:br w:type="textWrapping"/>
            </w:r>
            <w:r>
              <w:rPr>
                <w:rFonts w:hint="eastAsia" w:ascii="宋体" w:hAnsi="宋体" w:eastAsia="宋体" w:cs="宋体"/>
                <w:caps w:val="0"/>
                <w:spacing w:val="0"/>
                <w:kern w:val="0"/>
                <w:sz w:val="20"/>
                <w:szCs w:val="20"/>
                <w:lang w:val="en-US" w:eastAsia="zh-CN" w:bidi="ar"/>
              </w:rPr>
              <w:t>公开数量</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对外公开总数量</w:t>
            </w:r>
          </w:p>
        </w:tc>
      </w:tr>
      <w:tr>
        <w:tblPrEx>
          <w:tblCellMar>
            <w:top w:w="0" w:type="dxa"/>
            <w:left w:w="0" w:type="dxa"/>
            <w:bottom w:w="0" w:type="dxa"/>
            <w:right w:w="0" w:type="dxa"/>
          </w:tblCellMar>
        </w:tblPrEx>
        <w:trPr>
          <w:trHeight w:val="523" w:hRule="atLeast"/>
          <w:jc w:val="center"/>
        </w:trPr>
        <w:tc>
          <w:tcPr>
            <w:tcW w:w="3217"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规章</w:t>
            </w:r>
          </w:p>
        </w:tc>
        <w:tc>
          <w:tcPr>
            <w:tcW w:w="177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0</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0</w:t>
            </w:r>
          </w:p>
        </w:tc>
      </w:tr>
      <w:tr>
        <w:tblPrEx>
          <w:tblCellMar>
            <w:top w:w="0" w:type="dxa"/>
            <w:left w:w="0" w:type="dxa"/>
            <w:bottom w:w="0" w:type="dxa"/>
            <w:right w:w="0" w:type="dxa"/>
          </w:tblCellMar>
        </w:tblPrEx>
        <w:trPr>
          <w:trHeight w:val="471" w:hRule="atLeast"/>
          <w:jc w:val="center"/>
        </w:trPr>
        <w:tc>
          <w:tcPr>
            <w:tcW w:w="3217"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规范性文件</w:t>
            </w:r>
          </w:p>
        </w:tc>
        <w:tc>
          <w:tcPr>
            <w:tcW w:w="177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2</w:t>
            </w:r>
          </w:p>
        </w:tc>
        <w:tc>
          <w:tcPr>
            <w:tcW w:w="1271"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 2</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3</w:t>
            </w:r>
          </w:p>
        </w:tc>
      </w:tr>
      <w:tr>
        <w:tblPrEx>
          <w:tblCellMar>
            <w:top w:w="0" w:type="dxa"/>
            <w:left w:w="0" w:type="dxa"/>
            <w:bottom w:w="0" w:type="dxa"/>
            <w:right w:w="0" w:type="dxa"/>
          </w:tblCellMar>
        </w:tblPrEx>
        <w:trPr>
          <w:trHeight w:val="480" w:hRule="atLeast"/>
          <w:jc w:val="center"/>
        </w:trPr>
        <w:tc>
          <w:tcPr>
            <w:tcW w:w="8140" w:type="dxa"/>
            <w:gridSpan w:val="6"/>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第二十条第（五）项</w:t>
            </w:r>
          </w:p>
        </w:tc>
      </w:tr>
      <w:tr>
        <w:tblPrEx>
          <w:tblCellMar>
            <w:top w:w="0" w:type="dxa"/>
            <w:left w:w="0" w:type="dxa"/>
            <w:bottom w:w="0" w:type="dxa"/>
            <w:right w:w="0" w:type="dxa"/>
          </w:tblCellMar>
        </w:tblPrEx>
        <w:trPr>
          <w:trHeight w:val="634" w:hRule="atLeast"/>
          <w:jc w:val="center"/>
        </w:trPr>
        <w:tc>
          <w:tcPr>
            <w:tcW w:w="3217"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信息内容</w:t>
            </w:r>
          </w:p>
        </w:tc>
        <w:tc>
          <w:tcPr>
            <w:tcW w:w="177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本年增/减</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处理决定数量</w:t>
            </w:r>
          </w:p>
        </w:tc>
      </w:tr>
      <w:tr>
        <w:tblPrEx>
          <w:tblCellMar>
            <w:top w:w="0" w:type="dxa"/>
            <w:left w:w="0" w:type="dxa"/>
            <w:bottom w:w="0" w:type="dxa"/>
            <w:right w:w="0" w:type="dxa"/>
          </w:tblCellMar>
        </w:tblPrEx>
        <w:trPr>
          <w:trHeight w:val="528" w:hRule="atLeast"/>
          <w:jc w:val="center"/>
        </w:trPr>
        <w:tc>
          <w:tcPr>
            <w:tcW w:w="3217"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行政许可</w:t>
            </w:r>
          </w:p>
        </w:tc>
        <w:tc>
          <w:tcPr>
            <w:tcW w:w="1777"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10</w:t>
            </w:r>
          </w:p>
        </w:tc>
        <w:tc>
          <w:tcPr>
            <w:tcW w:w="12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4</w:t>
            </w:r>
          </w:p>
        </w:tc>
      </w:tr>
      <w:tr>
        <w:tblPrEx>
          <w:tblCellMar>
            <w:top w:w="0" w:type="dxa"/>
            <w:left w:w="0" w:type="dxa"/>
            <w:bottom w:w="0" w:type="dxa"/>
            <w:right w:w="0" w:type="dxa"/>
          </w:tblCellMar>
        </w:tblPrEx>
        <w:trPr>
          <w:trHeight w:val="608" w:hRule="atLeast"/>
          <w:jc w:val="center"/>
        </w:trPr>
        <w:tc>
          <w:tcPr>
            <w:tcW w:w="2113" w:type="dxa"/>
            <w:vMerge w:val="restart"/>
            <w:tcBorders>
              <w:top w:val="nil"/>
              <w:left w:val="single" w:color="auto" w:sz="8" w:space="0"/>
              <w:bottom w:val="nil"/>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其他对外管理服务事项</w:t>
            </w:r>
          </w:p>
        </w:tc>
        <w:tc>
          <w:tcPr>
            <w:tcW w:w="11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行政检查</w:t>
            </w:r>
          </w:p>
        </w:tc>
        <w:tc>
          <w:tcPr>
            <w:tcW w:w="1777"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4</w:t>
            </w:r>
          </w:p>
        </w:tc>
        <w:tc>
          <w:tcPr>
            <w:tcW w:w="12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281</w:t>
            </w:r>
          </w:p>
        </w:tc>
      </w:tr>
      <w:tr>
        <w:tblPrEx>
          <w:tblCellMar>
            <w:top w:w="0" w:type="dxa"/>
            <w:left w:w="0" w:type="dxa"/>
            <w:bottom w:w="0" w:type="dxa"/>
            <w:right w:w="0" w:type="dxa"/>
          </w:tblCellMar>
        </w:tblPrEx>
        <w:trPr>
          <w:trHeight w:val="638" w:hRule="atLeast"/>
          <w:jc w:val="center"/>
        </w:trPr>
        <w:tc>
          <w:tcPr>
            <w:tcW w:w="2113" w:type="dxa"/>
            <w:vMerge w:val="continue"/>
            <w:tcBorders>
              <w:top w:val="nil"/>
              <w:left w:val="single" w:color="auto" w:sz="8" w:space="0"/>
              <w:bottom w:val="nil"/>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11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行政确认</w:t>
            </w:r>
          </w:p>
        </w:tc>
        <w:tc>
          <w:tcPr>
            <w:tcW w:w="1777"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0</w:t>
            </w:r>
          </w:p>
        </w:tc>
        <w:tc>
          <w:tcPr>
            <w:tcW w:w="12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0</w:t>
            </w:r>
          </w:p>
        </w:tc>
      </w:tr>
      <w:tr>
        <w:tblPrEx>
          <w:tblCellMar>
            <w:top w:w="0" w:type="dxa"/>
            <w:left w:w="0" w:type="dxa"/>
            <w:bottom w:w="0" w:type="dxa"/>
            <w:right w:w="0" w:type="dxa"/>
          </w:tblCellMar>
        </w:tblPrEx>
        <w:trPr>
          <w:trHeight w:val="406" w:hRule="atLeast"/>
          <w:jc w:val="center"/>
        </w:trPr>
        <w:tc>
          <w:tcPr>
            <w:tcW w:w="8140" w:type="dxa"/>
            <w:gridSpan w:val="6"/>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第二十条第（六）项</w:t>
            </w:r>
          </w:p>
        </w:tc>
      </w:tr>
      <w:tr>
        <w:tblPrEx>
          <w:tblCellMar>
            <w:top w:w="0" w:type="dxa"/>
            <w:left w:w="0" w:type="dxa"/>
            <w:bottom w:w="0" w:type="dxa"/>
            <w:right w:w="0" w:type="dxa"/>
          </w:tblCellMar>
        </w:tblPrEx>
        <w:trPr>
          <w:trHeight w:val="634" w:hRule="atLeast"/>
          <w:jc w:val="center"/>
        </w:trPr>
        <w:tc>
          <w:tcPr>
            <w:tcW w:w="3217"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信息内容</w:t>
            </w:r>
          </w:p>
        </w:tc>
        <w:tc>
          <w:tcPr>
            <w:tcW w:w="177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上一年项目数量</w:t>
            </w:r>
          </w:p>
        </w:tc>
        <w:tc>
          <w:tcPr>
            <w:tcW w:w="1271" w:type="dxa"/>
            <w:gridSpan w:val="2"/>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本年增/减</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处理决定数量</w:t>
            </w:r>
          </w:p>
        </w:tc>
      </w:tr>
      <w:tr>
        <w:tblPrEx>
          <w:tblCellMar>
            <w:top w:w="0" w:type="dxa"/>
            <w:left w:w="0" w:type="dxa"/>
            <w:bottom w:w="0" w:type="dxa"/>
            <w:right w:w="0" w:type="dxa"/>
          </w:tblCellMar>
        </w:tblPrEx>
        <w:trPr>
          <w:trHeight w:val="430" w:hRule="atLeast"/>
          <w:jc w:val="center"/>
        </w:trPr>
        <w:tc>
          <w:tcPr>
            <w:tcW w:w="3217"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行政处罚</w:t>
            </w:r>
          </w:p>
        </w:tc>
        <w:tc>
          <w:tcPr>
            <w:tcW w:w="1777"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29</w:t>
            </w:r>
          </w:p>
        </w:tc>
        <w:tc>
          <w:tcPr>
            <w:tcW w:w="12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1</w:t>
            </w:r>
          </w:p>
        </w:tc>
      </w:tr>
      <w:tr>
        <w:tblPrEx>
          <w:tblCellMar>
            <w:top w:w="0" w:type="dxa"/>
            <w:left w:w="0" w:type="dxa"/>
            <w:bottom w:w="0" w:type="dxa"/>
            <w:right w:w="0" w:type="dxa"/>
          </w:tblCellMar>
        </w:tblPrEx>
        <w:trPr>
          <w:trHeight w:val="409" w:hRule="atLeast"/>
          <w:jc w:val="center"/>
        </w:trPr>
        <w:tc>
          <w:tcPr>
            <w:tcW w:w="3217"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行政强制</w:t>
            </w:r>
          </w:p>
        </w:tc>
        <w:tc>
          <w:tcPr>
            <w:tcW w:w="1777"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0</w:t>
            </w:r>
          </w:p>
        </w:tc>
        <w:tc>
          <w:tcPr>
            <w:tcW w:w="126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0</w:t>
            </w:r>
          </w:p>
        </w:tc>
        <w:tc>
          <w:tcPr>
            <w:tcW w:w="188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0</w:t>
            </w:r>
          </w:p>
        </w:tc>
      </w:tr>
      <w:tr>
        <w:tblPrEx>
          <w:tblCellMar>
            <w:top w:w="0" w:type="dxa"/>
            <w:left w:w="0" w:type="dxa"/>
            <w:bottom w:w="0" w:type="dxa"/>
            <w:right w:w="0" w:type="dxa"/>
          </w:tblCellMar>
        </w:tblPrEx>
        <w:trPr>
          <w:trHeight w:val="474" w:hRule="atLeast"/>
          <w:jc w:val="center"/>
        </w:trPr>
        <w:tc>
          <w:tcPr>
            <w:tcW w:w="8140" w:type="dxa"/>
            <w:gridSpan w:val="6"/>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第二十条第（八）项</w:t>
            </w:r>
          </w:p>
        </w:tc>
      </w:tr>
      <w:tr>
        <w:tblPrEx>
          <w:tblCellMar>
            <w:top w:w="0" w:type="dxa"/>
            <w:left w:w="0" w:type="dxa"/>
            <w:bottom w:w="0" w:type="dxa"/>
            <w:right w:w="0" w:type="dxa"/>
          </w:tblCellMar>
        </w:tblPrEx>
        <w:trPr>
          <w:trHeight w:val="270" w:hRule="atLeast"/>
          <w:jc w:val="center"/>
        </w:trPr>
        <w:tc>
          <w:tcPr>
            <w:tcW w:w="3217"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信息内容</w:t>
            </w:r>
          </w:p>
        </w:tc>
        <w:tc>
          <w:tcPr>
            <w:tcW w:w="1777"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上一年项目数量</w:t>
            </w:r>
          </w:p>
        </w:tc>
        <w:tc>
          <w:tcPr>
            <w:tcW w:w="3146" w:type="dxa"/>
            <w:gridSpan w:val="2"/>
            <w:tcBorders>
              <w:top w:val="single" w:color="auto" w:sz="8" w:space="0"/>
              <w:left w:val="nil"/>
              <w:bottom w:val="single" w:color="auto" w:sz="8" w:space="0"/>
              <w:right w:val="single" w:color="000000"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本年增/减</w:t>
            </w:r>
          </w:p>
        </w:tc>
      </w:tr>
      <w:tr>
        <w:tblPrEx>
          <w:tblCellMar>
            <w:top w:w="0" w:type="dxa"/>
            <w:left w:w="0" w:type="dxa"/>
            <w:bottom w:w="0" w:type="dxa"/>
            <w:right w:w="0" w:type="dxa"/>
          </w:tblCellMar>
        </w:tblPrEx>
        <w:trPr>
          <w:trHeight w:val="551" w:hRule="atLeast"/>
          <w:jc w:val="center"/>
        </w:trPr>
        <w:tc>
          <w:tcPr>
            <w:tcW w:w="3217"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行政事业性收费</w:t>
            </w:r>
          </w:p>
        </w:tc>
        <w:tc>
          <w:tcPr>
            <w:tcW w:w="1777"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5</w:t>
            </w:r>
          </w:p>
        </w:tc>
        <w:tc>
          <w:tcPr>
            <w:tcW w:w="3146" w:type="dxa"/>
            <w:gridSpan w:val="2"/>
            <w:tcBorders>
              <w:top w:val="nil"/>
              <w:left w:val="nil"/>
              <w:bottom w:val="single" w:color="auto" w:sz="8" w:space="0"/>
              <w:right w:val="single" w:color="000000"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 0</w:t>
            </w:r>
          </w:p>
        </w:tc>
      </w:tr>
      <w:tr>
        <w:tblPrEx>
          <w:tblCellMar>
            <w:top w:w="0" w:type="dxa"/>
            <w:left w:w="0" w:type="dxa"/>
            <w:bottom w:w="0" w:type="dxa"/>
            <w:right w:w="0" w:type="dxa"/>
          </w:tblCellMar>
        </w:tblPrEx>
        <w:trPr>
          <w:trHeight w:val="476" w:hRule="atLeast"/>
          <w:jc w:val="center"/>
        </w:trPr>
        <w:tc>
          <w:tcPr>
            <w:tcW w:w="8140" w:type="dxa"/>
            <w:gridSpan w:val="6"/>
            <w:tcBorders>
              <w:top w:val="nil"/>
              <w:left w:val="single" w:color="auto" w:sz="8" w:space="0"/>
              <w:bottom w:val="single" w:color="auto" w:sz="8" w:space="0"/>
              <w:right w:val="single" w:color="auto" w:sz="8" w:space="0"/>
            </w:tcBorders>
            <w:shd w:val="clear" w:color="auto" w:fill="C6D9F1"/>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第二十条第（九）项</w:t>
            </w:r>
          </w:p>
        </w:tc>
      </w:tr>
      <w:tr>
        <w:tblPrEx>
          <w:tblCellMar>
            <w:top w:w="0" w:type="dxa"/>
            <w:left w:w="0" w:type="dxa"/>
            <w:bottom w:w="0" w:type="dxa"/>
            <w:right w:w="0" w:type="dxa"/>
          </w:tblCellMar>
        </w:tblPrEx>
        <w:trPr>
          <w:trHeight w:val="585" w:hRule="atLeast"/>
          <w:jc w:val="center"/>
        </w:trPr>
        <w:tc>
          <w:tcPr>
            <w:tcW w:w="3217"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信息内容</w:t>
            </w:r>
          </w:p>
        </w:tc>
        <w:tc>
          <w:tcPr>
            <w:tcW w:w="1777"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采购项目数量</w:t>
            </w:r>
          </w:p>
        </w:tc>
        <w:tc>
          <w:tcPr>
            <w:tcW w:w="3146" w:type="dxa"/>
            <w:gridSpan w:val="2"/>
            <w:tcBorders>
              <w:top w:val="single" w:color="auto" w:sz="8" w:space="0"/>
              <w:left w:val="nil"/>
              <w:bottom w:val="single" w:color="auto" w:sz="8" w:space="0"/>
              <w:right w:val="single" w:color="000000"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采购总金额</w:t>
            </w:r>
          </w:p>
        </w:tc>
      </w:tr>
      <w:tr>
        <w:tblPrEx>
          <w:tblCellMar>
            <w:top w:w="0" w:type="dxa"/>
            <w:left w:w="0" w:type="dxa"/>
            <w:bottom w:w="0" w:type="dxa"/>
            <w:right w:w="0" w:type="dxa"/>
          </w:tblCellMar>
        </w:tblPrEx>
        <w:trPr>
          <w:trHeight w:val="539" w:hRule="atLeast"/>
          <w:jc w:val="center"/>
        </w:trPr>
        <w:tc>
          <w:tcPr>
            <w:tcW w:w="3217" w:type="dxa"/>
            <w:gridSpan w:val="2"/>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政府集中采购</w:t>
            </w:r>
          </w:p>
        </w:tc>
        <w:tc>
          <w:tcPr>
            <w:tcW w:w="1777"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169</w:t>
            </w:r>
          </w:p>
        </w:tc>
        <w:tc>
          <w:tcPr>
            <w:tcW w:w="3146" w:type="dxa"/>
            <w:gridSpan w:val="2"/>
            <w:tcBorders>
              <w:top w:val="nil"/>
              <w:left w:val="nil"/>
              <w:bottom w:val="single" w:color="auto" w:sz="8" w:space="0"/>
              <w:right w:val="single" w:color="000000"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4"/>
                <w:szCs w:val="24"/>
                <w:lang w:val="en-US" w:eastAsia="zh-CN" w:bidi="ar"/>
              </w:rPr>
              <w:t>15686.5396万元</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80"/>
        <w:jc w:val="left"/>
        <w:rPr>
          <w:rFonts w:hint="eastAsia" w:ascii="微软雅黑" w:hAnsi="微软雅黑" w:eastAsia="微软雅黑" w:cs="微软雅黑"/>
          <w:i w:val="0"/>
          <w:caps w:val="0"/>
          <w:color w:val="404040"/>
          <w:spacing w:val="0"/>
          <w:sz w:val="19"/>
          <w:szCs w:val="19"/>
        </w:rPr>
      </w:pPr>
      <w:r>
        <w:rPr>
          <w:rFonts w:hint="eastAsia" w:ascii="宋体" w:hAnsi="宋体" w:eastAsia="宋体" w:cs="宋体"/>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643"/>
        <w:jc w:val="left"/>
        <w:rPr>
          <w:rFonts w:hint="eastAsia" w:ascii="微软雅黑" w:hAnsi="微软雅黑" w:eastAsia="微软雅黑" w:cs="微软雅黑"/>
          <w:i w:val="0"/>
          <w:caps w:val="0"/>
          <w:color w:val="404040"/>
          <w:spacing w:val="0"/>
          <w:sz w:val="19"/>
          <w:szCs w:val="19"/>
        </w:rPr>
      </w:pPr>
      <w:r>
        <w:rPr>
          <w:rFonts w:hint="eastAsia" w:ascii="黑体" w:hAnsi="宋体" w:eastAsia="黑体" w:cs="黑体"/>
          <w:b/>
          <w:i w:val="0"/>
          <w:caps w:val="0"/>
          <w:color w:val="333333"/>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643"/>
        <w:jc w:val="left"/>
        <w:rPr>
          <w:rFonts w:hint="eastAsia" w:ascii="微软雅黑" w:hAnsi="微软雅黑" w:eastAsia="微软雅黑" w:cs="微软雅黑"/>
          <w:i w:val="0"/>
          <w:caps w:val="0"/>
          <w:color w:val="404040"/>
          <w:spacing w:val="0"/>
          <w:sz w:val="19"/>
          <w:szCs w:val="19"/>
        </w:rPr>
      </w:pPr>
      <w:r>
        <w:rPr>
          <w:rFonts w:hint="eastAsia" w:ascii="黑体" w:hAnsi="宋体" w:eastAsia="黑体" w:cs="黑体"/>
          <w:b/>
          <w:i w:val="0"/>
          <w:caps w:val="0"/>
          <w:color w:val="333333"/>
          <w:spacing w:val="0"/>
          <w:kern w:val="0"/>
          <w:sz w:val="32"/>
          <w:szCs w:val="32"/>
          <w:shd w:val="clear" w:fill="FFFFFF"/>
          <w:lang w:val="en-US" w:eastAsia="zh-CN" w:bidi="ar"/>
        </w:rPr>
        <w:t>三、收到和处理政府信息公开申请情况</w:t>
      </w:r>
    </w:p>
    <w:tbl>
      <w:tblPr>
        <w:tblStyle w:val="3"/>
        <w:tblW w:w="9071" w:type="dxa"/>
        <w:jc w:val="center"/>
        <w:shd w:val="clear" w:color="auto" w:fill="auto"/>
        <w:tblLayout w:type="autofit"/>
        <w:tblCellMar>
          <w:top w:w="0" w:type="dxa"/>
          <w:left w:w="0" w:type="dxa"/>
          <w:bottom w:w="0" w:type="dxa"/>
          <w:right w:w="0" w:type="dxa"/>
        </w:tblCellMar>
      </w:tblPr>
      <w:tblGrid>
        <w:gridCol w:w="617"/>
        <w:gridCol w:w="854"/>
        <w:gridCol w:w="2086"/>
        <w:gridCol w:w="813"/>
        <w:gridCol w:w="755"/>
        <w:gridCol w:w="755"/>
        <w:gridCol w:w="813"/>
        <w:gridCol w:w="973"/>
        <w:gridCol w:w="711"/>
        <w:gridCol w:w="694"/>
      </w:tblGrid>
      <w:tr>
        <w:tblPrEx>
          <w:shd w:val="clear" w:color="auto" w:fill="auto"/>
          <w:tblCellMar>
            <w:top w:w="0" w:type="dxa"/>
            <w:left w:w="0" w:type="dxa"/>
            <w:bottom w:w="0" w:type="dxa"/>
            <w:right w:w="0" w:type="dxa"/>
          </w:tblCellMar>
        </w:tblPrEx>
        <w:trPr>
          <w:jc w:val="center"/>
        </w:trPr>
        <w:tc>
          <w:tcPr>
            <w:tcW w:w="3557"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（本列数据的勾稽关系为：第一项加第二项之和，等于第三项加第四项之和）</w:t>
            </w:r>
          </w:p>
        </w:tc>
        <w:tc>
          <w:tcPr>
            <w:tcW w:w="5514"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申请人情况</w:t>
            </w:r>
          </w:p>
        </w:tc>
      </w:tr>
      <w:tr>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13"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自然人</w:t>
            </w:r>
          </w:p>
        </w:tc>
        <w:tc>
          <w:tcPr>
            <w:tcW w:w="400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法人或其他组织</w:t>
            </w:r>
          </w:p>
        </w:tc>
        <w:tc>
          <w:tcPr>
            <w:tcW w:w="69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总计</w:t>
            </w:r>
          </w:p>
        </w:tc>
      </w:tr>
      <w:tr>
        <w:tblPrEx>
          <w:tblCellMar>
            <w:top w:w="0" w:type="dxa"/>
            <w:left w:w="0" w:type="dxa"/>
            <w:bottom w:w="0" w:type="dxa"/>
            <w:right w:w="0" w:type="dxa"/>
          </w:tblCellMar>
        </w:tblPrEx>
        <w:trPr>
          <w:jc w:val="center"/>
        </w:trPr>
        <w:tc>
          <w:tcPr>
            <w:tcW w:w="3557"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13"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商业企业</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科研机构</w:t>
            </w:r>
          </w:p>
        </w:tc>
        <w:tc>
          <w:tcPr>
            <w:tcW w:w="81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社会公益组织</w:t>
            </w:r>
          </w:p>
        </w:tc>
        <w:tc>
          <w:tcPr>
            <w:tcW w:w="973"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法律服务机构</w:t>
            </w:r>
          </w:p>
        </w:tc>
        <w:tc>
          <w:tcPr>
            <w:tcW w:w="711"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其他</w:t>
            </w:r>
          </w:p>
        </w:tc>
        <w:tc>
          <w:tcPr>
            <w:tcW w:w="69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r>
      <w:tr>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一、本年新收政府信息公开申请数量</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1</w:t>
            </w:r>
            <w:r>
              <w:rPr>
                <w:rFonts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1</w:t>
            </w:r>
          </w:p>
        </w:tc>
      </w:tr>
      <w:tr>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二、上年结转政府信息公开申请数量</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r>
      <w:tr>
        <w:tblPrEx>
          <w:tblCellMar>
            <w:top w:w="0" w:type="dxa"/>
            <w:left w:w="0" w:type="dxa"/>
            <w:bottom w:w="0" w:type="dxa"/>
            <w:right w:w="0" w:type="dxa"/>
          </w:tblCellMar>
        </w:tblPrEx>
        <w:trPr>
          <w:jc w:val="center"/>
        </w:trPr>
        <w:tc>
          <w:tcPr>
            <w:tcW w:w="617"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三、本年度办理结果</w:t>
            </w: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ascii="楷体" w:hAnsi="楷体" w:eastAsia="楷体" w:cs="楷体"/>
                <w:caps w:val="0"/>
                <w:spacing w:val="0"/>
                <w:kern w:val="0"/>
                <w:sz w:val="20"/>
                <w:szCs w:val="20"/>
                <w:lang w:val="en-US" w:eastAsia="zh-CN" w:bidi="ar"/>
              </w:rPr>
              <w:t>（一）予以公开</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1</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9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1</w:t>
            </w:r>
            <w:r>
              <w:rPr>
                <w:rFonts w:hint="default" w:ascii="Calibri" w:hAnsi="Calibri" w:eastAsia="微软雅黑" w:cs="Calibri"/>
                <w:caps w:val="0"/>
                <w:spacing w:val="0"/>
                <w:kern w:val="0"/>
                <w:sz w:val="20"/>
                <w:szCs w:val="20"/>
                <w:lang w:val="en-US" w:eastAsia="zh-CN" w:bidi="ar"/>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（二）部分公开（区分处理的，只计这一情形，不计其他情形）</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（三）不予公开</w:t>
            </w: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1.属于国家秘密</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694"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2.其他法律行政法规禁止公开</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3.危及“三安全一稳定”</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4.保护第三方合法权益</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5.属于三类内部事务信息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6.属于四类过程性信息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7.属于行政执法案卷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8.属于行政查询事项</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（四）无法提供</w:t>
            </w: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1.本机关不掌握相关政府信息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2.没有现成信息需要另行制作</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r>
      <w:tr>
        <w:tblPrEx>
          <w:tblCellMar>
            <w:top w:w="0" w:type="dxa"/>
            <w:left w:w="0" w:type="dxa"/>
            <w:bottom w:w="0" w:type="dxa"/>
            <w:right w:w="0" w:type="dxa"/>
          </w:tblCellMar>
        </w:tblPrEx>
        <w:trPr>
          <w:trHeight w:val="521" w:hRule="atLeast"/>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3.补正后申请内容仍不明确</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（五）不予处理</w:t>
            </w: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1.信访举报投诉类申请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0 </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2.重复申请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3.要求提供公开出版物</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4.无正当理由大量反复申请</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85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08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5.要求行政机关确认或重新出具已获取信息</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（六）其他处理</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r>
      <w:tr>
        <w:tblPrEx>
          <w:tblCellMar>
            <w:top w:w="0" w:type="dxa"/>
            <w:left w:w="0" w:type="dxa"/>
            <w:bottom w:w="0" w:type="dxa"/>
            <w:right w:w="0" w:type="dxa"/>
          </w:tblCellMar>
        </w:tblPrEx>
        <w:trPr>
          <w:jc w:val="center"/>
        </w:trPr>
        <w:tc>
          <w:tcPr>
            <w:tcW w:w="617"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2940"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楷体" w:hAnsi="楷体" w:eastAsia="楷体" w:cs="楷体"/>
                <w:caps w:val="0"/>
                <w:spacing w:val="0"/>
                <w:kern w:val="0"/>
                <w:sz w:val="20"/>
                <w:szCs w:val="20"/>
                <w:lang w:val="en-US" w:eastAsia="zh-CN" w:bidi="ar"/>
              </w:rPr>
              <w:t>（七）总计</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1</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1</w:t>
            </w:r>
          </w:p>
        </w:tc>
      </w:tr>
      <w:tr>
        <w:tblPrEx>
          <w:tblCellMar>
            <w:top w:w="0" w:type="dxa"/>
            <w:left w:w="0" w:type="dxa"/>
            <w:bottom w:w="0" w:type="dxa"/>
            <w:right w:w="0" w:type="dxa"/>
          </w:tblCellMar>
        </w:tblPrEx>
        <w:trPr>
          <w:jc w:val="center"/>
        </w:trPr>
        <w:tc>
          <w:tcPr>
            <w:tcW w:w="3557"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四、结转下年度继续办理</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5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w:t>
            </w:r>
            <w:r>
              <w:rPr>
                <w:rFonts w:hint="default" w:ascii="Calibri" w:hAnsi="Calibri" w:eastAsia="微软雅黑" w:cs="Calibri"/>
                <w:caps w:val="0"/>
                <w:spacing w:val="0"/>
                <w:kern w:val="0"/>
                <w:sz w:val="20"/>
                <w:szCs w:val="20"/>
                <w:lang w:val="en-US" w:eastAsia="zh-CN" w:bidi="ar"/>
              </w:rPr>
              <w:t> </w:t>
            </w:r>
          </w:p>
        </w:tc>
        <w:tc>
          <w:tcPr>
            <w:tcW w:w="81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973"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711"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9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spacing w:val="0"/>
                <w:kern w:val="0"/>
                <w:sz w:val="24"/>
                <w:szCs w:val="24"/>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643"/>
        <w:jc w:val="left"/>
        <w:rPr>
          <w:rFonts w:hint="eastAsia" w:ascii="微软雅黑" w:hAnsi="微软雅黑" w:eastAsia="微软雅黑" w:cs="微软雅黑"/>
          <w:i w:val="0"/>
          <w:caps w:val="0"/>
          <w:color w:val="404040"/>
          <w:spacing w:val="0"/>
          <w:sz w:val="19"/>
          <w:szCs w:val="19"/>
        </w:rPr>
      </w:pPr>
      <w:r>
        <w:rPr>
          <w:rFonts w:hint="eastAsia" w:ascii="黑体" w:hAnsi="宋体" w:eastAsia="黑体" w:cs="黑体"/>
          <w:b/>
          <w:i w:val="0"/>
          <w:caps w:val="0"/>
          <w:color w:val="333333"/>
          <w:spacing w:val="0"/>
          <w:kern w:val="0"/>
          <w:sz w:val="32"/>
          <w:szCs w:val="32"/>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643"/>
        <w:jc w:val="left"/>
        <w:rPr>
          <w:rFonts w:hint="eastAsia" w:ascii="微软雅黑" w:hAnsi="微软雅黑" w:eastAsia="微软雅黑" w:cs="微软雅黑"/>
          <w:i w:val="0"/>
          <w:caps w:val="0"/>
          <w:color w:val="404040"/>
          <w:spacing w:val="0"/>
          <w:sz w:val="19"/>
          <w:szCs w:val="19"/>
        </w:rPr>
      </w:pPr>
      <w:r>
        <w:rPr>
          <w:rFonts w:hint="eastAsia" w:ascii="黑体" w:hAnsi="宋体" w:eastAsia="黑体" w:cs="黑体"/>
          <w:b/>
          <w:i w:val="0"/>
          <w:caps w:val="0"/>
          <w:color w:val="333333"/>
          <w:spacing w:val="0"/>
          <w:kern w:val="0"/>
          <w:sz w:val="32"/>
          <w:szCs w:val="32"/>
          <w:shd w:val="clear" w:fill="FFFFFF"/>
          <w:lang w:val="en-US" w:eastAsia="zh-CN" w:bidi="ar"/>
        </w:rPr>
        <w:t>四、政府信息公开行政复议、行政诉讼情况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80"/>
        <w:jc w:val="left"/>
        <w:rPr>
          <w:rFonts w:hint="eastAsia" w:ascii="微软雅黑" w:hAnsi="微软雅黑" w:eastAsia="微软雅黑" w:cs="微软雅黑"/>
          <w:i w:val="0"/>
          <w:caps w:val="0"/>
          <w:color w:val="404040"/>
          <w:spacing w:val="0"/>
          <w:sz w:val="19"/>
          <w:szCs w:val="19"/>
        </w:rPr>
      </w:pPr>
      <w:r>
        <w:rPr>
          <w:rFonts w:hint="eastAsia" w:ascii="宋体" w:hAnsi="宋体" w:eastAsia="宋体" w:cs="宋体"/>
          <w:i w:val="0"/>
          <w:caps w:val="0"/>
          <w:color w:val="333333"/>
          <w:spacing w:val="0"/>
          <w:kern w:val="0"/>
          <w:sz w:val="24"/>
          <w:szCs w:val="24"/>
          <w:shd w:val="clear" w:fill="FFFFFF"/>
          <w:lang w:val="en-US" w:eastAsia="zh-CN" w:bidi="ar"/>
        </w:rPr>
        <w:t> </w:t>
      </w:r>
    </w:p>
    <w:tbl>
      <w:tblPr>
        <w:tblStyle w:val="3"/>
        <w:tblW w:w="9071" w:type="dxa"/>
        <w:jc w:val="center"/>
        <w:shd w:val="clear" w:color="auto" w:fill="auto"/>
        <w:tblLayout w:type="autofit"/>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shd w:val="clear" w:color="auto" w:fill="auto"/>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行政诉讼</w:t>
            </w:r>
          </w:p>
        </w:tc>
      </w:tr>
      <w:tr>
        <w:tblPrEx>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结果维持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尚未审结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总计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复议后起诉</w:t>
            </w:r>
          </w:p>
        </w:tc>
      </w:tr>
      <w:tr>
        <w:tblPrEx>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rPr>
                <w:rFonts w:hint="eastAsia" w:ascii="微软雅黑" w:hAnsi="微软雅黑" w:eastAsia="微软雅黑" w:cs="微软雅黑"/>
                <w:sz w:val="14"/>
                <w:szCs w:val="14"/>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其他结果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尚未审结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其他结果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总计</w:t>
            </w:r>
          </w:p>
        </w:tc>
      </w:tr>
      <w:tr>
        <w:tblPrEx>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default" w:ascii="Calibri" w:hAnsi="Calibri" w:eastAsia="微软雅黑" w:cs="Calibri"/>
                <w:caps w:val="0"/>
                <w:spacing w:val="0"/>
                <w:kern w:val="0"/>
                <w:sz w:val="20"/>
                <w:szCs w:val="20"/>
                <w:lang w:val="en-US" w:eastAsia="zh-CN" w:bidi="ar"/>
              </w:rPr>
              <w:t> </w:t>
            </w:r>
            <w:r>
              <w:rPr>
                <w:rFonts w:hint="eastAsia" w:ascii="宋体" w:hAnsi="宋体" w:eastAsia="宋体" w:cs="宋体"/>
                <w:caps w:val="0"/>
                <w:spacing w:val="0"/>
                <w:kern w:val="0"/>
                <w:sz w:val="20"/>
                <w:szCs w:val="20"/>
                <w:lang w:val="en-US" w:eastAsia="zh-CN" w:bidi="ar"/>
              </w:rPr>
              <w:t>0</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color w:val="000000"/>
                <w:spacing w:val="0"/>
                <w:kern w:val="0"/>
                <w:sz w:val="20"/>
                <w:szCs w:val="20"/>
                <w:lang w:val="en-US" w:eastAsia="zh-CN" w:bidi="ar"/>
              </w:rPr>
              <w:t> 0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center"/>
              <w:rPr>
                <w:rFonts w:hint="eastAsia" w:ascii="微软雅黑" w:hAnsi="微软雅黑" w:eastAsia="微软雅黑" w:cs="微软雅黑"/>
                <w:sz w:val="14"/>
                <w:szCs w:val="14"/>
              </w:rPr>
            </w:pPr>
            <w:r>
              <w:rPr>
                <w:rFonts w:hint="eastAsia" w:ascii="宋体" w:hAnsi="宋体" w:eastAsia="宋体" w:cs="宋体"/>
                <w:caps w:val="0"/>
                <w:spacing w:val="0"/>
                <w:kern w:val="0"/>
                <w:sz w:val="20"/>
                <w:szCs w:val="20"/>
                <w:lang w:val="en-US" w:eastAsia="zh-CN" w:bidi="ar"/>
              </w:rPr>
              <w:t>0 </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left"/>
              <w:rPr>
                <w:rFonts w:hint="eastAsia" w:ascii="微软雅黑" w:hAnsi="微软雅黑" w:eastAsia="微软雅黑" w:cs="微软雅黑"/>
                <w:sz w:val="14"/>
                <w:szCs w:val="14"/>
              </w:rPr>
            </w:pPr>
            <w:r>
              <w:rPr>
                <w:rFonts w:hint="eastAsia" w:ascii="宋体" w:hAnsi="宋体" w:eastAsia="宋体" w:cs="宋体"/>
                <w:caps w:val="0"/>
                <w:spacing w:val="0"/>
                <w:kern w:val="0"/>
                <w:sz w:val="24"/>
                <w:szCs w:val="24"/>
                <w:lang w:val="en-US" w:eastAsia="zh-CN" w:bidi="ar"/>
              </w:rPr>
              <w:t>0</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0"/>
        <w:jc w:val="center"/>
        <w:rPr>
          <w:rFonts w:hint="eastAsia" w:ascii="微软雅黑" w:hAnsi="微软雅黑" w:eastAsia="微软雅黑" w:cs="微软雅黑"/>
          <w:i w:val="0"/>
          <w:caps w:val="0"/>
          <w:color w:val="404040"/>
          <w:spacing w:val="0"/>
          <w:sz w:val="19"/>
          <w:szCs w:val="19"/>
        </w:rPr>
      </w:pPr>
      <w:r>
        <w:rPr>
          <w:rFonts w:hint="eastAsia" w:ascii="宋体" w:hAnsi="宋体" w:eastAsia="宋体" w:cs="宋体"/>
          <w:i w:val="0"/>
          <w:caps w:val="0"/>
          <w:color w:val="333333"/>
          <w:spacing w:val="0"/>
          <w:kern w:val="0"/>
          <w:sz w:val="24"/>
          <w:szCs w:val="24"/>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643"/>
        <w:jc w:val="left"/>
        <w:rPr>
          <w:rFonts w:hint="eastAsia" w:ascii="微软雅黑" w:hAnsi="微软雅黑" w:eastAsia="微软雅黑" w:cs="微软雅黑"/>
          <w:i w:val="0"/>
          <w:caps w:val="0"/>
          <w:color w:val="404040"/>
          <w:spacing w:val="0"/>
          <w:sz w:val="19"/>
          <w:szCs w:val="19"/>
        </w:rPr>
      </w:pPr>
      <w:r>
        <w:rPr>
          <w:rFonts w:hint="eastAsia" w:ascii="黑体" w:hAnsi="宋体" w:eastAsia="黑体" w:cs="黑体"/>
          <w:b/>
          <w:i w:val="0"/>
          <w:caps w:val="0"/>
          <w:color w:val="333333"/>
          <w:spacing w:val="0"/>
          <w:kern w:val="0"/>
          <w:sz w:val="32"/>
          <w:szCs w:val="32"/>
          <w:shd w:val="clear" w:fill="FFFFFF"/>
          <w:lang w:val="en-US" w:eastAsia="zh-CN" w:bidi="ar"/>
        </w:rPr>
        <w:t>五、存在的主要问题及改进情况</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5"/>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2019年，区教委按照相关要求和区政务服务局的一系列部署开展工作，政府信息公开工作得到进一步提升，但存在以下不足：一是政府信息公开工作制度建设还需进一步完善；二是对政府信息公开工作人员的培训需要继续加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微软雅黑" w:hAnsi="微软雅黑" w:eastAsia="微软雅黑" w:cs="微软雅黑"/>
          <w:i w:val="0"/>
          <w:caps w:val="0"/>
          <w:color w:val="404040"/>
          <w:spacing w:val="0"/>
          <w:sz w:val="19"/>
          <w:szCs w:val="19"/>
        </w:rPr>
      </w:pPr>
      <w:r>
        <w:rPr>
          <w:rFonts w:hint="eastAsia" w:ascii="仿宋_GB2312" w:hAnsi="微软雅黑" w:eastAsia="仿宋_GB2312" w:cs="仿宋_GB2312"/>
          <w:i w:val="0"/>
          <w:caps w:val="0"/>
          <w:color w:val="404040"/>
          <w:spacing w:val="0"/>
          <w:kern w:val="0"/>
          <w:sz w:val="32"/>
          <w:szCs w:val="32"/>
          <w:shd w:val="clear" w:fill="FFFFFF"/>
          <w:lang w:val="en-US" w:eastAsia="zh-CN" w:bidi="ar"/>
        </w:rPr>
        <w:t>区教委将贯彻党的十九大、全国教育大会、全市及全区教育大会精神，增加公共服务供给，坚持“绿色发展、生态富民、弘扬文化、文明首善、团结稳定”的区域发展总原则，紧扣“四个一”的历史奉献激励使命担当，紧扣“讲奉献、争第一”的门头沟精神践行首善标准，立足我区教育发展实际，坚持以公开为常态、不公开为例外原则，不断完善政府信息公开工作制度，推进决策公开、执行公开、管理公开、服务公开、结果公开。依规扩大信息公开范围，扎实推进教育教学重点领域的政府信息公开。加强信息公开工作人员培训，不断推进政务公开和信息公开工作。</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643"/>
        <w:jc w:val="left"/>
        <w:rPr>
          <w:rFonts w:hint="eastAsia" w:ascii="微软雅黑" w:hAnsi="微软雅黑" w:eastAsia="微软雅黑" w:cs="微软雅黑"/>
          <w:i w:val="0"/>
          <w:caps w:val="0"/>
          <w:color w:val="404040"/>
          <w:spacing w:val="0"/>
          <w:sz w:val="19"/>
          <w:szCs w:val="19"/>
        </w:rPr>
      </w:pPr>
      <w:r>
        <w:rPr>
          <w:rFonts w:hint="eastAsia" w:ascii="黑体" w:hAnsi="宋体" w:eastAsia="黑体" w:cs="黑体"/>
          <w:b/>
          <w:i w:val="0"/>
          <w:caps w:val="0"/>
          <w:color w:val="333333"/>
          <w:spacing w:val="0"/>
          <w:kern w:val="0"/>
          <w:sz w:val="32"/>
          <w:szCs w:val="32"/>
          <w:shd w:val="clear" w:fill="FFFFFF"/>
          <w:lang w:val="en-US" w:eastAsia="zh-CN" w:bidi="ar"/>
        </w:rPr>
        <w:t>六、其他需要报告的事项</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84" w:lineRule="atLeast"/>
        <w:ind w:left="0" w:right="0" w:firstLine="480"/>
        <w:jc w:val="left"/>
        <w:rPr>
          <w:rFonts w:hint="eastAsia" w:ascii="微软雅黑" w:hAnsi="微软雅黑" w:eastAsia="微软雅黑" w:cs="微软雅黑"/>
          <w:i w:val="0"/>
          <w:caps w:val="0"/>
          <w:color w:val="404040"/>
          <w:spacing w:val="0"/>
          <w:sz w:val="19"/>
          <w:szCs w:val="19"/>
        </w:rPr>
      </w:pPr>
      <w:r>
        <w:rPr>
          <w:rFonts w:ascii="仿宋" w:hAnsi="仿宋" w:eastAsia="仿宋" w:cs="仿宋"/>
          <w:i w:val="0"/>
          <w:caps w:val="0"/>
          <w:color w:val="333333"/>
          <w:spacing w:val="0"/>
          <w:kern w:val="0"/>
          <w:sz w:val="32"/>
          <w:szCs w:val="32"/>
          <w:shd w:val="clear" w:fill="FFFFFF"/>
          <w:lang w:val="en-US" w:eastAsia="zh-CN" w:bidi="ar"/>
        </w:rPr>
        <w:t>北京市人民政府门户网站（</w:t>
      </w:r>
      <w:r>
        <w:rPr>
          <w:rFonts w:hint="eastAsia" w:ascii="仿宋" w:hAnsi="仿宋" w:eastAsia="仿宋" w:cs="仿宋"/>
          <w:i w:val="0"/>
          <w:caps w:val="0"/>
          <w:color w:val="333333"/>
          <w:spacing w:val="0"/>
          <w:kern w:val="0"/>
          <w:sz w:val="32"/>
          <w:szCs w:val="32"/>
          <w:shd w:val="clear" w:fill="FFFFFF"/>
          <w:lang w:val="en-US" w:eastAsia="zh-CN" w:bidi="ar"/>
        </w:rPr>
        <w:t>“首都之窗”）网址为：http://www.beijing.gov.cn/,如需了解更多政府信息，请登录查询。</w:t>
      </w:r>
    </w:p>
    <w:p>
      <w:pPr>
        <w:rPr>
          <w:rFonts w:ascii="微软雅黑" w:hAnsi="微软雅黑" w:eastAsia="微软雅黑" w:cs="微软雅黑"/>
          <w:i w:val="0"/>
          <w:caps w:val="0"/>
          <w:color w:val="333333"/>
          <w:spacing w:val="0"/>
          <w:sz w:val="33"/>
          <w:szCs w:val="33"/>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654097"/>
    <w:rsid w:val="230748AD"/>
    <w:rsid w:val="290C3CF9"/>
    <w:rsid w:val="30645696"/>
    <w:rsid w:val="314E1247"/>
    <w:rsid w:val="35654097"/>
    <w:rsid w:val="41652221"/>
    <w:rsid w:val="789F0D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69</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2021-03-03T01:12:00Z</dcterms:created>
  <dc:creator>宋铁峥</dc:creator>
  <cp:lastModifiedBy>宋铁峥</cp:lastModifiedBy>
  <dcterms:modified xsi:type="dcterms:W3CDTF">2021-03-06T07:53:11Z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