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line="312" w:lineRule="auto"/>
        <w:outlineLvl w:val="1"/>
        <w:rPr>
          <w:rFonts w:cs="Times New Roman" w:asciiTheme="majorEastAsia" w:hAnsiTheme="majorEastAsia" w:eastAsiaTheme="majorEastAsia"/>
          <w:b/>
          <w:bCs/>
          <w:sz w:val="28"/>
          <w:szCs w:val="28"/>
        </w:rPr>
      </w:pPr>
      <w:r>
        <w:rPr>
          <w:rFonts w:hint="eastAsia" w:cs="Times New Roman" w:asciiTheme="majorEastAsia" w:hAnsiTheme="majorEastAsia" w:eastAsiaTheme="majorEastAsia"/>
          <w:b/>
          <w:bCs/>
          <w:sz w:val="28"/>
          <w:szCs w:val="28"/>
        </w:rPr>
        <w:t>附件1-3</w:t>
      </w:r>
    </w:p>
    <w:p>
      <w:pPr>
        <w:widowControl/>
        <w:spacing w:line="560" w:lineRule="exact"/>
        <w:ind w:firstLine="716" w:firstLineChars="200"/>
        <w:jc w:val="center"/>
        <w:rPr>
          <w:rFonts w:hint="eastAsia" w:ascii="宋体" w:hAnsi="宋体" w:eastAsia="宋体" w:cs="宋体"/>
          <w:b/>
          <w:sz w:val="36"/>
          <w:szCs w:val="36"/>
        </w:rPr>
      </w:pPr>
      <w:r>
        <w:rPr>
          <w:rFonts w:hint="eastAsia" w:ascii="宋体" w:hAnsi="宋体" w:eastAsia="宋体" w:cs="宋体"/>
          <w:b/>
          <w:sz w:val="36"/>
          <w:szCs w:val="36"/>
          <w:lang w:eastAsia="zh-CN"/>
        </w:rPr>
        <w:t>门头沟区城市管理委员会</w:t>
      </w:r>
      <w:r>
        <w:rPr>
          <w:rFonts w:ascii="宋体" w:hAnsi="宋体" w:eastAsia="宋体" w:cs="宋体"/>
          <w:b/>
          <w:sz w:val="36"/>
          <w:szCs w:val="36"/>
        </w:rPr>
        <w:t>2024</w:t>
      </w:r>
      <w:r>
        <w:rPr>
          <w:rFonts w:hint="eastAsia" w:ascii="宋体" w:hAnsi="宋体" w:eastAsia="宋体" w:cs="宋体"/>
          <w:b/>
          <w:sz w:val="36"/>
          <w:szCs w:val="36"/>
        </w:rPr>
        <w:t>年度部门整体支出</w:t>
      </w:r>
    </w:p>
    <w:p>
      <w:pPr>
        <w:widowControl/>
        <w:spacing w:line="560" w:lineRule="exact"/>
        <w:ind w:firstLine="716" w:firstLineChars="200"/>
        <w:jc w:val="center"/>
        <w:rPr>
          <w:rFonts w:ascii="宋体" w:hAnsi="宋体" w:eastAsia="宋体" w:cs="宋体"/>
          <w:b/>
          <w:sz w:val="36"/>
          <w:szCs w:val="36"/>
        </w:rPr>
      </w:pPr>
      <w:r>
        <w:rPr>
          <w:rFonts w:hint="eastAsia" w:ascii="宋体" w:hAnsi="宋体" w:eastAsia="宋体" w:cs="宋体"/>
          <w:b/>
          <w:sz w:val="36"/>
          <w:szCs w:val="36"/>
        </w:rPr>
        <w:t>绩效自评报告</w:t>
      </w:r>
    </w:p>
    <w:p>
      <w:pPr>
        <w:widowControl/>
        <w:spacing w:line="560" w:lineRule="exact"/>
        <w:ind w:firstLine="636" w:firstLineChars="200"/>
        <w:rPr>
          <w:rFonts w:ascii="黑体" w:hAnsi="黑体" w:eastAsia="黑体" w:cs="宋体"/>
          <w:sz w:val="32"/>
          <w:szCs w:val="32"/>
        </w:rPr>
      </w:pPr>
    </w:p>
    <w:p>
      <w:pPr>
        <w:widowControl/>
        <w:adjustRightInd w:val="0"/>
        <w:snapToGrid w:val="0"/>
        <w:spacing w:line="520" w:lineRule="exact"/>
        <w:ind w:firstLine="636" w:firstLineChars="200"/>
        <w:rPr>
          <w:rFonts w:ascii="黑体" w:hAnsi="黑体" w:eastAsia="黑体" w:cs="Times New Roman"/>
          <w:sz w:val="32"/>
          <w:szCs w:val="32"/>
        </w:rPr>
      </w:pPr>
      <w:r>
        <w:rPr>
          <w:rFonts w:hint="eastAsia" w:ascii="黑体" w:hAnsi="黑体" w:eastAsia="黑体" w:cs="宋体"/>
          <w:sz w:val="32"/>
          <w:szCs w:val="32"/>
        </w:rPr>
        <w:t>一、部门概况</w:t>
      </w:r>
    </w:p>
    <w:p>
      <w:pPr>
        <w:adjustRightInd w:val="0"/>
        <w:snapToGrid w:val="0"/>
        <w:spacing w:line="520" w:lineRule="exact"/>
        <w:ind w:firstLine="636" w:firstLineChars="200"/>
        <w:rPr>
          <w:rFonts w:ascii="楷体_GB2312" w:hAnsi="仿宋" w:eastAsia="楷体_GB2312" w:cs="Times New Roman"/>
          <w:b/>
          <w:sz w:val="32"/>
          <w:szCs w:val="32"/>
        </w:rPr>
      </w:pPr>
      <w:bookmarkStart w:id="0" w:name="_Toc268005755"/>
      <w:r>
        <w:rPr>
          <w:rFonts w:hint="eastAsia" w:ascii="楷体_GB2312" w:hAnsi="仿宋" w:eastAsia="楷体_GB2312" w:cs="Times New Roman"/>
          <w:b/>
          <w:sz w:val="32"/>
          <w:szCs w:val="32"/>
        </w:rPr>
        <w:t>（一）部门职责情况</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 xml:space="preserve">1.贯彻执行国家和本市有关法律法规、战略规划和政策措施；组织监督实施本市关于城市管理和城乡环境建设综合协调、市容环境卫生管理、能源日常运行管理、相关市政公用事业管理等方面的地方性法规、政府规章，拟订城市管理等方面的发展规划、年度计划，并组织实施；组织监督实施相关地方标准和规范。 </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2.负责对本区城市管理工作的业务指导、组织协调、指挥调度、专项整治和检查评价；承担城市管理、城乡环境建设的综合协调、监督考核工作；承担本区城乡环境建设管理委员会的日常工作。</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3.承担本区城市容貌管理责任；组织协调落实重点地区、重点街道的景观建设和治理工作；组织协调、管理城市道路公共服务设施设置；负责市容环境综合整治工作，组织架空线入地和规范整治工作；负责管理户外广告、牌匾标识、标语、宣传品设置；负责区管城市道路路牌的设置管理和违法违规行为的监管；负责城市照明管理工作，会同规划部门编制夜景照明专项规划并组织实施，监督照明设施的维护管理。</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4.负责本区环境卫生的组织管理工作；承担生活垃圾等固体废弃物清扫、收集、贮存、运输和处置的监督管理责任；负责本区垃圾渣土消纳和消纳场所的管理工作；负责指导、管理环境卫生设施建设工作；负责垃圾分类工作，按有关规定对再生资源回收行业进行监督管理。</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5.负责本区燃气、供热、煤炭、电力、电源点的行业管理；负责加油（气）站管理的综合协调；负责新能源汽车充电站（桩）的建设和运营管理。</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6.统筹本区能源日常运行工作，承担煤、电、油、气等能源的日常运行监测、调度、协调和供应保障工作；建立健全热电气常态化联调联供机制。</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7.负责本区市政基础设施规划、统筹、协调，以及区管市政基础设施建设的行业管理；负责区管城市道路、桥梁等设施养护的监督管理；负责本区经营性停车设施和自行车设施的行业管理；承担综合协调管理本区地下管线及其检查井和井盖设施的责任；推进地下管线工程与道路工程同步实施；负责地下综合管廊规划、建设和运营的综合协调管理，制定相关政策，参与编制地下综合管廊规划，拟订年度建设计划，负责地下综合管廊运营的监督管理；承担相关市政设施建设的统筹协调工作，建立市政设施工程规划、建设、管理有效衔接机制,参与相关建设工程的联合验收。</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8.负责本区石油、天然气管道（不包括炼油、化工等企业厂区内管道）保护工作，并承担相应监管职责。</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9.按照区政府工作部门、属地镇街（园区）安全生产监管（管理）职责的分工，承担相应的安全监管责任；承担本区市容环境卫生、燃气、供热、电力、电源点、煤炭、区管道路、桥梁、市政管线及附属设施、地下综合管廊、再生资源回收、加气（电）站、户外广告设施、城市照明设施等方面的安全监管或管理责任；负责市政基础设施安全方面的行业管理和安全运行的监督管理；督促行业内重点单位建立安全管理制度和应急预案，落实安全防范措施，消除事故隐患，并在职责权限范围内负责监管；承担区城市公共设施事故应急指挥部、区电力事故应急指挥部、区扫雪铲冰指挥部的具体工作，负责组织、协调、指导、检查城市公共设施事故的预防和应对工作。</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10.负责本区市容环境卫生管理、能源日常运行管理、相关市政公用事业管理等方面科技发展和信息化建设工作；承担本区城市管理财政预算运维资金的统筹管理责任;组织开展对外交流合作。</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11.贯彻落实国家及北京市关于城市管理方面的法律、法规、规章及政策，依法开展城市环境综合治理和维护城市管理秩序相关工作。研究提出完善本区城市管理综合行政执法体制的意见和建议。负责制定本区城市管理综合行政执法工作计划、专项治理方案并组织实施。</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12.负责集中行使法律、法规、规章规定的应由本区区级城管执法部门行使的城市管理领域行政执法职责。负责本区相关领域重大疑难案件和跨区域案件的查处工作。</w:t>
      </w:r>
    </w:p>
    <w:p>
      <w:pPr>
        <w:adjustRightInd w:val="0"/>
        <w:snapToGrid w:val="0"/>
        <w:spacing w:line="520" w:lineRule="exact"/>
        <w:ind w:firstLine="636" w:firstLineChars="200"/>
        <w:rPr>
          <w:rFonts w:ascii="仿宋_GB2312" w:hAnsi="仿宋" w:eastAsia="仿宋_GB2312" w:cs="Times New Roman"/>
          <w:sz w:val="32"/>
          <w:szCs w:val="32"/>
        </w:rPr>
      </w:pPr>
      <w:r>
        <w:rPr>
          <w:rFonts w:hint="eastAsia" w:ascii="仿宋_GB2312" w:hAnsi="仿宋" w:eastAsia="仿宋_GB2312" w:cs="Times New Roman"/>
          <w:sz w:val="32"/>
          <w:szCs w:val="32"/>
        </w:rPr>
        <w:t>13.承办区委、区政府和上级部门交办的其他事项。</w:t>
      </w:r>
    </w:p>
    <w:p>
      <w:pPr>
        <w:adjustRightInd w:val="0"/>
        <w:snapToGrid w:val="0"/>
        <w:spacing w:line="520" w:lineRule="exact"/>
        <w:ind w:firstLine="636" w:firstLineChars="200"/>
        <w:rPr>
          <w:rFonts w:ascii="楷体_GB2312" w:hAnsi="仿宋" w:eastAsia="楷体_GB2312" w:cs="Times New Roman"/>
          <w:b/>
          <w:sz w:val="32"/>
          <w:szCs w:val="32"/>
        </w:rPr>
      </w:pPr>
      <w:r>
        <w:rPr>
          <w:rFonts w:hint="eastAsia" w:ascii="楷体_GB2312" w:hAnsi="仿宋" w:eastAsia="楷体_GB2312" w:cs="Times New Roman"/>
          <w:b/>
          <w:sz w:val="32"/>
          <w:szCs w:val="32"/>
        </w:rPr>
        <w:t>（二）部门机构设置情况</w:t>
      </w:r>
    </w:p>
    <w:p>
      <w:pPr>
        <w:adjustRightInd w:val="0"/>
        <w:snapToGrid w:val="0"/>
        <w:spacing w:line="520" w:lineRule="exact"/>
        <w:ind w:firstLine="636"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rPr>
        <w:t>本部门共设6个内设机构，下设1个行政单位、1个事业单位。</w:t>
      </w:r>
    </w:p>
    <w:p>
      <w:pPr>
        <w:adjustRightInd w:val="0"/>
        <w:snapToGrid w:val="0"/>
        <w:spacing w:line="520" w:lineRule="exact"/>
        <w:ind w:firstLine="636" w:firstLineChars="200"/>
        <w:rPr>
          <w:rFonts w:ascii="楷体_GB2312" w:hAnsi="仿宋" w:eastAsia="楷体_GB2312" w:cs="Times New Roman"/>
          <w:b/>
          <w:sz w:val="32"/>
          <w:szCs w:val="32"/>
        </w:rPr>
      </w:pPr>
      <w:r>
        <w:rPr>
          <w:rFonts w:hint="eastAsia" w:ascii="楷体_GB2312" w:hAnsi="仿宋" w:eastAsia="楷体_GB2312" w:cs="Times New Roman"/>
          <w:b/>
          <w:sz w:val="32"/>
          <w:szCs w:val="32"/>
        </w:rPr>
        <w:t>（三）</w:t>
      </w:r>
      <w:r>
        <w:rPr>
          <w:rFonts w:ascii="楷体_GB2312" w:hAnsi="仿宋" w:eastAsia="楷体_GB2312" w:cs="Times New Roman"/>
          <w:b/>
          <w:sz w:val="32"/>
          <w:szCs w:val="32"/>
        </w:rPr>
        <w:t>2024</w:t>
      </w:r>
      <w:r>
        <w:rPr>
          <w:rFonts w:hint="eastAsia" w:ascii="楷体_GB2312" w:hAnsi="仿宋" w:eastAsia="楷体_GB2312" w:cs="Times New Roman"/>
          <w:b/>
          <w:sz w:val="32"/>
          <w:szCs w:val="32"/>
        </w:rPr>
        <w:t>年主要工作任务</w:t>
      </w:r>
    </w:p>
    <w:bookmarkEnd w:id="0"/>
    <w:p>
      <w:pPr>
        <w:adjustRightInd w:val="0"/>
        <w:snapToGrid w:val="0"/>
        <w:spacing w:line="520" w:lineRule="exact"/>
        <w:ind w:firstLine="636" w:firstLineChars="200"/>
        <w:rPr>
          <w:rFonts w:hint="eastAsia" w:ascii="仿宋_GB2312" w:hAnsi="仿宋" w:eastAsia="仿宋_GB2312" w:cs="Times New Roman"/>
          <w:sz w:val="32"/>
          <w:szCs w:val="32"/>
        </w:rPr>
      </w:pPr>
      <w:bookmarkStart w:id="1" w:name="_Toc268005759"/>
      <w:bookmarkStart w:id="2" w:name="_Toc263686375"/>
      <w:r>
        <w:rPr>
          <w:rFonts w:hint="eastAsia" w:ascii="仿宋_GB2312" w:hAnsi="仿宋" w:eastAsia="仿宋_GB2312" w:cs="Times New Roman"/>
          <w:sz w:val="32"/>
          <w:szCs w:val="32"/>
        </w:rPr>
        <w:t>我单位资金支出主要为基本支出和项目支出。其中基本支出用于保障事业在编人员工资及水电费、办公费等日常公用经费；项目支出主要包括区政府重点工程任务目标；区域路网的完善；燃气、供暖、供电、环卫、养护等行业管理；城市运行保障；实施景观提升工程；加强城乡环境检查协调等。</w:t>
      </w:r>
    </w:p>
    <w:p>
      <w:pPr>
        <w:adjustRightInd w:val="0"/>
        <w:snapToGrid w:val="0"/>
        <w:spacing w:line="520" w:lineRule="exact"/>
        <w:ind w:firstLine="636" w:firstLineChars="200"/>
        <w:rPr>
          <w:rFonts w:ascii="楷体_GB2312" w:hAnsi="仿宋" w:eastAsia="楷体_GB2312" w:cs="Times New Roman"/>
          <w:b/>
          <w:sz w:val="32"/>
          <w:szCs w:val="32"/>
        </w:rPr>
      </w:pPr>
      <w:r>
        <w:rPr>
          <w:rFonts w:hint="eastAsia" w:ascii="楷体_GB2312" w:hAnsi="仿宋" w:eastAsia="楷体_GB2312" w:cs="Times New Roman"/>
          <w:b/>
          <w:sz w:val="32"/>
          <w:szCs w:val="32"/>
        </w:rPr>
        <w:t>（四）部门</w:t>
      </w:r>
      <w:bookmarkEnd w:id="1"/>
      <w:r>
        <w:rPr>
          <w:rFonts w:hint="eastAsia" w:ascii="楷体_GB2312" w:hAnsi="仿宋" w:eastAsia="楷体_GB2312" w:cs="Times New Roman"/>
          <w:b/>
          <w:sz w:val="32"/>
          <w:szCs w:val="32"/>
        </w:rPr>
        <w:t>整体绩效目标设立情况</w:t>
      </w:r>
    </w:p>
    <w:tbl>
      <w:tblPr>
        <w:tblStyle w:val="7"/>
        <w:tblW w:w="9017" w:type="dxa"/>
        <w:tblInd w:w="0" w:type="dxa"/>
        <w:tblLayout w:type="fixed"/>
        <w:tblCellMar>
          <w:top w:w="0" w:type="dxa"/>
          <w:left w:w="108" w:type="dxa"/>
          <w:bottom w:w="0" w:type="dxa"/>
          <w:right w:w="108" w:type="dxa"/>
        </w:tblCellMar>
      </w:tblPr>
      <w:tblGrid>
        <w:gridCol w:w="1049"/>
        <w:gridCol w:w="2658"/>
        <w:gridCol w:w="930"/>
        <w:gridCol w:w="2325"/>
        <w:gridCol w:w="990"/>
        <w:gridCol w:w="1065"/>
      </w:tblGrid>
      <w:tr>
        <w:tblPrEx>
          <w:tblLayout w:type="fixed"/>
          <w:tblCellMar>
            <w:top w:w="0" w:type="dxa"/>
            <w:left w:w="108" w:type="dxa"/>
            <w:bottom w:w="0" w:type="dxa"/>
            <w:right w:w="108" w:type="dxa"/>
          </w:tblCellMar>
        </w:tblPrEx>
        <w:trPr>
          <w:trHeight w:val="275" w:hRule="atLeast"/>
        </w:trPr>
        <w:tc>
          <w:tcPr>
            <w:tcW w:w="1049" w:type="dxa"/>
            <w:tcBorders>
              <w:top w:val="single" w:color="auto" w:sz="4" w:space="0"/>
              <w:left w:val="single" w:color="auto" w:sz="4" w:space="0"/>
              <w:bottom w:val="single" w:color="auto" w:sz="4" w:space="0"/>
              <w:right w:val="single" w:color="auto" w:sz="4" w:space="0"/>
            </w:tcBorders>
            <w:vAlign w:val="bottom"/>
          </w:tcPr>
          <w:p>
            <w:pPr>
              <w:widowControl/>
              <w:jc w:val="center"/>
              <w:rPr>
                <w:rFonts w:ascii="仿宋_GB2312" w:hAnsi="仿宋" w:eastAsia="仿宋_GB2312" w:cs="Times New Roman"/>
                <w:sz w:val="28"/>
                <w:szCs w:val="28"/>
              </w:rPr>
            </w:pPr>
            <w:r>
              <w:rPr>
                <w:rFonts w:hint="eastAsia" w:ascii="仿宋_GB2312" w:hAnsi="仿宋" w:eastAsia="仿宋_GB2312" w:cs="Times New Roman"/>
                <w:sz w:val="28"/>
                <w:szCs w:val="28"/>
              </w:rPr>
              <w:t>序号</w:t>
            </w:r>
          </w:p>
        </w:tc>
        <w:tc>
          <w:tcPr>
            <w:tcW w:w="2658" w:type="dxa"/>
            <w:tcBorders>
              <w:top w:val="single" w:color="auto" w:sz="4" w:space="0"/>
              <w:left w:val="nil"/>
              <w:bottom w:val="single" w:color="auto" w:sz="4" w:space="0"/>
              <w:right w:val="single" w:color="auto" w:sz="4" w:space="0"/>
            </w:tcBorders>
            <w:vAlign w:val="bottom"/>
          </w:tcPr>
          <w:p>
            <w:pPr>
              <w:widowControl/>
              <w:jc w:val="center"/>
              <w:rPr>
                <w:rFonts w:ascii="仿宋_GB2312" w:hAnsi="仿宋" w:eastAsia="仿宋_GB2312" w:cs="Times New Roman"/>
                <w:sz w:val="28"/>
                <w:szCs w:val="28"/>
              </w:rPr>
            </w:pPr>
            <w:r>
              <w:rPr>
                <w:rFonts w:hint="eastAsia" w:ascii="仿宋_GB2312" w:hAnsi="仿宋" w:eastAsia="仿宋_GB2312" w:cs="Times New Roman"/>
                <w:sz w:val="28"/>
                <w:szCs w:val="28"/>
              </w:rPr>
              <w:t>三级指标</w:t>
            </w:r>
          </w:p>
        </w:tc>
        <w:tc>
          <w:tcPr>
            <w:tcW w:w="930" w:type="dxa"/>
            <w:tcBorders>
              <w:top w:val="single" w:color="auto" w:sz="4" w:space="0"/>
              <w:left w:val="nil"/>
              <w:bottom w:val="single" w:color="auto" w:sz="4" w:space="0"/>
              <w:right w:val="single" w:color="auto" w:sz="4" w:space="0"/>
            </w:tcBorders>
            <w:vAlign w:val="bottom"/>
          </w:tcPr>
          <w:p>
            <w:pPr>
              <w:widowControl/>
              <w:jc w:val="center"/>
              <w:rPr>
                <w:rFonts w:ascii="仿宋_GB2312" w:hAnsi="仿宋" w:eastAsia="仿宋_GB2312" w:cs="Times New Roman"/>
                <w:sz w:val="28"/>
                <w:szCs w:val="28"/>
              </w:rPr>
            </w:pPr>
            <w:r>
              <w:rPr>
                <w:rFonts w:hint="eastAsia" w:ascii="仿宋_GB2312" w:hAnsi="仿宋" w:eastAsia="仿宋_GB2312" w:cs="Times New Roman"/>
                <w:sz w:val="28"/>
                <w:szCs w:val="28"/>
              </w:rPr>
              <w:t>指标性质</w:t>
            </w:r>
          </w:p>
        </w:tc>
        <w:tc>
          <w:tcPr>
            <w:tcW w:w="2325" w:type="dxa"/>
            <w:tcBorders>
              <w:top w:val="single" w:color="auto" w:sz="4" w:space="0"/>
              <w:left w:val="nil"/>
              <w:bottom w:val="single" w:color="auto" w:sz="4" w:space="0"/>
              <w:right w:val="single" w:color="auto" w:sz="4" w:space="0"/>
            </w:tcBorders>
            <w:vAlign w:val="bottom"/>
          </w:tcPr>
          <w:p>
            <w:pPr>
              <w:widowControl/>
              <w:jc w:val="center"/>
              <w:rPr>
                <w:rFonts w:ascii="仿宋_GB2312" w:hAnsi="仿宋" w:eastAsia="仿宋_GB2312" w:cs="Times New Roman"/>
                <w:sz w:val="28"/>
                <w:szCs w:val="28"/>
              </w:rPr>
            </w:pPr>
            <w:r>
              <w:rPr>
                <w:rFonts w:hint="eastAsia" w:ascii="仿宋_GB2312" w:hAnsi="仿宋" w:eastAsia="仿宋_GB2312" w:cs="Times New Roman"/>
                <w:sz w:val="28"/>
                <w:szCs w:val="28"/>
              </w:rPr>
              <w:t>指标值</w:t>
            </w:r>
          </w:p>
        </w:tc>
        <w:tc>
          <w:tcPr>
            <w:tcW w:w="990" w:type="dxa"/>
            <w:tcBorders>
              <w:top w:val="single" w:color="auto" w:sz="4" w:space="0"/>
              <w:left w:val="nil"/>
              <w:bottom w:val="single" w:color="auto" w:sz="4" w:space="0"/>
              <w:right w:val="single" w:color="auto" w:sz="4" w:space="0"/>
            </w:tcBorders>
          </w:tcPr>
          <w:p>
            <w:pPr>
              <w:widowControl/>
              <w:jc w:val="center"/>
              <w:rPr>
                <w:rFonts w:ascii="仿宋_GB2312" w:hAnsi="仿宋" w:eastAsia="仿宋_GB2312" w:cs="Times New Roman"/>
                <w:sz w:val="28"/>
                <w:szCs w:val="28"/>
              </w:rPr>
            </w:pPr>
            <w:r>
              <w:rPr>
                <w:rFonts w:hint="eastAsia" w:ascii="仿宋_GB2312" w:hAnsi="仿宋" w:eastAsia="仿宋_GB2312" w:cs="Times New Roman"/>
                <w:sz w:val="28"/>
                <w:szCs w:val="28"/>
              </w:rPr>
              <w:t>度量单位</w:t>
            </w:r>
          </w:p>
        </w:tc>
        <w:tc>
          <w:tcPr>
            <w:tcW w:w="1065" w:type="dxa"/>
            <w:tcBorders>
              <w:top w:val="single" w:color="auto" w:sz="4" w:space="0"/>
              <w:left w:val="nil"/>
              <w:bottom w:val="single" w:color="auto" w:sz="4" w:space="0"/>
              <w:right w:val="single" w:color="auto" w:sz="4" w:space="0"/>
            </w:tcBorders>
          </w:tcPr>
          <w:p>
            <w:pPr>
              <w:widowControl/>
              <w:jc w:val="center"/>
              <w:rPr>
                <w:rFonts w:ascii="仿宋_GB2312" w:hAnsi="仿宋" w:eastAsia="仿宋_GB2312" w:cs="Times New Roman"/>
                <w:sz w:val="28"/>
                <w:szCs w:val="28"/>
              </w:rPr>
            </w:pPr>
            <w:r>
              <w:rPr>
                <w:rFonts w:hint="eastAsia" w:ascii="仿宋_GB2312" w:hAnsi="仿宋" w:eastAsia="仿宋_GB2312" w:cs="Times New Roman"/>
                <w:sz w:val="28"/>
                <w:szCs w:val="28"/>
              </w:rPr>
              <w:t>指标权重</w:t>
            </w:r>
          </w:p>
        </w:tc>
      </w:tr>
      <w:tr>
        <w:tblPrEx>
          <w:tblLayout w:type="fixed"/>
          <w:tblCellMar>
            <w:top w:w="0" w:type="dxa"/>
            <w:left w:w="108" w:type="dxa"/>
            <w:bottom w:w="0" w:type="dxa"/>
            <w:right w:w="108" w:type="dxa"/>
          </w:tblCellMar>
        </w:tblPrEx>
        <w:trPr>
          <w:trHeight w:val="1944" w:hRule="atLeast"/>
        </w:trPr>
        <w:tc>
          <w:tcPr>
            <w:tcW w:w="1049" w:type="dxa"/>
            <w:tcBorders>
              <w:top w:val="nil"/>
              <w:left w:val="single" w:color="auto" w:sz="4" w:space="0"/>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rPr>
              <w:t>　</w:t>
            </w:r>
            <w:r>
              <w:rPr>
                <w:rFonts w:ascii="仿宋_GB2312" w:hAnsi="仿宋" w:eastAsia="仿宋_GB2312" w:cs="Times New Roman"/>
                <w:sz w:val="28"/>
                <w:szCs w:val="28"/>
              </w:rPr>
              <w:t>1</w:t>
            </w:r>
          </w:p>
        </w:tc>
        <w:tc>
          <w:tcPr>
            <w:tcW w:w="2658" w:type="dxa"/>
            <w:tcBorders>
              <w:top w:val="nil"/>
              <w:left w:val="nil"/>
              <w:bottom w:val="single" w:color="auto" w:sz="4" w:space="0"/>
              <w:right w:val="single" w:color="auto" w:sz="4" w:space="0"/>
            </w:tcBorders>
            <w:vAlign w:val="top"/>
          </w:tcPr>
          <w:p>
            <w:pPr>
              <w:widowControl/>
              <w:jc w:val="both"/>
              <w:rPr>
                <w:rFonts w:hint="eastAsia" w:ascii="仿宋_GB2312" w:hAnsi="仿宋" w:eastAsia="仿宋_GB2312" w:cs="Times New Roman"/>
                <w:sz w:val="28"/>
                <w:szCs w:val="28"/>
              </w:rPr>
            </w:pPr>
            <w:r>
              <w:rPr>
                <w:rFonts w:hint="eastAsia" w:ascii="仿宋_GB2312" w:hAnsi="仿宋" w:eastAsia="仿宋_GB2312" w:cs="Times New Roman"/>
                <w:sz w:val="24"/>
                <w:szCs w:val="24"/>
              </w:rPr>
              <w:t>　</w:t>
            </w:r>
            <w:r>
              <w:rPr>
                <w:rFonts w:hint="eastAsia" w:ascii="仿宋_GB2312" w:hAnsi="仿宋" w:eastAsia="仿宋_GB2312" w:cs="Times New Roman"/>
                <w:sz w:val="32"/>
                <w:szCs w:val="32"/>
              </w:rPr>
              <w:t>按照规划完成市政配套建设、道路养护、环境整治等任务</w:t>
            </w:r>
          </w:p>
        </w:tc>
        <w:tc>
          <w:tcPr>
            <w:tcW w:w="930" w:type="dxa"/>
            <w:tcBorders>
              <w:top w:val="nil"/>
              <w:left w:val="nil"/>
              <w:bottom w:val="single" w:color="auto" w:sz="4" w:space="0"/>
              <w:right w:val="single" w:color="auto" w:sz="4" w:space="0"/>
            </w:tcBorders>
            <w:vAlign w:val="top"/>
          </w:tcPr>
          <w:p>
            <w:pPr>
              <w:widowControl/>
              <w:jc w:val="both"/>
              <w:rPr>
                <w:rFonts w:ascii="仿宋_GB2312" w:hAnsi="仿宋" w:eastAsia="仿宋_GB2312" w:cs="Times New Roman"/>
                <w:sz w:val="24"/>
                <w:szCs w:val="24"/>
              </w:rPr>
            </w:pPr>
            <w:r>
              <w:rPr>
                <w:rFonts w:hint="eastAsia" w:ascii="仿宋_GB2312" w:hAnsi="仿宋" w:eastAsia="仿宋_GB2312" w:cs="Times New Roman"/>
                <w:sz w:val="32"/>
                <w:szCs w:val="32"/>
                <w:lang w:eastAsia="zh-CN"/>
              </w:rPr>
              <w:t>项</w:t>
            </w:r>
          </w:p>
        </w:tc>
        <w:tc>
          <w:tcPr>
            <w:tcW w:w="2325" w:type="dxa"/>
            <w:tcBorders>
              <w:top w:val="nil"/>
              <w:left w:val="nil"/>
              <w:bottom w:val="single" w:color="auto" w:sz="4" w:space="0"/>
              <w:right w:val="single" w:color="auto" w:sz="4" w:space="0"/>
            </w:tcBorders>
            <w:vAlign w:val="top"/>
          </w:tcPr>
          <w:p>
            <w:pPr>
              <w:widowControl/>
              <w:jc w:val="both"/>
              <w:rPr>
                <w:rFonts w:ascii="仿宋_GB2312" w:hAnsi="仿宋" w:eastAsia="仿宋_GB2312" w:cs="Times New Roman"/>
                <w:sz w:val="24"/>
                <w:szCs w:val="24"/>
              </w:rPr>
            </w:pPr>
            <w:r>
              <w:rPr>
                <w:rFonts w:hint="eastAsia" w:ascii="仿宋_GB2312" w:hAnsi="仿宋" w:eastAsia="仿宋_GB2312" w:cs="Times New Roman"/>
                <w:sz w:val="32"/>
                <w:szCs w:val="32"/>
              </w:rPr>
              <w:t>按照全年任务水平完工工作任务</w:t>
            </w:r>
          </w:p>
        </w:tc>
        <w:tc>
          <w:tcPr>
            <w:tcW w:w="990" w:type="dxa"/>
            <w:tcBorders>
              <w:top w:val="nil"/>
              <w:left w:val="nil"/>
              <w:bottom w:val="single" w:color="auto" w:sz="4" w:space="0"/>
              <w:right w:val="single" w:color="auto" w:sz="4" w:space="0"/>
            </w:tcBorders>
            <w:vAlign w:val="top"/>
          </w:tcPr>
          <w:p>
            <w:pPr>
              <w:widowControl/>
              <w:jc w:val="both"/>
              <w:rPr>
                <w:rFonts w:hint="eastAsia" w:ascii="仿宋_GB2312" w:hAnsi="仿宋" w:eastAsia="仿宋_GB2312" w:cs="Times New Roman"/>
                <w:sz w:val="32"/>
                <w:szCs w:val="32"/>
                <w:lang w:eastAsia="zh-CN"/>
              </w:rPr>
            </w:pPr>
          </w:p>
          <w:p>
            <w:pPr>
              <w:widowControl/>
              <w:jc w:val="both"/>
              <w:rPr>
                <w:rFonts w:hint="eastAsia" w:ascii="仿宋_GB2312" w:hAnsi="仿宋" w:eastAsia="仿宋_GB2312" w:cs="Times New Roman"/>
                <w:sz w:val="32"/>
                <w:szCs w:val="32"/>
                <w:lang w:eastAsia="zh-CN"/>
              </w:rPr>
            </w:pPr>
          </w:p>
          <w:p>
            <w:pPr>
              <w:widowControl/>
              <w:jc w:val="both"/>
              <w:rPr>
                <w:rFonts w:hint="eastAsia" w:ascii="仿宋_GB2312" w:hAnsi="仿宋" w:eastAsia="仿宋_GB2312" w:cs="Times New Roman"/>
                <w:sz w:val="24"/>
                <w:szCs w:val="24"/>
                <w:lang w:eastAsia="zh-CN"/>
              </w:rPr>
            </w:pPr>
            <w:r>
              <w:rPr>
                <w:rFonts w:hint="eastAsia" w:ascii="仿宋_GB2312" w:hAnsi="仿宋" w:eastAsia="仿宋_GB2312" w:cs="Times New Roman"/>
                <w:sz w:val="32"/>
                <w:szCs w:val="32"/>
                <w:lang w:eastAsia="zh-CN"/>
              </w:rPr>
              <w:t>项</w:t>
            </w:r>
          </w:p>
        </w:tc>
        <w:tc>
          <w:tcPr>
            <w:tcW w:w="1065" w:type="dxa"/>
            <w:tcBorders>
              <w:top w:val="nil"/>
              <w:left w:val="nil"/>
              <w:bottom w:val="single" w:color="auto" w:sz="4" w:space="0"/>
              <w:right w:val="single" w:color="auto" w:sz="4" w:space="0"/>
            </w:tcBorders>
            <w:vAlign w:val="top"/>
          </w:tcPr>
          <w:p>
            <w:pPr>
              <w:widowControl/>
              <w:jc w:val="both"/>
              <w:rPr>
                <w:rFonts w:hint="eastAsia" w:ascii="仿宋_GB2312" w:hAnsi="仿宋" w:eastAsia="仿宋_GB2312" w:cs="Times New Roman"/>
                <w:sz w:val="24"/>
                <w:szCs w:val="24"/>
                <w:lang w:val="en-US" w:eastAsia="zh-CN"/>
              </w:rPr>
            </w:pPr>
            <w:r>
              <w:rPr>
                <w:rFonts w:hint="eastAsia" w:ascii="仿宋_GB2312" w:hAnsi="仿宋" w:eastAsia="仿宋_GB2312" w:cs="Times New Roman"/>
                <w:sz w:val="32"/>
                <w:szCs w:val="32"/>
                <w:lang w:val="en-US" w:eastAsia="zh-CN"/>
              </w:rPr>
              <w:t>25</w:t>
            </w:r>
          </w:p>
        </w:tc>
      </w:tr>
      <w:tr>
        <w:tblPrEx>
          <w:tblLayout w:type="fixed"/>
          <w:tblCellMar>
            <w:top w:w="0" w:type="dxa"/>
            <w:left w:w="108" w:type="dxa"/>
            <w:bottom w:w="0" w:type="dxa"/>
            <w:right w:w="108" w:type="dxa"/>
          </w:tblCellMar>
        </w:tblPrEx>
        <w:trPr>
          <w:trHeight w:val="275" w:hRule="atLeast"/>
        </w:trPr>
        <w:tc>
          <w:tcPr>
            <w:tcW w:w="1049" w:type="dxa"/>
            <w:tcBorders>
              <w:top w:val="nil"/>
              <w:left w:val="single" w:color="auto" w:sz="4" w:space="0"/>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rPr>
              <w:t>　</w:t>
            </w:r>
            <w:r>
              <w:rPr>
                <w:rFonts w:ascii="仿宋_GB2312" w:hAnsi="仿宋" w:eastAsia="仿宋_GB2312" w:cs="Times New Roman"/>
                <w:sz w:val="28"/>
                <w:szCs w:val="28"/>
              </w:rPr>
              <w:t>2</w:t>
            </w:r>
          </w:p>
        </w:tc>
        <w:tc>
          <w:tcPr>
            <w:tcW w:w="2658" w:type="dxa"/>
            <w:tcBorders>
              <w:top w:val="nil"/>
              <w:left w:val="nil"/>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rPr>
              <w:t>按期完成目标任务</w:t>
            </w:r>
          </w:p>
        </w:tc>
        <w:tc>
          <w:tcPr>
            <w:tcW w:w="930" w:type="dxa"/>
            <w:tcBorders>
              <w:top w:val="nil"/>
              <w:left w:val="nil"/>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rPr>
              <w:t>　</w:t>
            </w:r>
            <w:r>
              <w:rPr>
                <w:rFonts w:hint="eastAsia" w:ascii="仿宋_GB2312" w:hAnsi="仿宋" w:eastAsia="仿宋_GB2312" w:cs="Times New Roman"/>
                <w:sz w:val="28"/>
                <w:szCs w:val="28"/>
                <w:lang w:eastAsia="zh-CN"/>
              </w:rPr>
              <w:t>年</w:t>
            </w:r>
          </w:p>
        </w:tc>
        <w:tc>
          <w:tcPr>
            <w:tcW w:w="2325" w:type="dxa"/>
            <w:tcBorders>
              <w:top w:val="nil"/>
              <w:left w:val="nil"/>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rPr>
              <w:t>　</w:t>
            </w:r>
            <w:r>
              <w:rPr>
                <w:rFonts w:hint="eastAsia" w:ascii="仿宋_GB2312" w:hAnsi="仿宋" w:eastAsia="仿宋_GB2312" w:cs="Times New Roman"/>
                <w:sz w:val="28"/>
                <w:szCs w:val="28"/>
                <w:lang w:val="en-US" w:eastAsia="zh-CN"/>
              </w:rPr>
              <w:t>2024年</w:t>
            </w:r>
          </w:p>
        </w:tc>
        <w:tc>
          <w:tcPr>
            <w:tcW w:w="990" w:type="dxa"/>
            <w:tcBorders>
              <w:top w:val="nil"/>
              <w:left w:val="nil"/>
              <w:bottom w:val="single" w:color="auto" w:sz="4" w:space="0"/>
              <w:right w:val="single" w:color="auto" w:sz="4" w:space="0"/>
            </w:tcBorders>
            <w:vAlign w:val="top"/>
          </w:tcPr>
          <w:p>
            <w:pPr>
              <w:widowControl/>
              <w:jc w:val="both"/>
              <w:rPr>
                <w:rFonts w:hint="eastAsia" w:ascii="仿宋_GB2312" w:hAnsi="仿宋" w:eastAsia="仿宋_GB2312" w:cs="Times New Roman"/>
                <w:sz w:val="28"/>
                <w:szCs w:val="28"/>
                <w:lang w:eastAsia="zh-CN"/>
              </w:rPr>
            </w:pPr>
            <w:r>
              <w:rPr>
                <w:rFonts w:hint="eastAsia" w:ascii="仿宋_GB2312" w:hAnsi="仿宋" w:eastAsia="仿宋_GB2312" w:cs="Times New Roman"/>
                <w:sz w:val="28"/>
                <w:szCs w:val="28"/>
                <w:lang w:eastAsia="zh-CN"/>
              </w:rPr>
              <w:t>年</w:t>
            </w:r>
          </w:p>
        </w:tc>
        <w:tc>
          <w:tcPr>
            <w:tcW w:w="1065" w:type="dxa"/>
            <w:tcBorders>
              <w:top w:val="nil"/>
              <w:left w:val="nil"/>
              <w:bottom w:val="single" w:color="auto" w:sz="4" w:space="0"/>
              <w:right w:val="single" w:color="auto" w:sz="4" w:space="0"/>
            </w:tcBorders>
            <w:vAlign w:val="top"/>
          </w:tcPr>
          <w:p>
            <w:pPr>
              <w:widowControl/>
              <w:jc w:val="both"/>
              <w:rPr>
                <w:rFonts w:hint="eastAsia" w:ascii="仿宋_GB2312" w:hAnsi="仿宋" w:eastAsia="仿宋_GB2312" w:cs="Times New Roman"/>
                <w:sz w:val="28"/>
                <w:szCs w:val="28"/>
                <w:lang w:val="en-US" w:eastAsia="zh-CN"/>
              </w:rPr>
            </w:pPr>
            <w:r>
              <w:rPr>
                <w:rFonts w:hint="eastAsia" w:ascii="仿宋_GB2312" w:hAnsi="仿宋" w:eastAsia="仿宋_GB2312" w:cs="Times New Roman"/>
                <w:sz w:val="28"/>
                <w:szCs w:val="28"/>
                <w:lang w:val="en-US" w:eastAsia="zh-CN"/>
              </w:rPr>
              <w:t>25</w:t>
            </w:r>
          </w:p>
        </w:tc>
      </w:tr>
      <w:tr>
        <w:tblPrEx>
          <w:tblLayout w:type="fixed"/>
          <w:tblCellMar>
            <w:top w:w="0" w:type="dxa"/>
            <w:left w:w="108" w:type="dxa"/>
            <w:bottom w:w="0" w:type="dxa"/>
            <w:right w:w="108" w:type="dxa"/>
          </w:tblCellMar>
        </w:tblPrEx>
        <w:trPr>
          <w:trHeight w:val="275" w:hRule="atLeast"/>
        </w:trPr>
        <w:tc>
          <w:tcPr>
            <w:tcW w:w="1049" w:type="dxa"/>
            <w:tcBorders>
              <w:top w:val="nil"/>
              <w:left w:val="single" w:color="auto" w:sz="4" w:space="0"/>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rPr>
              <w:t>　</w:t>
            </w:r>
            <w:r>
              <w:rPr>
                <w:rFonts w:ascii="仿宋_GB2312" w:hAnsi="仿宋" w:eastAsia="仿宋_GB2312" w:cs="Times New Roman"/>
                <w:sz w:val="28"/>
                <w:szCs w:val="28"/>
              </w:rPr>
              <w:t>3</w:t>
            </w:r>
          </w:p>
        </w:tc>
        <w:tc>
          <w:tcPr>
            <w:tcW w:w="2658" w:type="dxa"/>
            <w:tcBorders>
              <w:top w:val="nil"/>
              <w:left w:val="nil"/>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rPr>
              <w:t>　严格按照部门预算进行成本控制</w:t>
            </w:r>
          </w:p>
        </w:tc>
        <w:tc>
          <w:tcPr>
            <w:tcW w:w="930" w:type="dxa"/>
            <w:tcBorders>
              <w:top w:val="nil"/>
              <w:left w:val="nil"/>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lang w:eastAsia="zh-CN"/>
              </w:rPr>
              <w:t>万元</w:t>
            </w:r>
          </w:p>
        </w:tc>
        <w:tc>
          <w:tcPr>
            <w:tcW w:w="2325" w:type="dxa"/>
            <w:tcBorders>
              <w:top w:val="nil"/>
              <w:left w:val="nil"/>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lang w:eastAsia="zh-CN"/>
              </w:rPr>
              <w:t>按照预算范围内</w:t>
            </w:r>
          </w:p>
        </w:tc>
        <w:tc>
          <w:tcPr>
            <w:tcW w:w="990" w:type="dxa"/>
            <w:tcBorders>
              <w:top w:val="nil"/>
              <w:left w:val="nil"/>
              <w:bottom w:val="single" w:color="auto" w:sz="4" w:space="0"/>
              <w:right w:val="single" w:color="auto" w:sz="4" w:space="0"/>
            </w:tcBorders>
            <w:vAlign w:val="top"/>
          </w:tcPr>
          <w:p>
            <w:pPr>
              <w:widowControl/>
              <w:jc w:val="both"/>
              <w:rPr>
                <w:rFonts w:hint="eastAsia" w:ascii="仿宋_GB2312" w:hAnsi="仿宋" w:eastAsia="仿宋_GB2312" w:cs="Times New Roman"/>
                <w:sz w:val="28"/>
                <w:szCs w:val="28"/>
                <w:lang w:eastAsia="zh-CN"/>
              </w:rPr>
            </w:pPr>
            <w:r>
              <w:rPr>
                <w:rFonts w:hint="eastAsia" w:ascii="仿宋_GB2312" w:hAnsi="仿宋" w:eastAsia="仿宋_GB2312" w:cs="Times New Roman"/>
                <w:sz w:val="28"/>
                <w:szCs w:val="28"/>
                <w:lang w:eastAsia="zh-CN"/>
              </w:rPr>
              <w:t>万元</w:t>
            </w:r>
          </w:p>
        </w:tc>
        <w:tc>
          <w:tcPr>
            <w:tcW w:w="1065" w:type="dxa"/>
            <w:tcBorders>
              <w:top w:val="nil"/>
              <w:left w:val="nil"/>
              <w:bottom w:val="single" w:color="auto" w:sz="4" w:space="0"/>
              <w:right w:val="single" w:color="auto" w:sz="4" w:space="0"/>
            </w:tcBorders>
            <w:vAlign w:val="top"/>
          </w:tcPr>
          <w:p>
            <w:pPr>
              <w:widowControl/>
              <w:jc w:val="both"/>
              <w:rPr>
                <w:rFonts w:hint="eastAsia" w:ascii="仿宋_GB2312" w:hAnsi="仿宋" w:eastAsia="仿宋_GB2312" w:cs="Times New Roman"/>
                <w:sz w:val="28"/>
                <w:szCs w:val="28"/>
                <w:lang w:val="en-US" w:eastAsia="zh-CN"/>
              </w:rPr>
            </w:pPr>
            <w:r>
              <w:rPr>
                <w:rFonts w:hint="eastAsia" w:ascii="仿宋_GB2312" w:hAnsi="仿宋" w:eastAsia="仿宋_GB2312" w:cs="Times New Roman"/>
                <w:sz w:val="28"/>
                <w:szCs w:val="28"/>
                <w:lang w:val="en-US" w:eastAsia="zh-CN"/>
              </w:rPr>
              <w:t>25</w:t>
            </w:r>
          </w:p>
        </w:tc>
      </w:tr>
      <w:tr>
        <w:tblPrEx>
          <w:tblLayout w:type="fixed"/>
          <w:tblCellMar>
            <w:top w:w="0" w:type="dxa"/>
            <w:left w:w="108" w:type="dxa"/>
            <w:bottom w:w="0" w:type="dxa"/>
            <w:right w:w="108" w:type="dxa"/>
          </w:tblCellMar>
        </w:tblPrEx>
        <w:trPr>
          <w:trHeight w:val="275" w:hRule="atLeast"/>
        </w:trPr>
        <w:tc>
          <w:tcPr>
            <w:tcW w:w="1049" w:type="dxa"/>
            <w:tcBorders>
              <w:top w:val="nil"/>
              <w:left w:val="single" w:color="auto" w:sz="4" w:space="0"/>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rPr>
              <w:t>　</w:t>
            </w:r>
            <w:r>
              <w:rPr>
                <w:rFonts w:hint="eastAsia" w:ascii="仿宋_GB2312" w:hAnsi="仿宋" w:eastAsia="仿宋_GB2312" w:cs="Times New Roman"/>
                <w:sz w:val="28"/>
                <w:szCs w:val="28"/>
                <w:lang w:val="en-US" w:eastAsia="zh-CN"/>
              </w:rPr>
              <w:t>4</w:t>
            </w:r>
          </w:p>
        </w:tc>
        <w:tc>
          <w:tcPr>
            <w:tcW w:w="2658" w:type="dxa"/>
            <w:tcBorders>
              <w:top w:val="nil"/>
              <w:left w:val="nil"/>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rPr>
              <w:t>　服务对象对部门履职效果的满意程度。</w:t>
            </w:r>
          </w:p>
        </w:tc>
        <w:tc>
          <w:tcPr>
            <w:tcW w:w="930" w:type="dxa"/>
            <w:tcBorders>
              <w:top w:val="nil"/>
              <w:left w:val="nil"/>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lang w:eastAsia="zh-CN"/>
              </w:rPr>
              <w:t>人次</w:t>
            </w:r>
            <w:r>
              <w:rPr>
                <w:rFonts w:hint="eastAsia" w:ascii="仿宋_GB2312" w:hAnsi="仿宋" w:eastAsia="仿宋_GB2312" w:cs="Times New Roman"/>
                <w:sz w:val="28"/>
                <w:szCs w:val="28"/>
              </w:rPr>
              <w:t>　</w:t>
            </w:r>
          </w:p>
        </w:tc>
        <w:tc>
          <w:tcPr>
            <w:tcW w:w="2325" w:type="dxa"/>
            <w:tcBorders>
              <w:top w:val="nil"/>
              <w:left w:val="nil"/>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rPr>
              <w:t>　群众满意度达到95%</w:t>
            </w:r>
          </w:p>
        </w:tc>
        <w:tc>
          <w:tcPr>
            <w:tcW w:w="990" w:type="dxa"/>
            <w:tcBorders>
              <w:top w:val="nil"/>
              <w:left w:val="nil"/>
              <w:bottom w:val="single" w:color="auto" w:sz="4" w:space="0"/>
              <w:right w:val="single" w:color="auto" w:sz="4" w:space="0"/>
            </w:tcBorders>
            <w:vAlign w:val="top"/>
          </w:tcPr>
          <w:p>
            <w:pPr>
              <w:widowControl/>
              <w:jc w:val="both"/>
              <w:rPr>
                <w:rFonts w:ascii="仿宋_GB2312" w:hAnsi="仿宋" w:eastAsia="仿宋_GB2312" w:cs="Times New Roman"/>
                <w:sz w:val="28"/>
                <w:szCs w:val="28"/>
              </w:rPr>
            </w:pPr>
            <w:r>
              <w:rPr>
                <w:rFonts w:hint="eastAsia" w:ascii="仿宋_GB2312" w:hAnsi="仿宋" w:eastAsia="仿宋_GB2312" w:cs="Times New Roman"/>
                <w:sz w:val="28"/>
                <w:szCs w:val="28"/>
                <w:lang w:eastAsia="zh-CN"/>
              </w:rPr>
              <w:t>人次</w:t>
            </w:r>
          </w:p>
        </w:tc>
        <w:tc>
          <w:tcPr>
            <w:tcW w:w="1065" w:type="dxa"/>
            <w:tcBorders>
              <w:top w:val="nil"/>
              <w:left w:val="nil"/>
              <w:bottom w:val="single" w:color="auto" w:sz="4" w:space="0"/>
              <w:right w:val="single" w:color="auto" w:sz="4" w:space="0"/>
            </w:tcBorders>
            <w:vAlign w:val="top"/>
          </w:tcPr>
          <w:p>
            <w:pPr>
              <w:widowControl/>
              <w:jc w:val="both"/>
              <w:rPr>
                <w:rFonts w:hint="eastAsia" w:ascii="仿宋_GB2312" w:hAnsi="仿宋" w:eastAsia="仿宋_GB2312" w:cs="Times New Roman"/>
                <w:sz w:val="28"/>
                <w:szCs w:val="28"/>
                <w:lang w:val="en-US" w:eastAsia="zh-CN"/>
              </w:rPr>
            </w:pPr>
            <w:r>
              <w:rPr>
                <w:rFonts w:hint="eastAsia" w:ascii="仿宋_GB2312" w:hAnsi="仿宋" w:eastAsia="仿宋_GB2312" w:cs="Times New Roman"/>
                <w:sz w:val="28"/>
                <w:szCs w:val="28"/>
                <w:lang w:val="en-US" w:eastAsia="zh-CN"/>
              </w:rPr>
              <w:t>25</w:t>
            </w:r>
          </w:p>
        </w:tc>
      </w:tr>
    </w:tbl>
    <w:p>
      <w:pPr>
        <w:widowControl/>
        <w:adjustRightInd w:val="0"/>
        <w:snapToGrid w:val="0"/>
        <w:spacing w:line="520" w:lineRule="exact"/>
        <w:ind w:firstLine="636" w:firstLineChars="200"/>
        <w:rPr>
          <w:rFonts w:ascii="黑体" w:hAnsi="黑体" w:eastAsia="黑体" w:cs="宋体"/>
          <w:sz w:val="32"/>
          <w:szCs w:val="32"/>
        </w:rPr>
      </w:pPr>
      <w:bookmarkStart w:id="3" w:name="_Toc268005761"/>
      <w:r>
        <w:rPr>
          <w:rFonts w:hint="eastAsia" w:ascii="黑体" w:hAnsi="黑体" w:eastAsia="黑体" w:cs="宋体"/>
          <w:sz w:val="32"/>
          <w:szCs w:val="32"/>
        </w:rPr>
        <w:t>二、当年预算执行情况</w:t>
      </w:r>
    </w:p>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2024</w:t>
      </w:r>
      <w:r>
        <w:rPr>
          <w:rFonts w:hint="eastAsia" w:ascii="仿宋_GB2312" w:hAnsi="仿宋" w:eastAsia="仿宋_GB2312" w:cs="Times New Roman"/>
          <w:sz w:val="32"/>
          <w:szCs w:val="32"/>
        </w:rPr>
        <w:t>年全年预算数</w:t>
      </w:r>
      <w:r>
        <w:rPr>
          <w:rFonts w:hint="eastAsia" w:ascii="仿宋_GB2312" w:hAnsi="仿宋" w:eastAsia="仿宋_GB2312" w:cs="Times New Roman"/>
          <w:sz w:val="32"/>
          <w:szCs w:val="32"/>
          <w:lang w:val="en-US" w:eastAsia="zh-CN"/>
        </w:rPr>
        <w:t>122068.71</w:t>
      </w:r>
      <w:r>
        <w:rPr>
          <w:rFonts w:hint="eastAsia" w:ascii="仿宋_GB2312" w:hAnsi="仿宋" w:eastAsia="仿宋_GB2312" w:cs="Times New Roman"/>
          <w:sz w:val="32"/>
          <w:szCs w:val="32"/>
        </w:rPr>
        <w:t>万元，其中：基本支出</w:t>
      </w:r>
      <w:r>
        <w:rPr>
          <w:rFonts w:hint="eastAsia" w:ascii="仿宋_GB2312" w:hAnsi="仿宋" w:eastAsia="仿宋_GB2312" w:cs="Times New Roman"/>
          <w:sz w:val="32"/>
          <w:szCs w:val="32"/>
          <w:lang w:val="en-US" w:eastAsia="zh-CN"/>
        </w:rPr>
        <w:t>4566.40</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4</w:t>
      </w:r>
      <w:r>
        <w:rPr>
          <w:rFonts w:ascii="仿宋_GB2312" w:hAnsi="仿宋" w:eastAsia="仿宋_GB2312" w:cs="Times New Roman"/>
          <w:sz w:val="32"/>
          <w:szCs w:val="32"/>
        </w:rPr>
        <w:t>%</w:t>
      </w:r>
      <w:r>
        <w:rPr>
          <w:rFonts w:hint="eastAsia" w:ascii="仿宋_GB2312" w:hAnsi="仿宋" w:eastAsia="仿宋_GB2312" w:cs="Times New Roman"/>
          <w:sz w:val="32"/>
          <w:szCs w:val="32"/>
        </w:rPr>
        <w:t>；项目支出</w:t>
      </w:r>
      <w:r>
        <w:rPr>
          <w:rFonts w:hint="eastAsia" w:ascii="仿宋_GB2312" w:hAnsi="仿宋" w:eastAsia="仿宋_GB2312" w:cs="Times New Roman"/>
          <w:sz w:val="32"/>
          <w:szCs w:val="32"/>
          <w:lang w:val="en-US" w:eastAsia="zh-CN"/>
        </w:rPr>
        <w:t>117502.31</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97</w:t>
      </w:r>
      <w:r>
        <w:rPr>
          <w:rFonts w:ascii="仿宋_GB2312" w:hAnsi="仿宋" w:eastAsia="仿宋_GB2312" w:cs="Times New Roman"/>
          <w:sz w:val="32"/>
          <w:szCs w:val="32"/>
        </w:rPr>
        <w:t>%</w:t>
      </w:r>
      <w:r>
        <w:rPr>
          <w:rFonts w:hint="eastAsia" w:ascii="仿宋_GB2312" w:hAnsi="仿宋" w:eastAsia="仿宋_GB2312" w:cs="Times New Roman"/>
          <w:sz w:val="32"/>
          <w:szCs w:val="32"/>
        </w:rPr>
        <w:t>；其他支出</w:t>
      </w:r>
      <w:r>
        <w:rPr>
          <w:rFonts w:hint="eastAsia" w:ascii="仿宋_GB2312" w:hAnsi="仿宋" w:eastAsia="仿宋_GB2312" w:cs="Times New Roman"/>
          <w:sz w:val="32"/>
          <w:szCs w:val="32"/>
          <w:lang w:val="en-US" w:eastAsia="zh-CN"/>
        </w:rPr>
        <w:t>0</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0</w:t>
      </w:r>
      <w:r>
        <w:rPr>
          <w:rFonts w:ascii="仿宋_GB2312" w:hAnsi="仿宋" w:eastAsia="仿宋_GB2312" w:cs="Times New Roman"/>
          <w:sz w:val="32"/>
          <w:szCs w:val="32"/>
        </w:rPr>
        <w:t>%</w:t>
      </w:r>
      <w:r>
        <w:rPr>
          <w:rFonts w:hint="eastAsia" w:ascii="仿宋_GB2312" w:hAnsi="仿宋" w:eastAsia="仿宋_GB2312" w:cs="Times New Roman"/>
          <w:sz w:val="32"/>
          <w:szCs w:val="32"/>
        </w:rPr>
        <w:t>。</w:t>
      </w:r>
    </w:p>
    <w:p>
      <w:pPr>
        <w:spacing w:line="520" w:lineRule="exact"/>
        <w:ind w:firstLine="636" w:firstLineChars="200"/>
        <w:rPr>
          <w:rFonts w:ascii="仿宋_GB2312" w:hAnsi="仿宋" w:eastAsia="仿宋_GB2312" w:cs="Times New Roman"/>
          <w:sz w:val="32"/>
          <w:szCs w:val="32"/>
        </w:rPr>
      </w:pPr>
      <w:r>
        <w:rPr>
          <w:rFonts w:hint="eastAsia" w:ascii="仿宋_GB2312" w:hAnsi="仿宋" w:eastAsia="仿宋_GB2312" w:cs="Times New Roman"/>
          <w:sz w:val="32"/>
          <w:szCs w:val="32"/>
        </w:rPr>
        <w:t>截止到</w:t>
      </w:r>
      <w:r>
        <w:rPr>
          <w:rFonts w:ascii="仿宋_GB2312" w:hAnsi="仿宋" w:eastAsia="仿宋_GB2312" w:cs="Times New Roman"/>
          <w:sz w:val="32"/>
          <w:szCs w:val="32"/>
        </w:rPr>
        <w:t>2024</w:t>
      </w:r>
      <w:r>
        <w:rPr>
          <w:rFonts w:hint="eastAsia" w:ascii="仿宋_GB2312" w:hAnsi="仿宋" w:eastAsia="仿宋_GB2312" w:cs="Times New Roman"/>
          <w:sz w:val="32"/>
          <w:szCs w:val="32"/>
        </w:rPr>
        <w:t>年</w:t>
      </w:r>
      <w:r>
        <w:rPr>
          <w:rFonts w:ascii="仿宋_GB2312" w:hAnsi="仿宋" w:eastAsia="仿宋_GB2312" w:cs="Times New Roman"/>
          <w:sz w:val="32"/>
          <w:szCs w:val="32"/>
        </w:rPr>
        <w:t>12</w:t>
      </w:r>
      <w:r>
        <w:rPr>
          <w:rFonts w:hint="eastAsia" w:ascii="仿宋_GB2312" w:hAnsi="仿宋" w:eastAsia="仿宋_GB2312" w:cs="Times New Roman"/>
          <w:sz w:val="32"/>
          <w:szCs w:val="32"/>
        </w:rPr>
        <w:t>月</w:t>
      </w:r>
      <w:r>
        <w:rPr>
          <w:rFonts w:ascii="仿宋_GB2312" w:hAnsi="仿宋" w:eastAsia="仿宋_GB2312" w:cs="Times New Roman"/>
          <w:sz w:val="32"/>
          <w:szCs w:val="32"/>
        </w:rPr>
        <w:t>31</w:t>
      </w:r>
      <w:r>
        <w:rPr>
          <w:rFonts w:hint="eastAsia" w:ascii="仿宋_GB2312" w:hAnsi="仿宋" w:eastAsia="仿宋_GB2312" w:cs="Times New Roman"/>
          <w:sz w:val="32"/>
          <w:szCs w:val="32"/>
        </w:rPr>
        <w:t>日，预算资金总体支出</w:t>
      </w:r>
      <w:r>
        <w:rPr>
          <w:rFonts w:hint="eastAsia" w:ascii="仿宋_GB2312" w:hAnsi="仿宋" w:eastAsia="仿宋_GB2312" w:cs="Times New Roman"/>
          <w:sz w:val="32"/>
          <w:szCs w:val="32"/>
          <w:lang w:val="en-US" w:eastAsia="zh-CN"/>
        </w:rPr>
        <w:t>90831.37</w:t>
      </w:r>
      <w:r>
        <w:rPr>
          <w:rFonts w:hint="eastAsia" w:ascii="仿宋_GB2312" w:hAnsi="仿宋" w:eastAsia="仿宋_GB2312" w:cs="Times New Roman"/>
          <w:sz w:val="32"/>
          <w:szCs w:val="32"/>
        </w:rPr>
        <w:t>万元，其中：基本支出</w:t>
      </w:r>
      <w:r>
        <w:rPr>
          <w:rFonts w:hint="eastAsia" w:ascii="仿宋_GB2312" w:hAnsi="仿宋" w:eastAsia="仿宋_GB2312" w:cs="Times New Roman"/>
          <w:sz w:val="32"/>
          <w:szCs w:val="32"/>
          <w:lang w:val="en-US" w:eastAsia="zh-CN"/>
        </w:rPr>
        <w:t>4555.28</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5</w:t>
      </w:r>
      <w:r>
        <w:rPr>
          <w:rFonts w:ascii="仿宋_GB2312" w:hAnsi="仿宋" w:eastAsia="仿宋_GB2312" w:cs="Times New Roman"/>
          <w:sz w:val="32"/>
          <w:szCs w:val="32"/>
        </w:rPr>
        <w:t>%</w:t>
      </w:r>
      <w:r>
        <w:rPr>
          <w:rFonts w:hint="eastAsia" w:ascii="仿宋_GB2312" w:hAnsi="仿宋" w:eastAsia="仿宋_GB2312" w:cs="Times New Roman"/>
          <w:sz w:val="32"/>
          <w:szCs w:val="32"/>
        </w:rPr>
        <w:t>；项目支出</w:t>
      </w:r>
      <w:r>
        <w:rPr>
          <w:rFonts w:hint="eastAsia" w:ascii="仿宋_GB2312" w:hAnsi="仿宋" w:eastAsia="仿宋_GB2312" w:cs="Times New Roman"/>
          <w:sz w:val="32"/>
          <w:szCs w:val="32"/>
          <w:lang w:val="en-US" w:eastAsia="zh-CN"/>
        </w:rPr>
        <w:t>86276.09</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95</w:t>
      </w:r>
      <w:r>
        <w:rPr>
          <w:rFonts w:ascii="仿宋_GB2312" w:hAnsi="仿宋" w:eastAsia="仿宋_GB2312" w:cs="Times New Roman"/>
          <w:sz w:val="32"/>
          <w:szCs w:val="32"/>
        </w:rPr>
        <w:t>%</w:t>
      </w:r>
      <w:r>
        <w:rPr>
          <w:rFonts w:hint="eastAsia" w:ascii="仿宋_GB2312" w:hAnsi="仿宋" w:eastAsia="仿宋_GB2312" w:cs="Times New Roman"/>
          <w:sz w:val="32"/>
          <w:szCs w:val="32"/>
        </w:rPr>
        <w:t>；其他支出</w:t>
      </w:r>
      <w:r>
        <w:rPr>
          <w:rFonts w:hint="eastAsia" w:ascii="仿宋_GB2312" w:hAnsi="仿宋" w:eastAsia="仿宋_GB2312" w:cs="Times New Roman"/>
          <w:sz w:val="32"/>
          <w:szCs w:val="32"/>
          <w:lang w:val="en-US" w:eastAsia="zh-CN"/>
        </w:rPr>
        <w:t>0</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0</w:t>
      </w:r>
      <w:r>
        <w:rPr>
          <w:rFonts w:ascii="仿宋_GB2312" w:hAnsi="仿宋" w:eastAsia="仿宋_GB2312" w:cs="Times New Roman"/>
          <w:sz w:val="32"/>
          <w:szCs w:val="32"/>
        </w:rPr>
        <w:t>%</w:t>
      </w:r>
      <w:r>
        <w:rPr>
          <w:rFonts w:hint="eastAsia" w:ascii="仿宋_GB2312" w:hAnsi="仿宋" w:eastAsia="仿宋_GB2312" w:cs="Times New Roman"/>
          <w:sz w:val="32"/>
          <w:szCs w:val="32"/>
        </w:rPr>
        <w:t>。部门预算执行率为</w:t>
      </w:r>
      <w:r>
        <w:rPr>
          <w:rFonts w:hint="eastAsia" w:ascii="仿宋_GB2312" w:hAnsi="仿宋" w:eastAsia="仿宋_GB2312" w:cs="Times New Roman"/>
          <w:sz w:val="32"/>
          <w:szCs w:val="32"/>
          <w:lang w:val="en-US" w:eastAsia="zh-CN"/>
        </w:rPr>
        <w:t>74.41</w:t>
      </w:r>
      <w:r>
        <w:rPr>
          <w:rFonts w:ascii="仿宋_GB2312" w:hAnsi="仿宋" w:eastAsia="仿宋_GB2312" w:cs="Times New Roman"/>
          <w:sz w:val="32"/>
          <w:szCs w:val="32"/>
        </w:rPr>
        <w:t>%</w:t>
      </w:r>
      <w:r>
        <w:rPr>
          <w:rFonts w:hint="eastAsia" w:ascii="仿宋_GB2312" w:hAnsi="仿宋" w:eastAsia="仿宋_GB2312" w:cs="Times New Roman"/>
          <w:sz w:val="32"/>
          <w:szCs w:val="32"/>
        </w:rPr>
        <w:t>。</w:t>
      </w:r>
      <w:r>
        <w:rPr>
          <w:rFonts w:ascii="仿宋_GB2312" w:hAnsi="仿宋" w:eastAsia="仿宋_GB2312" w:cs="Times New Roman"/>
          <w:sz w:val="32"/>
          <w:szCs w:val="32"/>
        </w:rPr>
        <w:t xml:space="preserve">                                    </w:t>
      </w:r>
    </w:p>
    <w:bookmarkEnd w:id="3"/>
    <w:p>
      <w:pPr>
        <w:spacing w:line="520" w:lineRule="exact"/>
        <w:ind w:firstLine="636" w:firstLineChars="200"/>
        <w:rPr>
          <w:rFonts w:ascii="仿宋_GB2312" w:hAnsi="Times New Roman" w:eastAsia="仿宋_GB2312" w:cs="Times New Roman"/>
          <w:sz w:val="32"/>
          <w:szCs w:val="32"/>
        </w:rPr>
      </w:pPr>
      <w:r>
        <w:rPr>
          <w:rFonts w:ascii="仿宋_GB2312" w:hAnsi="仿宋" w:eastAsia="仿宋_GB2312" w:cs="Times New Roman"/>
          <w:sz w:val="32"/>
          <w:szCs w:val="32"/>
        </w:rPr>
        <w:t>2024</w:t>
      </w:r>
      <w:r>
        <w:rPr>
          <w:rFonts w:hint="eastAsia" w:ascii="仿宋_GB2312" w:hAnsi="仿宋" w:eastAsia="仿宋_GB2312" w:cs="Times New Roman"/>
          <w:sz w:val="32"/>
          <w:szCs w:val="32"/>
        </w:rPr>
        <w:t>年年末结转结余资金总额为</w:t>
      </w:r>
      <w:r>
        <w:rPr>
          <w:rFonts w:hint="eastAsia" w:ascii="仿宋_GB2312" w:hAnsi="Times New Roman" w:eastAsia="仿宋_GB2312" w:cs="Times New Roman"/>
          <w:sz w:val="32"/>
          <w:szCs w:val="32"/>
          <w:lang w:val="en-US" w:eastAsia="zh-CN"/>
        </w:rPr>
        <w:t>31237.34</w:t>
      </w:r>
      <w:r>
        <w:rPr>
          <w:rFonts w:hint="eastAsia" w:ascii="仿宋_GB2312" w:hAnsi="Times New Roman" w:eastAsia="仿宋_GB2312" w:cs="Times New Roman"/>
          <w:sz w:val="32"/>
          <w:szCs w:val="32"/>
        </w:rPr>
        <w:t>万元，全年支出预算数为</w:t>
      </w:r>
      <w:r>
        <w:rPr>
          <w:rFonts w:hint="eastAsia" w:ascii="仿宋_GB2312" w:hAnsi="仿宋" w:eastAsia="仿宋_GB2312" w:cs="Times New Roman"/>
          <w:sz w:val="32"/>
          <w:szCs w:val="32"/>
          <w:lang w:val="en-US" w:eastAsia="zh-CN"/>
        </w:rPr>
        <w:t>90831.37</w:t>
      </w:r>
      <w:r>
        <w:rPr>
          <w:rFonts w:hint="eastAsia" w:ascii="仿宋_GB2312" w:hAnsi="Times New Roman" w:eastAsia="仿宋_GB2312" w:cs="Times New Roman"/>
          <w:sz w:val="32"/>
          <w:szCs w:val="32"/>
        </w:rPr>
        <w:t>万元，资金结转结余率为</w:t>
      </w:r>
      <w:r>
        <w:rPr>
          <w:rFonts w:hint="eastAsia" w:ascii="仿宋_GB2312" w:hAnsi="Times New Roman" w:eastAsia="仿宋_GB2312" w:cs="Times New Roman"/>
          <w:sz w:val="32"/>
          <w:szCs w:val="32"/>
          <w:lang w:val="en-US" w:eastAsia="zh-CN"/>
        </w:rPr>
        <w:t>26</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w:t>
      </w:r>
      <w:r>
        <w:rPr>
          <w:rFonts w:ascii="仿宋_GB2312" w:hAnsi="仿宋" w:eastAsia="仿宋_GB2312" w:cs="Times New Roman"/>
          <w:sz w:val="32"/>
          <w:szCs w:val="32"/>
        </w:rPr>
        <w:t>2023</w:t>
      </w:r>
      <w:r>
        <w:rPr>
          <w:rFonts w:hint="eastAsia" w:ascii="仿宋_GB2312" w:hAnsi="仿宋" w:eastAsia="仿宋_GB2312" w:cs="Times New Roman"/>
          <w:sz w:val="32"/>
          <w:szCs w:val="32"/>
        </w:rPr>
        <w:t>年年末结转结余资金总额为</w:t>
      </w:r>
      <w:r>
        <w:rPr>
          <w:rFonts w:hint="eastAsia" w:ascii="仿宋_GB2312" w:hAnsi="Times New Roman" w:eastAsia="仿宋_GB2312" w:cs="Times New Roman"/>
          <w:sz w:val="32"/>
          <w:szCs w:val="32"/>
          <w:lang w:val="en-US" w:eastAsia="zh-CN"/>
        </w:rPr>
        <w:t>15817.20</w:t>
      </w:r>
      <w:r>
        <w:rPr>
          <w:rFonts w:hint="eastAsia" w:ascii="仿宋_GB2312" w:hAnsi="Times New Roman" w:eastAsia="仿宋_GB2312" w:cs="Times New Roman"/>
          <w:sz w:val="32"/>
          <w:szCs w:val="32"/>
        </w:rPr>
        <w:t>万元，全年支出预算数为</w:t>
      </w:r>
      <w:r>
        <w:rPr>
          <w:rFonts w:hint="eastAsia" w:ascii="仿宋_GB2312" w:hAnsi="仿宋" w:eastAsia="仿宋_GB2312" w:cs="Times New Roman"/>
          <w:sz w:val="32"/>
          <w:szCs w:val="32"/>
        </w:rPr>
        <w:t>69260.82</w:t>
      </w:r>
      <w:r>
        <w:rPr>
          <w:rFonts w:hint="eastAsia" w:ascii="仿宋_GB2312" w:hAnsi="Times New Roman" w:eastAsia="仿宋_GB2312" w:cs="Times New Roman"/>
          <w:sz w:val="32"/>
          <w:szCs w:val="32"/>
        </w:rPr>
        <w:t>万元，资金结转结余率为</w:t>
      </w:r>
      <w:r>
        <w:rPr>
          <w:rFonts w:hint="eastAsia" w:ascii="仿宋_GB2312" w:hAnsi="Times New Roman" w:eastAsia="仿宋_GB2312" w:cs="Times New Roman"/>
          <w:sz w:val="32"/>
          <w:szCs w:val="32"/>
          <w:lang w:val="en-US" w:eastAsia="zh-CN"/>
        </w:rPr>
        <w:t>18.59</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2024</w:t>
      </w:r>
      <w:r>
        <w:rPr>
          <w:rFonts w:hint="eastAsia" w:ascii="仿宋_GB2312" w:hAnsi="Times New Roman" w:eastAsia="仿宋_GB2312" w:cs="Times New Roman"/>
          <w:sz w:val="32"/>
          <w:szCs w:val="32"/>
        </w:rPr>
        <w:t>年度部门结转结余率较上一年上升</w:t>
      </w:r>
      <w:r>
        <w:rPr>
          <w:rFonts w:hint="eastAsia" w:ascii="仿宋_GB2312" w:hAnsi="Times New Roman" w:eastAsia="仿宋_GB2312" w:cs="Times New Roman"/>
          <w:sz w:val="32"/>
          <w:szCs w:val="32"/>
          <w:lang w:eastAsia="zh-CN"/>
        </w:rPr>
        <w:t>了</w:t>
      </w:r>
      <w:r>
        <w:rPr>
          <w:rFonts w:hint="eastAsia" w:ascii="仿宋_GB2312" w:hAnsi="Times New Roman" w:eastAsia="仿宋_GB2312" w:cs="Times New Roman"/>
          <w:sz w:val="32"/>
          <w:szCs w:val="32"/>
          <w:lang w:val="en-US" w:eastAsia="zh-CN"/>
        </w:rPr>
        <w:t>7.41</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w:t>
      </w:r>
    </w:p>
    <w:p>
      <w:pPr>
        <w:spacing w:line="520" w:lineRule="exact"/>
        <w:ind w:firstLine="636" w:firstLineChars="200"/>
        <w:rPr>
          <w:rFonts w:ascii="黑体" w:hAnsi="黑体" w:eastAsia="黑体" w:cs="Times New Roman"/>
          <w:sz w:val="32"/>
          <w:szCs w:val="32"/>
        </w:rPr>
      </w:pPr>
      <w:r>
        <w:rPr>
          <w:rFonts w:hint="eastAsia" w:ascii="黑体" w:hAnsi="黑体" w:eastAsia="黑体" w:cs="Times New Roman"/>
          <w:sz w:val="32"/>
          <w:szCs w:val="32"/>
        </w:rPr>
        <w:t>三、整体绩效目标实现情况</w:t>
      </w:r>
    </w:p>
    <w:p>
      <w:pPr>
        <w:spacing w:line="520" w:lineRule="exact"/>
        <w:ind w:firstLine="636"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（一）产出完成情况分析</w:t>
      </w:r>
    </w:p>
    <w:p>
      <w:pPr>
        <w:spacing w:line="520" w:lineRule="exact"/>
        <w:ind w:firstLine="636" w:firstLineChars="200"/>
        <w:rPr>
          <w:rFonts w:hint="eastAsia" w:ascii="仿宋_GB2312" w:hAnsi="Times New Roman" w:eastAsia="仿宋_GB2312" w:cs="Times New Roman"/>
          <w:sz w:val="32"/>
          <w:szCs w:val="32"/>
        </w:rPr>
      </w:pPr>
      <w:r>
        <w:rPr>
          <w:rFonts w:ascii="仿宋_GB2312" w:hAnsi="Times New Roman" w:eastAsia="仿宋_GB2312" w:cs="Times New Roman"/>
          <w:sz w:val="32"/>
          <w:szCs w:val="32"/>
        </w:rPr>
        <w:t>1.</w:t>
      </w:r>
      <w:r>
        <w:rPr>
          <w:rFonts w:hint="eastAsia" w:ascii="仿宋_GB2312" w:hAnsi="Times New Roman" w:eastAsia="仿宋_GB2312" w:cs="Times New Roman"/>
          <w:sz w:val="32"/>
          <w:szCs w:val="32"/>
        </w:rPr>
        <w:t>产出数量</w:t>
      </w:r>
    </w:p>
    <w:tbl>
      <w:tblPr>
        <w:tblStyle w:val="7"/>
        <w:tblW w:w="9200" w:type="dxa"/>
        <w:tblInd w:w="108" w:type="dxa"/>
        <w:tblLayout w:type="fixed"/>
        <w:tblCellMar>
          <w:top w:w="0" w:type="dxa"/>
          <w:left w:w="108" w:type="dxa"/>
          <w:bottom w:w="0" w:type="dxa"/>
          <w:right w:w="108" w:type="dxa"/>
        </w:tblCellMar>
      </w:tblPr>
      <w:tblGrid>
        <w:gridCol w:w="800"/>
        <w:gridCol w:w="2100"/>
        <w:gridCol w:w="2100"/>
        <w:gridCol w:w="2100"/>
        <w:gridCol w:w="2100"/>
      </w:tblGrid>
      <w:tr>
        <w:tblPrEx>
          <w:tblLayout w:type="fixed"/>
          <w:tblCellMar>
            <w:top w:w="0" w:type="dxa"/>
            <w:left w:w="108" w:type="dxa"/>
            <w:bottom w:w="0" w:type="dxa"/>
            <w:right w:w="108" w:type="dxa"/>
          </w:tblCellMar>
        </w:tblPrEx>
        <w:trPr>
          <w:trHeight w:val="510" w:hRule="atLeast"/>
        </w:trPr>
        <w:tc>
          <w:tcPr>
            <w:tcW w:w="800" w:type="dxa"/>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序号</w:t>
            </w:r>
          </w:p>
        </w:tc>
        <w:tc>
          <w:tcPr>
            <w:tcW w:w="2100"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三级指标</w:t>
            </w:r>
          </w:p>
        </w:tc>
        <w:tc>
          <w:tcPr>
            <w:tcW w:w="2100"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计划值</w:t>
            </w:r>
          </w:p>
        </w:tc>
        <w:tc>
          <w:tcPr>
            <w:tcW w:w="2100"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完成值</w:t>
            </w:r>
          </w:p>
        </w:tc>
        <w:tc>
          <w:tcPr>
            <w:tcW w:w="2100" w:type="dxa"/>
            <w:tcBorders>
              <w:top w:val="single" w:color="auto" w:sz="4" w:space="0"/>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偏差原因</w:t>
            </w:r>
          </w:p>
        </w:tc>
      </w:tr>
      <w:tr>
        <w:tblPrEx>
          <w:tblLayout w:type="fixed"/>
          <w:tblCellMar>
            <w:top w:w="0" w:type="dxa"/>
            <w:left w:w="108" w:type="dxa"/>
            <w:bottom w:w="0" w:type="dxa"/>
            <w:right w:w="108" w:type="dxa"/>
          </w:tblCellMar>
        </w:tblPrEx>
        <w:trPr>
          <w:trHeight w:val="510" w:hRule="atLeast"/>
        </w:trPr>
        <w:tc>
          <w:tcPr>
            <w:tcW w:w="800" w:type="dxa"/>
            <w:tcBorders>
              <w:top w:val="nil"/>
              <w:left w:val="single" w:color="auto" w:sz="4" w:space="0"/>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ascii="仿宋_GB2312" w:hAnsi="宋体" w:eastAsia="仿宋_GB2312" w:cs="宋体"/>
                <w:color w:val="000000"/>
                <w:kern w:val="0"/>
                <w:sz w:val="28"/>
                <w:szCs w:val="28"/>
              </w:rPr>
              <w:t>1</w:t>
            </w:r>
          </w:p>
        </w:tc>
        <w:tc>
          <w:tcPr>
            <w:tcW w:w="2100" w:type="dxa"/>
            <w:tcBorders>
              <w:top w:val="nil"/>
              <w:left w:val="nil"/>
              <w:bottom w:val="single" w:color="auto" w:sz="4" w:space="0"/>
              <w:right w:val="single" w:color="auto" w:sz="4" w:space="0"/>
            </w:tcBorders>
            <w:vAlign w:val="center"/>
          </w:tcPr>
          <w:p>
            <w:pPr>
              <w:spacing w:line="520" w:lineRule="exact"/>
              <w:rPr>
                <w:rFonts w:hint="eastAsia" w:ascii="仿宋_GB2312" w:hAnsi="仿宋" w:eastAsia="仿宋_GB2312" w:cs="Times New Roman"/>
                <w:sz w:val="32"/>
                <w:szCs w:val="32"/>
              </w:rPr>
            </w:pPr>
            <w:r>
              <w:rPr>
                <w:rFonts w:hint="eastAsia" w:ascii="仿宋_GB2312" w:hAnsi="仿宋" w:eastAsia="仿宋_GB2312" w:cs="Times New Roman"/>
                <w:sz w:val="32"/>
                <w:szCs w:val="32"/>
              </w:rPr>
              <w:t>按照全年任务水平完工工作任务　　</w:t>
            </w:r>
          </w:p>
        </w:tc>
        <w:tc>
          <w:tcPr>
            <w:tcW w:w="2100" w:type="dxa"/>
            <w:tcBorders>
              <w:top w:val="nil"/>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lang w:val="en-US" w:eastAsia="zh-CN"/>
              </w:rPr>
              <w:t>10</w:t>
            </w:r>
          </w:p>
        </w:tc>
        <w:tc>
          <w:tcPr>
            <w:tcW w:w="2100" w:type="dxa"/>
            <w:tcBorders>
              <w:top w:val="nil"/>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r>
              <w:rPr>
                <w:rFonts w:hint="eastAsia" w:ascii="仿宋_GB2312" w:hAnsi="宋体" w:eastAsia="仿宋_GB2312" w:cs="宋体"/>
                <w:color w:val="000000"/>
                <w:kern w:val="0"/>
                <w:sz w:val="28"/>
                <w:szCs w:val="28"/>
                <w:lang w:val="en-US" w:eastAsia="zh-CN"/>
              </w:rPr>
              <w:t>10</w:t>
            </w:r>
          </w:p>
        </w:tc>
        <w:tc>
          <w:tcPr>
            <w:tcW w:w="2100" w:type="dxa"/>
            <w:tcBorders>
              <w:top w:val="nil"/>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Layout w:type="fixed"/>
          <w:tblCellMar>
            <w:top w:w="0" w:type="dxa"/>
            <w:left w:w="108" w:type="dxa"/>
            <w:bottom w:w="0" w:type="dxa"/>
            <w:right w:w="108" w:type="dxa"/>
          </w:tblCellMar>
        </w:tblPrEx>
        <w:trPr>
          <w:trHeight w:val="510" w:hRule="atLeast"/>
        </w:trPr>
        <w:tc>
          <w:tcPr>
            <w:tcW w:w="800" w:type="dxa"/>
            <w:tcBorders>
              <w:top w:val="nil"/>
              <w:left w:val="single" w:color="auto" w:sz="4" w:space="0"/>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ascii="仿宋_GB2312" w:hAnsi="宋体" w:eastAsia="仿宋_GB2312" w:cs="宋体"/>
                <w:color w:val="000000"/>
                <w:kern w:val="0"/>
                <w:sz w:val="28"/>
                <w:szCs w:val="28"/>
              </w:rPr>
              <w:t>2</w:t>
            </w:r>
          </w:p>
        </w:tc>
        <w:tc>
          <w:tcPr>
            <w:tcW w:w="2100" w:type="dxa"/>
            <w:tcBorders>
              <w:top w:val="nil"/>
              <w:left w:val="nil"/>
              <w:bottom w:val="single" w:color="auto" w:sz="4" w:space="0"/>
              <w:right w:val="single" w:color="auto" w:sz="4" w:space="0"/>
            </w:tcBorders>
            <w:vAlign w:val="center"/>
          </w:tcPr>
          <w:p>
            <w:pPr>
              <w:spacing w:line="520" w:lineRule="exact"/>
              <w:rPr>
                <w:rFonts w:hint="eastAsia" w:ascii="仿宋_GB2312" w:hAnsi="仿宋" w:eastAsia="仿宋_GB2312" w:cs="Times New Roman"/>
                <w:sz w:val="32"/>
                <w:szCs w:val="32"/>
              </w:rPr>
            </w:pPr>
            <w:r>
              <w:rPr>
                <w:rFonts w:hint="eastAsia" w:ascii="仿宋_GB2312" w:hAnsi="仿宋" w:eastAsia="仿宋_GB2312" w:cs="Times New Roman"/>
                <w:sz w:val="32"/>
                <w:szCs w:val="32"/>
              </w:rPr>
              <w:t>202</w:t>
            </w:r>
            <w:r>
              <w:rPr>
                <w:rFonts w:hint="eastAsia" w:ascii="仿宋_GB2312" w:hAnsi="仿宋" w:eastAsia="仿宋_GB2312" w:cs="Times New Roman"/>
                <w:sz w:val="32"/>
                <w:szCs w:val="32"/>
                <w:lang w:val="en-US" w:eastAsia="zh-CN"/>
              </w:rPr>
              <w:t>4</w:t>
            </w:r>
            <w:r>
              <w:rPr>
                <w:rFonts w:hint="eastAsia" w:ascii="仿宋_GB2312" w:hAnsi="仿宋" w:eastAsia="仿宋_GB2312" w:cs="Times New Roman"/>
                <w:sz w:val="32"/>
                <w:szCs w:val="32"/>
              </w:rPr>
              <w:t>年底完成　</w:t>
            </w:r>
          </w:p>
        </w:tc>
        <w:tc>
          <w:tcPr>
            <w:tcW w:w="2100" w:type="dxa"/>
            <w:tcBorders>
              <w:top w:val="nil"/>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lang w:val="en-US" w:eastAsia="zh-CN"/>
              </w:rPr>
              <w:t>10</w:t>
            </w:r>
            <w:r>
              <w:rPr>
                <w:rFonts w:hint="eastAsia" w:ascii="仿宋_GB2312" w:hAnsi="宋体" w:eastAsia="仿宋_GB2312" w:cs="宋体"/>
                <w:color w:val="000000"/>
                <w:kern w:val="0"/>
                <w:sz w:val="28"/>
                <w:szCs w:val="28"/>
              </w:rPr>
              <w:t>　</w:t>
            </w:r>
          </w:p>
        </w:tc>
        <w:tc>
          <w:tcPr>
            <w:tcW w:w="2100" w:type="dxa"/>
            <w:tcBorders>
              <w:top w:val="nil"/>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lang w:val="en-US" w:eastAsia="zh-CN"/>
              </w:rPr>
              <w:t>10</w:t>
            </w:r>
            <w:r>
              <w:rPr>
                <w:rFonts w:hint="eastAsia" w:ascii="仿宋_GB2312" w:hAnsi="宋体" w:eastAsia="仿宋_GB2312" w:cs="宋体"/>
                <w:color w:val="000000"/>
                <w:kern w:val="0"/>
                <w:sz w:val="28"/>
                <w:szCs w:val="28"/>
              </w:rPr>
              <w:t>　</w:t>
            </w:r>
          </w:p>
        </w:tc>
        <w:tc>
          <w:tcPr>
            <w:tcW w:w="2100" w:type="dxa"/>
            <w:tcBorders>
              <w:top w:val="nil"/>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Layout w:type="fixed"/>
          <w:tblCellMar>
            <w:top w:w="0" w:type="dxa"/>
            <w:left w:w="108" w:type="dxa"/>
            <w:bottom w:w="0" w:type="dxa"/>
            <w:right w:w="108" w:type="dxa"/>
          </w:tblCellMar>
        </w:tblPrEx>
        <w:trPr>
          <w:trHeight w:val="510" w:hRule="atLeast"/>
        </w:trPr>
        <w:tc>
          <w:tcPr>
            <w:tcW w:w="800" w:type="dxa"/>
            <w:tcBorders>
              <w:top w:val="nil"/>
              <w:left w:val="single" w:color="auto" w:sz="4" w:space="0"/>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ascii="仿宋_GB2312" w:hAnsi="宋体" w:eastAsia="仿宋_GB2312" w:cs="宋体"/>
                <w:color w:val="000000"/>
                <w:kern w:val="0"/>
                <w:sz w:val="28"/>
                <w:szCs w:val="28"/>
              </w:rPr>
              <w:t>3</w:t>
            </w:r>
          </w:p>
        </w:tc>
        <w:tc>
          <w:tcPr>
            <w:tcW w:w="2100" w:type="dxa"/>
            <w:tcBorders>
              <w:top w:val="nil"/>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仿宋" w:eastAsia="仿宋_GB2312" w:cs="Times New Roman"/>
                <w:sz w:val="32"/>
                <w:szCs w:val="32"/>
              </w:rPr>
              <w:t>格按照部门预算进行成本控制　　</w:t>
            </w:r>
          </w:p>
        </w:tc>
        <w:tc>
          <w:tcPr>
            <w:tcW w:w="2100" w:type="dxa"/>
            <w:tcBorders>
              <w:top w:val="nil"/>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lang w:val="en-US" w:eastAsia="zh-CN"/>
              </w:rPr>
              <w:t>10</w:t>
            </w:r>
            <w:r>
              <w:rPr>
                <w:rFonts w:hint="eastAsia" w:ascii="仿宋_GB2312" w:hAnsi="宋体" w:eastAsia="仿宋_GB2312" w:cs="宋体"/>
                <w:color w:val="000000"/>
                <w:kern w:val="0"/>
                <w:sz w:val="28"/>
                <w:szCs w:val="28"/>
              </w:rPr>
              <w:t>　</w:t>
            </w:r>
          </w:p>
        </w:tc>
        <w:tc>
          <w:tcPr>
            <w:tcW w:w="2100" w:type="dxa"/>
            <w:tcBorders>
              <w:top w:val="nil"/>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lang w:val="en-US" w:eastAsia="zh-CN"/>
              </w:rPr>
              <w:t>10</w:t>
            </w:r>
            <w:r>
              <w:rPr>
                <w:rFonts w:hint="eastAsia" w:ascii="仿宋_GB2312" w:hAnsi="宋体" w:eastAsia="仿宋_GB2312" w:cs="宋体"/>
                <w:color w:val="000000"/>
                <w:kern w:val="0"/>
                <w:sz w:val="28"/>
                <w:szCs w:val="28"/>
              </w:rPr>
              <w:t>　</w:t>
            </w:r>
          </w:p>
        </w:tc>
        <w:tc>
          <w:tcPr>
            <w:tcW w:w="2100" w:type="dxa"/>
            <w:tcBorders>
              <w:top w:val="nil"/>
              <w:left w:val="nil"/>
              <w:bottom w:val="single" w:color="auto" w:sz="4" w:space="0"/>
              <w:right w:val="single" w:color="auto" w:sz="4" w:space="0"/>
            </w:tcBorders>
            <w:vAlign w:val="center"/>
          </w:tcPr>
          <w:p>
            <w:pPr>
              <w:widowControl/>
              <w:spacing w:line="520" w:lineRule="exact"/>
              <w:jc w:val="center"/>
              <w:rPr>
                <w:rFonts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bl>
    <w:p>
      <w:pPr>
        <w:spacing w:line="520" w:lineRule="exact"/>
        <w:ind w:firstLine="636" w:firstLineChars="200"/>
        <w:rPr>
          <w:rFonts w:hint="eastAsia" w:ascii="仿宋_GB2312" w:hAnsi="Times New Roman" w:eastAsia="仿宋_GB2312" w:cs="Times New Roman"/>
          <w:sz w:val="32"/>
          <w:szCs w:val="32"/>
        </w:rPr>
      </w:pPr>
    </w:p>
    <w:p>
      <w:pPr>
        <w:numPr>
          <w:ilvl w:val="0"/>
          <w:numId w:val="0"/>
        </w:numPr>
        <w:spacing w:beforeLines="0" w:afterLines="0" w:line="520" w:lineRule="exact"/>
        <w:ind w:firstLine="636"/>
        <w:rPr>
          <w:rFonts w:ascii="仿宋_GB2312" w:hAnsi="仿宋" w:eastAsia="仿宋_GB2312" w:cs="Times New Roman"/>
          <w:sz w:val="32"/>
          <w:szCs w:val="32"/>
        </w:rPr>
      </w:pPr>
      <w:r>
        <w:rPr>
          <w:rFonts w:ascii="仿宋_GB2312" w:hAnsi="仿宋" w:eastAsia="仿宋_GB2312" w:cs="Times New Roman"/>
          <w:sz w:val="32"/>
          <w:szCs w:val="32"/>
        </w:rPr>
        <w:t>2.</w:t>
      </w:r>
      <w:r>
        <w:rPr>
          <w:rFonts w:hint="eastAsia" w:ascii="仿宋_GB2312" w:hAnsi="仿宋" w:eastAsia="仿宋_GB2312" w:cs="Times New Roman"/>
          <w:sz w:val="32"/>
          <w:szCs w:val="32"/>
        </w:rPr>
        <w:t>产出质量</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202</w:t>
      </w:r>
      <w:r>
        <w:rPr>
          <w:rFonts w:hint="eastAsia" w:ascii="仿宋_GB2312" w:hAnsi="仿宋" w:eastAsia="仿宋_GB2312" w:cs="Times New Roman"/>
          <w:sz w:val="32"/>
          <w:szCs w:val="32"/>
          <w:lang w:val="en-US" w:eastAsia="zh-CN"/>
        </w:rPr>
        <w:t>4</w:t>
      </w:r>
      <w:r>
        <w:rPr>
          <w:rFonts w:hint="eastAsia" w:ascii="仿宋_GB2312" w:hAnsi="仿宋" w:eastAsia="仿宋_GB2312" w:cs="Times New Roman"/>
          <w:sz w:val="32"/>
          <w:szCs w:val="32"/>
        </w:rPr>
        <w:t>年市政基础设施项目的实施，有效推动了城市道路路网完善、市政基础设施承载等工作，群众生活便利、优化出行条件的保障能力不断提高。城市运行保障方面，通过加强供暖、燃气行业管理，集中供热保障范围和天然气保障范围不断扩大，降低能源使用成本，提供群众便利使用水平。持续开展的送气下乡工程，持续降低农村地区群众用气成本，推进清洁空气行动，为首都大气治理做出积极贡献。202</w:t>
      </w:r>
      <w:r>
        <w:rPr>
          <w:rFonts w:hint="eastAsia" w:ascii="仿宋_GB2312" w:hAnsi="仿宋" w:eastAsia="仿宋_GB2312" w:cs="Times New Roman"/>
          <w:sz w:val="32"/>
          <w:szCs w:val="32"/>
          <w:lang w:val="en-US" w:eastAsia="zh-CN"/>
        </w:rPr>
        <w:t>4</w:t>
      </w:r>
      <w:r>
        <w:rPr>
          <w:rFonts w:hint="eastAsia" w:ascii="仿宋_GB2312" w:hAnsi="仿宋" w:eastAsia="仿宋_GB2312" w:cs="Times New Roman"/>
          <w:sz w:val="32"/>
          <w:szCs w:val="32"/>
        </w:rPr>
        <w:t>年继续加强城乡环卫作业监管，加强户外广告、牌匾标识、标语、宣传品设置管理，实施景观提升工程，加强市政设施养护精细化管理，及时修复城市道路及附属设施、路灯及景观照亮设施出现病害、破损，不断打造群众方便、安全的出行环境，提高环境效益产生。</w:t>
      </w:r>
    </w:p>
    <w:p>
      <w:pPr>
        <w:spacing w:line="520" w:lineRule="exact"/>
        <w:ind w:firstLine="636" w:firstLineChars="200"/>
        <w:rPr>
          <w:rFonts w:ascii="仿宋_GB2312" w:hAnsi="仿宋" w:eastAsia="仿宋_GB2312" w:cs="Times New Roman"/>
          <w:sz w:val="32"/>
          <w:szCs w:val="32"/>
        </w:rPr>
      </w:pPr>
    </w:p>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3.</w:t>
      </w:r>
      <w:r>
        <w:rPr>
          <w:rFonts w:hint="eastAsia" w:ascii="仿宋_GB2312" w:hAnsi="仿宋" w:eastAsia="仿宋_GB2312" w:cs="Times New Roman"/>
          <w:sz w:val="32"/>
          <w:szCs w:val="32"/>
        </w:rPr>
        <w:t>产出进度</w:t>
      </w:r>
      <w:r>
        <w:rPr>
          <w:rFonts w:hint="eastAsia" w:ascii="仿宋_GB2312" w:hAnsi="仿宋" w:eastAsia="仿宋_GB2312" w:cs="Times New Roman"/>
          <w:sz w:val="32"/>
          <w:szCs w:val="32"/>
          <w:lang w:eastAsia="zh-CN"/>
        </w:rPr>
        <w:t>：</w:t>
      </w:r>
      <w:r>
        <w:rPr>
          <w:rFonts w:hint="eastAsia" w:eastAsia="仿宋_GB2312"/>
          <w:sz w:val="32"/>
        </w:rPr>
        <w:t>均为202</w:t>
      </w:r>
      <w:r>
        <w:rPr>
          <w:rFonts w:hint="eastAsia" w:eastAsia="仿宋_GB2312"/>
          <w:sz w:val="32"/>
          <w:lang w:val="en-US" w:eastAsia="zh-CN"/>
        </w:rPr>
        <w:t>4</w:t>
      </w:r>
      <w:r>
        <w:rPr>
          <w:rFonts w:hint="eastAsia" w:eastAsia="仿宋_GB2312"/>
          <w:sz w:val="32"/>
        </w:rPr>
        <w:t>年1月1日至202</w:t>
      </w:r>
      <w:r>
        <w:rPr>
          <w:rFonts w:hint="eastAsia" w:eastAsia="仿宋_GB2312"/>
          <w:sz w:val="32"/>
          <w:lang w:val="en-US" w:eastAsia="zh-CN"/>
        </w:rPr>
        <w:t>4</w:t>
      </w:r>
      <w:r>
        <w:rPr>
          <w:rFonts w:hint="eastAsia" w:eastAsia="仿宋_GB2312"/>
          <w:sz w:val="32"/>
        </w:rPr>
        <w:t>年12月31日。</w:t>
      </w:r>
    </w:p>
    <w:p>
      <w:pPr>
        <w:spacing w:line="520" w:lineRule="exact"/>
        <w:ind w:firstLine="636" w:firstLineChars="200"/>
        <w:rPr>
          <w:rFonts w:ascii="仿宋_GB2312" w:hAnsi="仿宋" w:eastAsia="仿宋_GB2312" w:cs="Times New Roman"/>
          <w:sz w:val="32"/>
          <w:szCs w:val="32"/>
        </w:rPr>
      </w:pPr>
      <w:r>
        <w:rPr>
          <w:rFonts w:ascii="仿宋_GB2312" w:hAnsi="仿宋" w:eastAsia="仿宋_GB2312" w:cs="Times New Roman"/>
          <w:sz w:val="32"/>
          <w:szCs w:val="32"/>
        </w:rPr>
        <w:t>4.</w:t>
      </w:r>
      <w:r>
        <w:rPr>
          <w:rFonts w:hint="eastAsia" w:ascii="仿宋_GB2312" w:hAnsi="仿宋" w:eastAsia="仿宋_GB2312" w:cs="Times New Roman"/>
          <w:sz w:val="32"/>
          <w:szCs w:val="32"/>
        </w:rPr>
        <w:t>产出成本</w:t>
      </w:r>
      <w:r>
        <w:rPr>
          <w:rFonts w:hint="eastAsia" w:ascii="仿宋_GB2312" w:hAnsi="仿宋" w:eastAsia="仿宋_GB2312" w:cs="Times New Roman"/>
          <w:sz w:val="32"/>
          <w:szCs w:val="32"/>
          <w:lang w:eastAsia="zh-CN"/>
        </w:rPr>
        <w:t>：</w:t>
      </w:r>
      <w:r>
        <w:rPr>
          <w:rFonts w:hint="eastAsia" w:ascii="仿宋_GB2312" w:hAnsi="仿宋" w:eastAsia="仿宋_GB2312" w:cs="Times New Roman"/>
          <w:sz w:val="32"/>
          <w:szCs w:val="32"/>
        </w:rPr>
        <w:t>预算资金总体支出</w:t>
      </w:r>
      <w:r>
        <w:rPr>
          <w:rFonts w:hint="eastAsia" w:ascii="仿宋_GB2312" w:hAnsi="仿宋" w:eastAsia="仿宋_GB2312" w:cs="Times New Roman"/>
          <w:sz w:val="32"/>
          <w:szCs w:val="32"/>
          <w:lang w:val="en-US" w:eastAsia="zh-CN"/>
        </w:rPr>
        <w:t>122068.71</w:t>
      </w:r>
      <w:r>
        <w:rPr>
          <w:rFonts w:hint="eastAsia" w:ascii="仿宋_GB2312" w:hAnsi="仿宋" w:eastAsia="仿宋_GB2312" w:cs="Times New Roman"/>
          <w:sz w:val="32"/>
          <w:szCs w:val="32"/>
        </w:rPr>
        <w:t>万元，其中：基本支出</w:t>
      </w:r>
      <w:r>
        <w:rPr>
          <w:rFonts w:hint="eastAsia" w:ascii="仿宋_GB2312" w:hAnsi="仿宋" w:eastAsia="仿宋_GB2312" w:cs="Times New Roman"/>
          <w:sz w:val="32"/>
          <w:szCs w:val="32"/>
          <w:lang w:val="en-US" w:eastAsia="zh-CN"/>
        </w:rPr>
        <w:t>4566.40</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4</w:t>
      </w:r>
      <w:r>
        <w:rPr>
          <w:rFonts w:ascii="仿宋_GB2312" w:hAnsi="仿宋" w:eastAsia="仿宋_GB2312" w:cs="Times New Roman"/>
          <w:sz w:val="32"/>
          <w:szCs w:val="32"/>
        </w:rPr>
        <w:t>%</w:t>
      </w:r>
      <w:r>
        <w:rPr>
          <w:rFonts w:hint="eastAsia" w:ascii="仿宋_GB2312" w:hAnsi="仿宋" w:eastAsia="仿宋_GB2312" w:cs="Times New Roman"/>
          <w:sz w:val="32"/>
          <w:szCs w:val="32"/>
        </w:rPr>
        <w:t>；项目支出</w:t>
      </w:r>
      <w:r>
        <w:rPr>
          <w:rFonts w:hint="eastAsia" w:ascii="仿宋_GB2312" w:hAnsi="仿宋" w:eastAsia="仿宋_GB2312" w:cs="Times New Roman"/>
          <w:sz w:val="32"/>
          <w:szCs w:val="32"/>
          <w:lang w:val="en-US" w:eastAsia="zh-CN"/>
        </w:rPr>
        <w:t>117502.31</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96</w:t>
      </w:r>
      <w:r>
        <w:rPr>
          <w:rFonts w:ascii="仿宋_GB2312" w:hAnsi="仿宋" w:eastAsia="仿宋_GB2312" w:cs="Times New Roman"/>
          <w:sz w:val="32"/>
          <w:szCs w:val="32"/>
        </w:rPr>
        <w:t>%</w:t>
      </w:r>
      <w:r>
        <w:rPr>
          <w:rFonts w:hint="eastAsia" w:ascii="仿宋_GB2312" w:hAnsi="仿宋" w:eastAsia="仿宋_GB2312" w:cs="Times New Roman"/>
          <w:sz w:val="32"/>
          <w:szCs w:val="32"/>
        </w:rPr>
        <w:t>；其他支出</w:t>
      </w:r>
      <w:r>
        <w:rPr>
          <w:rFonts w:hint="eastAsia" w:ascii="仿宋_GB2312" w:hAnsi="仿宋" w:eastAsia="仿宋_GB2312" w:cs="Times New Roman"/>
          <w:sz w:val="32"/>
          <w:szCs w:val="32"/>
          <w:lang w:val="en-US" w:eastAsia="zh-CN"/>
        </w:rPr>
        <w:t>0</w:t>
      </w:r>
      <w:r>
        <w:rPr>
          <w:rFonts w:hint="eastAsia" w:ascii="仿宋_GB2312" w:hAnsi="仿宋" w:eastAsia="仿宋_GB2312" w:cs="Times New Roman"/>
          <w:sz w:val="32"/>
          <w:szCs w:val="32"/>
        </w:rPr>
        <w:t>万元，占比</w:t>
      </w:r>
      <w:r>
        <w:rPr>
          <w:rFonts w:hint="eastAsia" w:ascii="仿宋_GB2312" w:hAnsi="仿宋" w:eastAsia="仿宋_GB2312" w:cs="Times New Roman"/>
          <w:sz w:val="32"/>
          <w:szCs w:val="32"/>
          <w:lang w:val="en-US" w:eastAsia="zh-CN"/>
        </w:rPr>
        <w:t>0</w:t>
      </w:r>
      <w:r>
        <w:rPr>
          <w:rFonts w:ascii="仿宋_GB2312" w:hAnsi="仿宋" w:eastAsia="仿宋_GB2312" w:cs="Times New Roman"/>
          <w:sz w:val="32"/>
          <w:szCs w:val="32"/>
        </w:rPr>
        <w:t>%</w:t>
      </w:r>
      <w:r>
        <w:rPr>
          <w:rFonts w:hint="eastAsia" w:ascii="仿宋_GB2312" w:hAnsi="仿宋" w:eastAsia="仿宋_GB2312" w:cs="Times New Roman"/>
          <w:sz w:val="32"/>
          <w:szCs w:val="32"/>
        </w:rPr>
        <w:t>。部门预算执行率为</w:t>
      </w:r>
      <w:r>
        <w:rPr>
          <w:rFonts w:hint="eastAsia" w:ascii="仿宋_GB2312" w:hAnsi="仿宋" w:eastAsia="仿宋_GB2312" w:cs="Times New Roman"/>
          <w:sz w:val="32"/>
          <w:szCs w:val="32"/>
          <w:lang w:val="en-US" w:eastAsia="zh-CN"/>
        </w:rPr>
        <w:t>74.41</w:t>
      </w:r>
      <w:r>
        <w:rPr>
          <w:rFonts w:ascii="仿宋_GB2312" w:hAnsi="仿宋" w:eastAsia="仿宋_GB2312" w:cs="Times New Roman"/>
          <w:sz w:val="32"/>
          <w:szCs w:val="32"/>
        </w:rPr>
        <w:t>%</w:t>
      </w:r>
      <w:r>
        <w:rPr>
          <w:rFonts w:hint="eastAsia" w:ascii="仿宋_GB2312" w:hAnsi="仿宋" w:eastAsia="仿宋_GB2312" w:cs="Times New Roman"/>
          <w:sz w:val="32"/>
          <w:szCs w:val="32"/>
        </w:rPr>
        <w:t>。</w:t>
      </w:r>
    </w:p>
    <w:p>
      <w:pPr>
        <w:spacing w:line="520" w:lineRule="exact"/>
        <w:ind w:firstLine="636"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（二）效果实现情况分析</w:t>
      </w:r>
    </w:p>
    <w:p>
      <w:pPr>
        <w:spacing w:line="520" w:lineRule="exact"/>
        <w:ind w:firstLine="636"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1.经济效益:加强基础设施建设，提升城市整体建设水平、创造良好的营商环境、促进地区经济发展。</w:t>
      </w:r>
    </w:p>
    <w:p>
      <w:pPr>
        <w:spacing w:line="520" w:lineRule="exact"/>
        <w:ind w:firstLine="636"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2.社会效益:促进地方经济发展，提升城市居住质量、创造良好的生态环境。</w:t>
      </w:r>
    </w:p>
    <w:p>
      <w:pPr>
        <w:spacing w:line="520" w:lineRule="exact"/>
        <w:ind w:firstLine="636"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3.环境效益：提升区域环境水平。</w:t>
      </w:r>
    </w:p>
    <w:p>
      <w:pPr>
        <w:spacing w:line="520" w:lineRule="exact"/>
        <w:ind w:firstLine="636"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4.可持续影响:因地制宜改善区域环境，切实提高政府绩效、让人民群众真正满意。</w:t>
      </w:r>
    </w:p>
    <w:p>
      <w:pPr>
        <w:spacing w:line="520" w:lineRule="exact"/>
        <w:ind w:firstLine="636"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5.服务对象满意度:群众满意度达到95%。</w:t>
      </w:r>
    </w:p>
    <w:p>
      <w:pPr>
        <w:spacing w:line="520" w:lineRule="exact"/>
        <w:ind w:firstLine="636" w:firstLineChars="200"/>
        <w:rPr>
          <w:rFonts w:ascii="黑体" w:hAnsi="黑体" w:eastAsia="黑体" w:cs="Times New Roman"/>
          <w:sz w:val="32"/>
          <w:szCs w:val="32"/>
        </w:rPr>
      </w:pPr>
      <w:r>
        <w:rPr>
          <w:rFonts w:hint="eastAsia" w:ascii="黑体" w:hAnsi="黑体" w:eastAsia="黑体" w:cs="Times New Roman"/>
          <w:sz w:val="32"/>
          <w:szCs w:val="32"/>
        </w:rPr>
        <w:t>四、预算管理情况分析</w:t>
      </w:r>
    </w:p>
    <w:p>
      <w:pPr>
        <w:spacing w:line="520" w:lineRule="exact"/>
        <w:ind w:firstLine="636"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（一）财务管理</w:t>
      </w:r>
    </w:p>
    <w:p>
      <w:pPr>
        <w:spacing w:line="520" w:lineRule="exact"/>
        <w:ind w:firstLine="636"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为切实规范资金管理，保障资金安全、高效运行，发挥资金使用效益，严格执行本单位各项管理制度，包括《三重一大制度实施办法》、《重大行政决策程序规定实施细则》、《资金支出管理办法》、《财务管理制度》、《大额资金的管理使用及监督办法》、《基本建设资金监督管理办法》、《专项资金监督管理办法》、《固定资产管理制度》、《进一步加强“三公”经费管理的规定》、《公务接待管理制度》等，同时认真落实会计工作职责和有关制度要求。</w:t>
      </w:r>
    </w:p>
    <w:p>
      <w:pPr>
        <w:spacing w:line="520" w:lineRule="exact"/>
        <w:ind w:firstLine="636"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（二）资产管理</w:t>
      </w:r>
    </w:p>
    <w:p>
      <w:pPr>
        <w:spacing w:line="520" w:lineRule="exact"/>
        <w:ind w:firstLine="636" w:firstLineChars="200"/>
        <w:rPr>
          <w:rFonts w:hint="eastAsia" w:ascii="仿宋_GB2312" w:hAnsi="仿宋" w:eastAsia="仿宋_GB2312" w:cs="Times New Roman"/>
          <w:sz w:val="32"/>
          <w:szCs w:val="32"/>
          <w:lang w:val="en-US" w:eastAsia="zh-CN"/>
        </w:rPr>
      </w:pPr>
      <w:r>
        <w:rPr>
          <w:rFonts w:hint="eastAsia" w:ascii="仿宋_GB2312" w:hAnsi="仿宋" w:eastAsia="仿宋_GB2312" w:cs="Times New Roman"/>
          <w:sz w:val="32"/>
          <w:szCs w:val="32"/>
          <w:lang w:val="en-US" w:eastAsia="zh-CN"/>
        </w:rPr>
        <w:t>截至2024年底，我单位固定资产原值6154.43万元，累计折旧2841.34万元，净值3313.09万元；在建工程394254.21万元；公共基础设施693113.6</w:t>
      </w:r>
      <w:bookmarkStart w:id="4" w:name="_GoBack"/>
      <w:bookmarkEnd w:id="4"/>
      <w:r>
        <w:rPr>
          <w:rFonts w:hint="eastAsia" w:ascii="仿宋_GB2312" w:hAnsi="仿宋" w:eastAsia="仿宋_GB2312" w:cs="Times New Roman"/>
          <w:sz w:val="32"/>
          <w:szCs w:val="32"/>
          <w:lang w:val="en-US" w:eastAsia="zh-CN"/>
        </w:rPr>
        <w:t>0万元。</w:t>
      </w:r>
    </w:p>
    <w:p>
      <w:pPr>
        <w:spacing w:line="520" w:lineRule="exact"/>
        <w:ind w:firstLine="636" w:firstLineChars="200"/>
        <w:rPr>
          <w:rFonts w:ascii="楷体_GB2312" w:hAnsi="Times New Roman" w:eastAsia="楷体_GB2312" w:cs="Times New Roman"/>
          <w:b/>
          <w:sz w:val="32"/>
          <w:szCs w:val="32"/>
        </w:rPr>
      </w:pPr>
      <w:r>
        <w:rPr>
          <w:rFonts w:hint="eastAsia" w:ascii="楷体_GB2312" w:hAnsi="Times New Roman" w:eastAsia="楷体_GB2312" w:cs="Times New Roman"/>
          <w:b/>
          <w:sz w:val="32"/>
          <w:szCs w:val="32"/>
        </w:rPr>
        <w:t>（三）绩效管理</w:t>
      </w:r>
    </w:p>
    <w:p>
      <w:pPr>
        <w:spacing w:line="520" w:lineRule="exact"/>
        <w:ind w:firstLine="636" w:firstLineChars="200"/>
        <w:rPr>
          <w:rFonts w:hint="eastAsia" w:ascii="仿宋_GB2312" w:hAnsi="仿宋" w:eastAsia="仿宋_GB2312" w:cs="Times New Roman"/>
          <w:sz w:val="32"/>
          <w:szCs w:val="32"/>
        </w:rPr>
      </w:pPr>
      <w:r>
        <w:rPr>
          <w:rFonts w:ascii="仿宋_GB2312" w:hAnsi="仿宋" w:eastAsia="仿宋_GB2312" w:cs="Times New Roman"/>
          <w:sz w:val="32"/>
          <w:szCs w:val="32"/>
        </w:rPr>
        <w:t>1.</w:t>
      </w:r>
      <w:r>
        <w:rPr>
          <w:rFonts w:hint="eastAsia" w:ascii="仿宋_GB2312" w:hAnsi="仿宋" w:eastAsia="仿宋_GB2312" w:cs="Times New Roman"/>
          <w:sz w:val="32"/>
          <w:szCs w:val="32"/>
        </w:rPr>
        <w:t>预算绩效管理制度情况</w:t>
      </w:r>
    </w:p>
    <w:p>
      <w:pPr>
        <w:pStyle w:val="2"/>
        <w:spacing w:beforeLines="0" w:afterLines="0" w:line="560" w:lineRule="exact"/>
        <w:rPr>
          <w:rFonts w:hint="eastAsia" w:ascii="仿宋_GB2312" w:hAnsi="仿宋" w:eastAsia="仿宋_GB2312" w:cs="Times New Roman"/>
          <w:color w:val="000000" w:themeColor="text1"/>
          <w:sz w:val="32"/>
          <w:szCs w:val="32"/>
          <w14:textFill>
            <w14:solidFill>
              <w14:schemeClr w14:val="tx1"/>
            </w14:solidFill>
          </w14:textFill>
        </w:rPr>
      </w:pPr>
      <w:r>
        <w:rPr>
          <w:rFonts w:hint="eastAsia" w:eastAsia="仿宋_GB2312"/>
          <w:color w:val="000000" w:themeColor="text1"/>
          <w:sz w:val="32"/>
          <w14:textFill>
            <w14:solidFill>
              <w14:schemeClr w14:val="tx1"/>
            </w14:solidFill>
          </w14:textFill>
        </w:rPr>
        <w:t>按照区财政局的工作要求，本单位积极开展全过程预算绩效管理工作，绩效管理组织机构设置、绩效目标填报及绩效跟踪情况等，及时向财政部门报告我局部门整体绩效目标和项目支出绩效目标半年和全年完成情况，说明绩效目标的完成进度、存在问题、整改措施。</w:t>
      </w:r>
    </w:p>
    <w:p>
      <w:pPr>
        <w:spacing w:line="520" w:lineRule="exact"/>
        <w:ind w:firstLine="636" w:firstLineChars="200"/>
        <w:rPr>
          <w:rFonts w:ascii="仿宋_GB2312" w:hAnsi="仿宋" w:eastAsia="仿宋_GB2312" w:cs="Times New Roman"/>
          <w:color w:val="000000" w:themeColor="text1"/>
          <w:sz w:val="32"/>
          <w:szCs w:val="32"/>
          <w14:textFill>
            <w14:solidFill>
              <w14:schemeClr w14:val="tx1"/>
            </w14:solidFill>
          </w14:textFill>
        </w:rPr>
      </w:pPr>
      <w:r>
        <w:rPr>
          <w:rFonts w:ascii="仿宋_GB2312" w:hAnsi="仿宋" w:eastAsia="仿宋_GB2312" w:cs="Times New Roman"/>
          <w:color w:val="000000" w:themeColor="text1"/>
          <w:sz w:val="32"/>
          <w:szCs w:val="32"/>
          <w14:textFill>
            <w14:solidFill>
              <w14:schemeClr w14:val="tx1"/>
            </w14:solidFill>
          </w14:textFill>
        </w:rPr>
        <w:t>2.</w:t>
      </w:r>
      <w:r>
        <w:rPr>
          <w:rFonts w:hint="eastAsia" w:ascii="仿宋_GB2312" w:hAnsi="仿宋" w:eastAsia="仿宋_GB2312" w:cs="Times New Roman"/>
          <w:color w:val="000000" w:themeColor="text1"/>
          <w:sz w:val="32"/>
          <w:szCs w:val="32"/>
          <w14:textFill>
            <w14:solidFill>
              <w14:schemeClr w14:val="tx1"/>
            </w14:solidFill>
          </w14:textFill>
        </w:rPr>
        <w:t>绩效目标管理情况</w:t>
      </w:r>
    </w:p>
    <w:p>
      <w:pPr>
        <w:spacing w:line="520" w:lineRule="exact"/>
        <w:ind w:firstLine="636" w:firstLineChars="200"/>
        <w:rPr>
          <w:rFonts w:ascii="仿宋_GB2312" w:hAnsi="微软雅黑" w:eastAsia="仿宋_GB2312" w:cs="微软雅黑"/>
          <w:color w:val="000000" w:themeColor="text1"/>
          <w:sz w:val="32"/>
          <w:szCs w:val="32"/>
          <w:shd w:val="clear" w:color="auto" w:fill="FFFFFF"/>
          <w14:textFill>
            <w14:solidFill>
              <w14:schemeClr w14:val="tx1"/>
            </w14:solidFill>
          </w14:textFill>
        </w:rPr>
      </w:pPr>
      <w:r>
        <w:rPr>
          <w:rFonts w:ascii="仿宋_GB2312" w:hAnsi="微软雅黑" w:eastAsia="仿宋_GB2312" w:cs="微软雅黑"/>
          <w:color w:val="000000" w:themeColor="text1"/>
          <w:sz w:val="32"/>
          <w:szCs w:val="32"/>
          <w:shd w:val="clear" w:color="auto" w:fill="FFFFFF"/>
          <w14:textFill>
            <w14:solidFill>
              <w14:schemeClr w14:val="tx1"/>
            </w14:solidFill>
          </w14:textFill>
        </w:rPr>
        <w:t>2024</w:t>
      </w:r>
      <w:r>
        <w:rPr>
          <w:rFonts w:hint="eastAsia" w:ascii="仿宋_GB2312" w:hAnsi="微软雅黑" w:eastAsia="仿宋_GB2312" w:cs="微软雅黑"/>
          <w:color w:val="000000" w:themeColor="text1"/>
          <w:sz w:val="32"/>
          <w:szCs w:val="32"/>
          <w:shd w:val="clear" w:color="auto" w:fill="FFFFFF"/>
          <w14:textFill>
            <w14:solidFill>
              <w14:schemeClr w14:val="tx1"/>
            </w14:solidFill>
          </w14:textFill>
        </w:rPr>
        <w:t>年部门预算项目</w:t>
      </w:r>
      <w:r>
        <w:rPr>
          <w:rFonts w:hint="eastAsia" w:ascii="仿宋_GB2312" w:hAnsi="微软雅黑" w:eastAsia="仿宋_GB2312" w:cs="微软雅黑"/>
          <w:color w:val="000000" w:themeColor="text1"/>
          <w:sz w:val="32"/>
          <w:szCs w:val="32"/>
          <w:shd w:val="clear" w:color="auto" w:fill="FFFFFF"/>
          <w:lang w:val="en-US" w:eastAsia="zh-CN"/>
          <w14:textFill>
            <w14:solidFill>
              <w14:schemeClr w14:val="tx1"/>
            </w14:solidFill>
          </w14:textFill>
        </w:rPr>
        <w:t>166</w:t>
      </w:r>
      <w:r>
        <w:rPr>
          <w:rFonts w:hint="eastAsia" w:ascii="仿宋_GB2312" w:hAnsi="微软雅黑" w:eastAsia="仿宋_GB2312" w:cs="微软雅黑"/>
          <w:color w:val="000000" w:themeColor="text1"/>
          <w:sz w:val="32"/>
          <w:szCs w:val="32"/>
          <w:shd w:val="clear" w:color="auto" w:fill="FFFFFF"/>
          <w14:textFill>
            <w14:solidFill>
              <w14:schemeClr w14:val="tx1"/>
            </w14:solidFill>
          </w14:textFill>
        </w:rPr>
        <w:t>个，部门预算公开绩效目标的预算项目</w:t>
      </w:r>
      <w:r>
        <w:rPr>
          <w:rFonts w:hint="eastAsia" w:ascii="仿宋_GB2312" w:hAnsi="微软雅黑" w:eastAsia="仿宋_GB2312" w:cs="微软雅黑"/>
          <w:color w:val="000000" w:themeColor="text1"/>
          <w:sz w:val="32"/>
          <w:szCs w:val="32"/>
          <w:shd w:val="clear" w:color="auto" w:fill="FFFFFF"/>
          <w:lang w:val="en-US" w:eastAsia="zh-CN"/>
          <w14:textFill>
            <w14:solidFill>
              <w14:schemeClr w14:val="tx1"/>
            </w14:solidFill>
          </w14:textFill>
        </w:rPr>
        <w:t>166</w:t>
      </w:r>
      <w:r>
        <w:rPr>
          <w:rFonts w:hint="eastAsia" w:ascii="仿宋_GB2312" w:hAnsi="微软雅黑" w:eastAsia="仿宋_GB2312" w:cs="微软雅黑"/>
          <w:color w:val="000000" w:themeColor="text1"/>
          <w:sz w:val="32"/>
          <w:szCs w:val="32"/>
          <w:shd w:val="clear" w:color="auto" w:fill="FFFFFF"/>
          <w14:textFill>
            <w14:solidFill>
              <w14:schemeClr w14:val="tx1"/>
            </w14:solidFill>
          </w14:textFill>
        </w:rPr>
        <w:t>个，占本部门全部预算项目的</w:t>
      </w:r>
      <w:r>
        <w:rPr>
          <w:rFonts w:hint="eastAsia" w:ascii="仿宋_GB2312" w:hAnsi="微软雅黑" w:eastAsia="仿宋_GB2312" w:cs="微软雅黑"/>
          <w:color w:val="000000" w:themeColor="text1"/>
          <w:sz w:val="32"/>
          <w:szCs w:val="32"/>
          <w:shd w:val="clear" w:color="auto" w:fill="FFFFFF"/>
          <w:lang w:val="en-US" w:eastAsia="zh-CN"/>
          <w14:textFill>
            <w14:solidFill>
              <w14:schemeClr w14:val="tx1"/>
            </w14:solidFill>
          </w14:textFill>
        </w:rPr>
        <w:t>100</w:t>
      </w:r>
      <w:r>
        <w:rPr>
          <w:rFonts w:ascii="仿宋_GB2312" w:hAnsi="微软雅黑" w:eastAsia="仿宋_GB2312" w:cs="微软雅黑"/>
          <w:color w:val="000000" w:themeColor="text1"/>
          <w:sz w:val="32"/>
          <w:szCs w:val="32"/>
          <w:shd w:val="clear" w:color="auto" w:fill="FFFFFF"/>
          <w14:textFill>
            <w14:solidFill>
              <w14:schemeClr w14:val="tx1"/>
            </w14:solidFill>
          </w14:textFill>
        </w:rPr>
        <w:t>%</w:t>
      </w:r>
      <w:r>
        <w:rPr>
          <w:rFonts w:hint="eastAsia" w:ascii="仿宋_GB2312" w:hAnsi="微软雅黑" w:eastAsia="仿宋_GB2312" w:cs="微软雅黑"/>
          <w:color w:val="000000" w:themeColor="text1"/>
          <w:sz w:val="32"/>
          <w:szCs w:val="32"/>
          <w:shd w:val="clear" w:color="auto" w:fill="FFFFFF"/>
          <w14:textFill>
            <w14:solidFill>
              <w14:schemeClr w14:val="tx1"/>
            </w14:solidFill>
          </w14:textFill>
        </w:rPr>
        <w:t>。</w:t>
      </w:r>
    </w:p>
    <w:p>
      <w:pPr>
        <w:spacing w:line="520" w:lineRule="exact"/>
        <w:ind w:firstLine="636" w:firstLineChars="200"/>
        <w:rPr>
          <w:rFonts w:ascii="仿宋_GB2312" w:hAnsi="仿宋" w:eastAsia="仿宋_GB2312" w:cs="Times New Roman"/>
          <w:color w:val="000000" w:themeColor="text1"/>
          <w:sz w:val="32"/>
          <w:szCs w:val="32"/>
          <w14:textFill>
            <w14:solidFill>
              <w14:schemeClr w14:val="tx1"/>
            </w14:solidFill>
          </w14:textFill>
        </w:rPr>
      </w:pPr>
      <w:r>
        <w:rPr>
          <w:rFonts w:ascii="仿宋_GB2312" w:hAnsi="仿宋" w:eastAsia="仿宋_GB2312" w:cs="Times New Roman"/>
          <w:color w:val="000000" w:themeColor="text1"/>
          <w:sz w:val="32"/>
          <w:szCs w:val="32"/>
          <w14:textFill>
            <w14:solidFill>
              <w14:schemeClr w14:val="tx1"/>
            </w14:solidFill>
          </w14:textFill>
        </w:rPr>
        <w:t>3.</w:t>
      </w:r>
      <w:r>
        <w:rPr>
          <w:rFonts w:hint="eastAsia" w:ascii="仿宋_GB2312" w:hAnsi="仿宋" w:eastAsia="仿宋_GB2312" w:cs="Times New Roman"/>
          <w:color w:val="000000" w:themeColor="text1"/>
          <w:sz w:val="32"/>
          <w:szCs w:val="32"/>
          <w14:textFill>
            <w14:solidFill>
              <w14:schemeClr w14:val="tx1"/>
            </w14:solidFill>
          </w14:textFill>
        </w:rPr>
        <w:t>绩效运行监控情况</w:t>
      </w:r>
    </w:p>
    <w:p>
      <w:pPr>
        <w:spacing w:line="520" w:lineRule="exact"/>
        <w:ind w:firstLine="636" w:firstLineChars="200"/>
        <w:rPr>
          <w:rFonts w:ascii="仿宋_GB2312" w:hAnsi="仿宋" w:eastAsia="仿宋_GB2312" w:cs="Times New Roman"/>
          <w:color w:val="000000" w:themeColor="text1"/>
          <w:sz w:val="32"/>
          <w:szCs w:val="32"/>
          <w14:textFill>
            <w14:solidFill>
              <w14:schemeClr w14:val="tx1"/>
            </w14:solidFill>
          </w14:textFill>
        </w:rPr>
      </w:pPr>
      <w:r>
        <w:rPr>
          <w:rFonts w:ascii="仿宋_GB2312" w:hAnsi="仿宋" w:eastAsia="仿宋_GB2312" w:cs="Times New Roman"/>
          <w:color w:val="000000" w:themeColor="text1"/>
          <w:sz w:val="32"/>
          <w:szCs w:val="32"/>
          <w14:textFill>
            <w14:solidFill>
              <w14:schemeClr w14:val="tx1"/>
            </w14:solidFill>
          </w14:textFill>
        </w:rPr>
        <w:t>2024</w:t>
      </w:r>
      <w:r>
        <w:rPr>
          <w:rFonts w:hint="eastAsia" w:ascii="仿宋_GB2312" w:hAnsi="仿宋" w:eastAsia="仿宋_GB2312" w:cs="Times New Roman"/>
          <w:color w:val="000000" w:themeColor="text1"/>
          <w:sz w:val="32"/>
          <w:szCs w:val="32"/>
          <w14:textFill>
            <w14:solidFill>
              <w14:schemeClr w14:val="tx1"/>
            </w14:solidFill>
          </w14:textFill>
        </w:rPr>
        <w:t>年对</w:t>
      </w:r>
      <w:r>
        <w:rPr>
          <w:rFonts w:hint="eastAsia" w:ascii="仿宋_GB2312" w:hAnsi="Times New Roman" w:eastAsia="仿宋_GB2312" w:cs="Times New Roman"/>
          <w:color w:val="000000" w:themeColor="text1"/>
          <w:sz w:val="32"/>
          <w:szCs w:val="32"/>
          <w14:textFill>
            <w14:solidFill>
              <w14:schemeClr w14:val="tx1"/>
            </w14:solidFill>
          </w14:textFill>
        </w:rPr>
        <w:t>本部门及所属单位</w:t>
      </w:r>
      <w:r>
        <w:rPr>
          <w:rFonts w:hint="eastAsia" w:ascii="仿宋_GB2312" w:hAnsi="仿宋" w:eastAsia="仿宋_GB2312" w:cs="Times New Roman"/>
          <w:color w:val="000000" w:themeColor="text1"/>
          <w:sz w:val="32"/>
          <w:szCs w:val="32"/>
          <w:lang w:val="en-US" w:eastAsia="zh-CN"/>
          <w14:textFill>
            <w14:solidFill>
              <w14:schemeClr w14:val="tx1"/>
            </w14:solidFill>
          </w14:textFill>
        </w:rPr>
        <w:t>166</w:t>
      </w:r>
      <w:r>
        <w:rPr>
          <w:rFonts w:hint="eastAsia" w:ascii="仿宋_GB2312" w:hAnsi="仿宋" w:eastAsia="仿宋_GB2312" w:cs="Times New Roman"/>
          <w:color w:val="000000" w:themeColor="text1"/>
          <w:sz w:val="32"/>
          <w:szCs w:val="32"/>
          <w14:textFill>
            <w14:solidFill>
              <w14:schemeClr w14:val="tx1"/>
            </w14:solidFill>
          </w14:textFill>
        </w:rPr>
        <w:t>个预算项目进行绩效运行监控，占部门项目总数的</w:t>
      </w:r>
      <w:r>
        <w:rPr>
          <w:rFonts w:hint="eastAsia" w:ascii="仿宋_GB2312" w:hAnsi="微软雅黑" w:eastAsia="仿宋_GB2312" w:cs="微软雅黑"/>
          <w:color w:val="000000" w:themeColor="text1"/>
          <w:sz w:val="32"/>
          <w:szCs w:val="32"/>
          <w:shd w:val="clear" w:color="auto" w:fill="FFFFFF"/>
          <w:lang w:val="en-US" w:eastAsia="zh-CN"/>
          <w14:textFill>
            <w14:solidFill>
              <w14:schemeClr w14:val="tx1"/>
            </w14:solidFill>
          </w14:textFill>
        </w:rPr>
        <w:t>100</w:t>
      </w:r>
      <w:r>
        <w:rPr>
          <w:rFonts w:ascii="仿宋_GB2312" w:hAnsi="微软雅黑" w:eastAsia="仿宋_GB2312" w:cs="微软雅黑"/>
          <w:color w:val="000000" w:themeColor="text1"/>
          <w:sz w:val="32"/>
          <w:szCs w:val="32"/>
          <w:shd w:val="clear" w:color="auto" w:fill="FFFFFF"/>
          <w14:textFill>
            <w14:solidFill>
              <w14:schemeClr w14:val="tx1"/>
            </w14:solidFill>
          </w14:textFill>
        </w:rPr>
        <w:t>%</w:t>
      </w:r>
      <w:r>
        <w:rPr>
          <w:rFonts w:hint="eastAsia" w:ascii="仿宋_GB2312" w:hAnsi="微软雅黑" w:eastAsia="仿宋_GB2312" w:cs="微软雅黑"/>
          <w:color w:val="000000" w:themeColor="text1"/>
          <w:sz w:val="32"/>
          <w:szCs w:val="32"/>
          <w:shd w:val="clear" w:color="auto" w:fill="FFFFFF"/>
          <w14:textFill>
            <w14:solidFill>
              <w14:schemeClr w14:val="tx1"/>
            </w14:solidFill>
          </w14:textFill>
        </w:rPr>
        <w:t>，涉及资金</w:t>
      </w:r>
      <w:r>
        <w:rPr>
          <w:rFonts w:hint="eastAsia" w:ascii="仿宋_GB2312" w:hAnsi="微软雅黑" w:eastAsia="仿宋_GB2312" w:cs="微软雅黑"/>
          <w:color w:val="000000" w:themeColor="text1"/>
          <w:sz w:val="32"/>
          <w:szCs w:val="32"/>
          <w:shd w:val="clear" w:color="auto" w:fill="FFFFFF"/>
          <w:lang w:val="en-US" w:eastAsia="zh-CN"/>
          <w14:textFill>
            <w14:solidFill>
              <w14:schemeClr w14:val="tx1"/>
            </w14:solidFill>
          </w14:textFill>
        </w:rPr>
        <w:t>117502.31</w:t>
      </w:r>
      <w:r>
        <w:rPr>
          <w:rFonts w:hint="eastAsia" w:ascii="仿宋_GB2312" w:hAnsi="微软雅黑" w:eastAsia="仿宋_GB2312" w:cs="微软雅黑"/>
          <w:color w:val="000000" w:themeColor="text1"/>
          <w:sz w:val="32"/>
          <w:szCs w:val="32"/>
          <w:shd w:val="clear" w:color="auto" w:fill="FFFFFF"/>
          <w14:textFill>
            <w14:solidFill>
              <w14:schemeClr w14:val="tx1"/>
            </w14:solidFill>
          </w14:textFill>
        </w:rPr>
        <w:t>万元。</w:t>
      </w:r>
    </w:p>
    <w:p>
      <w:pPr>
        <w:spacing w:line="520" w:lineRule="exact"/>
        <w:ind w:firstLine="636" w:firstLineChars="200"/>
        <w:rPr>
          <w:rFonts w:ascii="仿宋_GB2312" w:hAnsi="仿宋" w:eastAsia="仿宋_GB2312" w:cs="Times New Roman"/>
          <w:color w:val="000000" w:themeColor="text1"/>
          <w:sz w:val="32"/>
          <w:szCs w:val="32"/>
          <w14:textFill>
            <w14:solidFill>
              <w14:schemeClr w14:val="tx1"/>
            </w14:solidFill>
          </w14:textFill>
        </w:rPr>
      </w:pPr>
      <w:r>
        <w:rPr>
          <w:rFonts w:ascii="仿宋_GB2312" w:hAnsi="仿宋" w:eastAsia="仿宋_GB2312" w:cs="Times New Roman"/>
          <w:color w:val="000000" w:themeColor="text1"/>
          <w:sz w:val="32"/>
          <w:szCs w:val="32"/>
          <w14:textFill>
            <w14:solidFill>
              <w14:schemeClr w14:val="tx1"/>
            </w14:solidFill>
          </w14:textFill>
        </w:rPr>
        <w:t>4.</w:t>
      </w:r>
      <w:r>
        <w:rPr>
          <w:rFonts w:hint="eastAsia" w:ascii="仿宋_GB2312" w:hAnsi="仿宋" w:eastAsia="仿宋_GB2312" w:cs="Times New Roman"/>
          <w:color w:val="000000" w:themeColor="text1"/>
          <w:sz w:val="32"/>
          <w:szCs w:val="32"/>
          <w14:textFill>
            <w14:solidFill>
              <w14:schemeClr w14:val="tx1"/>
            </w14:solidFill>
          </w14:textFill>
        </w:rPr>
        <w:t>绩效自评情况</w:t>
      </w:r>
    </w:p>
    <w:p>
      <w:pPr>
        <w:spacing w:line="520" w:lineRule="exact"/>
        <w:ind w:firstLine="636" w:firstLineChars="200"/>
        <w:rPr>
          <w:rFonts w:ascii="仿宋_GB2312" w:hAnsi="Times New Roman" w:eastAsia="仿宋_GB2312" w:cs="Times New Roman"/>
          <w:color w:val="000000" w:themeColor="text1"/>
          <w:sz w:val="32"/>
          <w:szCs w:val="32"/>
          <w14:textFill>
            <w14:solidFill>
              <w14:schemeClr w14:val="tx1"/>
            </w14:solidFill>
          </w14:textFill>
        </w:rPr>
      </w:pPr>
      <w:r>
        <w:rPr>
          <w:rFonts w:ascii="仿宋_GB2312" w:hAnsi="仿宋" w:eastAsia="仿宋_GB2312" w:cs="Times New Roman"/>
          <w:color w:val="000000" w:themeColor="text1"/>
          <w:sz w:val="32"/>
          <w:szCs w:val="32"/>
          <w14:textFill>
            <w14:solidFill>
              <w14:schemeClr w14:val="tx1"/>
            </w14:solidFill>
          </w14:textFill>
        </w:rPr>
        <w:t>2024</w:t>
      </w:r>
      <w:r>
        <w:rPr>
          <w:rFonts w:hint="eastAsia" w:ascii="仿宋_GB2312" w:hAnsi="仿宋" w:eastAsia="仿宋_GB2312" w:cs="Times New Roman"/>
          <w:color w:val="000000" w:themeColor="text1"/>
          <w:sz w:val="32"/>
          <w:szCs w:val="32"/>
          <w14:textFill>
            <w14:solidFill>
              <w14:schemeClr w14:val="tx1"/>
            </w14:solidFill>
          </w14:textFill>
        </w:rPr>
        <w:t>年</w:t>
      </w:r>
      <w:r>
        <w:rPr>
          <w:rFonts w:hint="eastAsia" w:ascii="仿宋_GB2312" w:hAnsi="Times New Roman" w:eastAsia="仿宋_GB2312" w:cs="Times New Roman"/>
          <w:color w:val="000000" w:themeColor="text1"/>
          <w:sz w:val="32"/>
          <w:szCs w:val="32"/>
          <w14:textFill>
            <w14:solidFill>
              <w14:schemeClr w14:val="tx1"/>
            </w14:solidFill>
          </w14:textFill>
        </w:rPr>
        <w:t>对本部门及所属单位</w:t>
      </w:r>
      <w:r>
        <w:rPr>
          <w:rFonts w:ascii="仿宋_GB2312" w:hAnsi="Times New Roman" w:eastAsia="仿宋_GB2312" w:cs="Times New Roman"/>
          <w:color w:val="000000" w:themeColor="text1"/>
          <w:sz w:val="32"/>
          <w:szCs w:val="32"/>
          <w14:textFill>
            <w14:solidFill>
              <w14:schemeClr w14:val="tx1"/>
            </w14:solidFill>
          </w14:textFill>
        </w:rPr>
        <w:t>202</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4</w:t>
      </w:r>
      <w:r>
        <w:rPr>
          <w:rFonts w:hint="eastAsia" w:ascii="仿宋_GB2312" w:hAnsi="Times New Roman" w:eastAsia="仿宋_GB2312" w:cs="Times New Roman"/>
          <w:color w:val="000000" w:themeColor="text1"/>
          <w:sz w:val="32"/>
          <w:szCs w:val="32"/>
          <w14:textFill>
            <w14:solidFill>
              <w14:schemeClr w14:val="tx1"/>
            </w14:solidFill>
          </w14:textFill>
        </w:rPr>
        <w:t>年项目支出实施了绩效自评，评价项目</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166</w:t>
      </w:r>
      <w:r>
        <w:rPr>
          <w:rFonts w:hint="eastAsia" w:ascii="仿宋_GB2312" w:hAnsi="Times New Roman" w:eastAsia="仿宋_GB2312" w:cs="Times New Roman"/>
          <w:color w:val="000000" w:themeColor="text1"/>
          <w:sz w:val="32"/>
          <w:szCs w:val="32"/>
          <w14:textFill>
            <w14:solidFill>
              <w14:schemeClr w14:val="tx1"/>
            </w14:solidFill>
          </w14:textFill>
        </w:rPr>
        <w:t>个，涉及金额</w:t>
      </w:r>
      <w:r>
        <w:rPr>
          <w:rFonts w:hint="eastAsia" w:ascii="仿宋_GB2312" w:hAnsi="微软雅黑" w:eastAsia="仿宋_GB2312" w:cs="微软雅黑"/>
          <w:color w:val="000000" w:themeColor="text1"/>
          <w:sz w:val="32"/>
          <w:szCs w:val="32"/>
          <w:shd w:val="clear" w:color="auto" w:fill="FFFFFF"/>
          <w:lang w:val="en-US" w:eastAsia="zh-CN"/>
          <w14:textFill>
            <w14:solidFill>
              <w14:schemeClr w14:val="tx1"/>
            </w14:solidFill>
          </w14:textFill>
        </w:rPr>
        <w:t>117502.31</w:t>
      </w:r>
      <w:r>
        <w:rPr>
          <w:rFonts w:hint="eastAsia" w:ascii="仿宋_GB2312" w:hAnsi="Times New Roman" w:eastAsia="仿宋_GB2312" w:cs="Times New Roman"/>
          <w:color w:val="000000" w:themeColor="text1"/>
          <w:sz w:val="32"/>
          <w:szCs w:val="32"/>
          <w14:textFill>
            <w14:solidFill>
              <w14:schemeClr w14:val="tx1"/>
            </w14:solidFill>
          </w14:textFill>
        </w:rPr>
        <w:t>万元。</w:t>
      </w:r>
    </w:p>
    <w:p>
      <w:pPr>
        <w:widowControl/>
        <w:spacing w:line="520" w:lineRule="exact"/>
        <w:ind w:firstLine="636" w:firstLineChars="200"/>
        <w:rPr>
          <w:rFonts w:ascii="黑体" w:hAnsi="黑体" w:eastAsia="黑体" w:cs="Times New Roman"/>
          <w:color w:val="000000" w:themeColor="text1"/>
          <w:sz w:val="32"/>
          <w:szCs w:val="32"/>
          <w14:textFill>
            <w14:solidFill>
              <w14:schemeClr w14:val="tx1"/>
            </w14:solidFill>
          </w14:textFill>
        </w:rPr>
      </w:pPr>
      <w:r>
        <w:rPr>
          <w:rFonts w:hint="eastAsia" w:ascii="黑体" w:hAnsi="黑体" w:eastAsia="黑体" w:cs="宋体"/>
          <w:color w:val="000000" w:themeColor="text1"/>
          <w:sz w:val="32"/>
          <w:szCs w:val="32"/>
          <w14:textFill>
            <w14:solidFill>
              <w14:schemeClr w14:val="tx1"/>
            </w14:solidFill>
          </w14:textFill>
        </w:rPr>
        <w:t>五、总体评价结论</w:t>
      </w:r>
    </w:p>
    <w:p>
      <w:pPr>
        <w:spacing w:line="520" w:lineRule="exact"/>
        <w:ind w:firstLine="636" w:firstLineChars="200"/>
        <w:rPr>
          <w:rFonts w:ascii="楷体_GB2312" w:hAnsi="仿宋" w:eastAsia="楷体_GB2312" w:cs="Times New Roman"/>
          <w:b/>
          <w:color w:val="000000" w:themeColor="text1"/>
          <w:sz w:val="32"/>
          <w:szCs w:val="32"/>
          <w14:textFill>
            <w14:solidFill>
              <w14:schemeClr w14:val="tx1"/>
            </w14:solidFill>
          </w14:textFill>
        </w:rPr>
      </w:pPr>
      <w:r>
        <w:rPr>
          <w:rFonts w:hint="eastAsia" w:ascii="楷体_GB2312" w:hAnsi="仿宋" w:eastAsia="楷体_GB2312" w:cs="Times New Roman"/>
          <w:b/>
          <w:color w:val="000000" w:themeColor="text1"/>
          <w:sz w:val="32"/>
          <w:szCs w:val="32"/>
          <w14:textFill>
            <w14:solidFill>
              <w14:schemeClr w14:val="tx1"/>
            </w14:solidFill>
          </w14:textFill>
        </w:rPr>
        <w:t>（一）评价得分情况</w:t>
      </w:r>
    </w:p>
    <w:p>
      <w:pPr>
        <w:widowControl/>
        <w:spacing w:line="520" w:lineRule="exact"/>
        <w:ind w:firstLine="636" w:firstLineChars="200"/>
        <w:rPr>
          <w:rFonts w:ascii="仿宋_GB2312" w:hAnsi="仿宋" w:eastAsia="仿宋_GB2312" w:cs="Times New Roman"/>
          <w:color w:val="000000" w:themeColor="text1"/>
          <w:sz w:val="32"/>
          <w:szCs w:val="32"/>
          <w14:textFill>
            <w14:solidFill>
              <w14:schemeClr w14:val="tx1"/>
            </w14:solidFill>
          </w14:textFill>
        </w:rPr>
      </w:pPr>
      <w:r>
        <w:rPr>
          <w:rFonts w:hint="eastAsia" w:ascii="仿宋_GB2312" w:hAnsi="仿宋" w:eastAsia="仿宋_GB2312" w:cs="Times New Roman"/>
          <w:color w:val="000000" w:themeColor="text1"/>
          <w:sz w:val="32"/>
          <w:szCs w:val="32"/>
          <w14:textFill>
            <w14:solidFill>
              <w14:schemeClr w14:val="tx1"/>
            </w14:solidFill>
          </w14:textFill>
        </w:rPr>
        <w:t>请结合《部门整体支出绩效自评表》中的得分情况填写以下内容。</w:t>
      </w:r>
    </w:p>
    <w:p>
      <w:pPr>
        <w:widowControl/>
        <w:spacing w:line="520" w:lineRule="exact"/>
        <w:ind w:firstLine="636" w:firstLineChars="200"/>
        <w:rPr>
          <w:rFonts w:ascii="仿宋_GB2312" w:hAnsi="仿宋" w:eastAsia="仿宋_GB2312" w:cs="Times New Roman"/>
          <w:color w:val="000000" w:themeColor="text1"/>
          <w:sz w:val="32"/>
          <w:szCs w:val="32"/>
          <w14:textFill>
            <w14:solidFill>
              <w14:schemeClr w14:val="tx1"/>
            </w14:solidFill>
          </w14:textFill>
        </w:rPr>
      </w:pPr>
      <w:r>
        <w:rPr>
          <w:rFonts w:hint="eastAsia" w:ascii="仿宋_GB2312" w:hAnsi="仿宋" w:eastAsia="仿宋_GB2312" w:cs="Times New Roman"/>
          <w:color w:val="000000" w:themeColor="text1"/>
          <w:sz w:val="32"/>
          <w:szCs w:val="32"/>
          <w14:textFill>
            <w14:solidFill>
              <w14:schemeClr w14:val="tx1"/>
            </w14:solidFill>
          </w14:textFill>
        </w:rPr>
        <w:t>绩效自评总分：</w:t>
      </w:r>
      <w:r>
        <w:rPr>
          <w:rFonts w:hint="eastAsia" w:ascii="仿宋_GB2312" w:hAnsi="仿宋" w:eastAsia="仿宋_GB2312" w:cs="Times New Roman"/>
          <w:color w:val="000000" w:themeColor="text1"/>
          <w:sz w:val="32"/>
          <w:szCs w:val="32"/>
          <w:lang w:val="en-US" w:eastAsia="zh-CN"/>
          <w14:textFill>
            <w14:solidFill>
              <w14:schemeClr w14:val="tx1"/>
            </w14:solidFill>
          </w14:textFill>
        </w:rPr>
        <w:t>89.8</w:t>
      </w:r>
      <w:r>
        <w:rPr>
          <w:rFonts w:hint="eastAsia" w:ascii="仿宋_GB2312" w:hAnsi="仿宋" w:eastAsia="仿宋_GB2312" w:cs="Times New Roman"/>
          <w:color w:val="000000" w:themeColor="text1"/>
          <w:sz w:val="32"/>
          <w:szCs w:val="32"/>
          <w14:textFill>
            <w14:solidFill>
              <w14:schemeClr w14:val="tx1"/>
            </w14:solidFill>
          </w14:textFill>
        </w:rPr>
        <w:t>分</w:t>
      </w:r>
    </w:p>
    <w:p>
      <w:pPr>
        <w:widowControl/>
        <w:spacing w:line="520" w:lineRule="exact"/>
        <w:ind w:firstLine="636" w:firstLineChars="200"/>
        <w:rPr>
          <w:rFonts w:ascii="仿宋_GB2312" w:hAnsi="仿宋" w:eastAsia="仿宋_GB2312" w:cs="Times New Roman"/>
          <w:color w:val="000000" w:themeColor="text1"/>
          <w:sz w:val="32"/>
          <w:szCs w:val="32"/>
          <w14:textFill>
            <w14:solidFill>
              <w14:schemeClr w14:val="tx1"/>
            </w14:solidFill>
          </w14:textFill>
        </w:rPr>
      </w:pPr>
      <w:r>
        <w:rPr>
          <w:rFonts w:hint="eastAsia" w:ascii="仿宋_GB2312" w:hAnsi="仿宋" w:eastAsia="仿宋_GB2312" w:cs="Times New Roman"/>
          <w:color w:val="000000" w:themeColor="text1"/>
          <w:sz w:val="32"/>
          <w:szCs w:val="32"/>
          <w14:textFill>
            <w14:solidFill>
              <w14:schemeClr w14:val="tx1"/>
            </w14:solidFill>
          </w14:textFill>
        </w:rPr>
        <w:t>绩效自评等级：</w:t>
      </w:r>
      <w:r>
        <w:rPr>
          <w:rFonts w:hint="eastAsia" w:ascii="仿宋_GB2312" w:hAnsi="仿宋" w:eastAsia="仿宋_GB2312" w:cs="Times New Roman"/>
          <w:color w:val="000000" w:themeColor="text1"/>
          <w:sz w:val="32"/>
          <w:szCs w:val="32"/>
          <w:lang w:eastAsia="zh-CN"/>
          <w14:textFill>
            <w14:solidFill>
              <w14:schemeClr w14:val="tx1"/>
            </w14:solidFill>
          </w14:textFill>
        </w:rPr>
        <w:t>良好</w:t>
      </w:r>
    </w:p>
    <w:p>
      <w:pPr>
        <w:widowControl/>
        <w:spacing w:line="520" w:lineRule="exact"/>
        <w:ind w:firstLine="636" w:firstLineChars="200"/>
        <w:rPr>
          <w:rFonts w:ascii="仿宋_GB2312" w:hAnsi="仿宋" w:eastAsia="仿宋_GB2312" w:cs="Times New Roman"/>
          <w:color w:val="000000" w:themeColor="text1"/>
          <w:sz w:val="32"/>
          <w:szCs w:val="32"/>
          <w14:textFill>
            <w14:solidFill>
              <w14:schemeClr w14:val="tx1"/>
            </w14:solidFill>
          </w14:textFill>
        </w:rPr>
      </w:pPr>
      <w:r>
        <w:rPr>
          <w:rFonts w:hint="eastAsia" w:ascii="仿宋_GB2312" w:hAnsi="仿宋" w:eastAsia="仿宋_GB2312" w:cs="Times New Roman"/>
          <w:color w:val="000000" w:themeColor="text1"/>
          <w:sz w:val="32"/>
          <w:szCs w:val="32"/>
          <w14:textFill>
            <w14:solidFill>
              <w14:schemeClr w14:val="tx1"/>
            </w14:solidFill>
          </w14:textFill>
        </w:rPr>
        <w:t>四类评价等级：优秀（</w:t>
      </w:r>
      <w:r>
        <w:rPr>
          <w:rFonts w:ascii="仿宋_GB2312" w:hAnsi="仿宋" w:eastAsia="仿宋_GB2312" w:cs="Times New Roman"/>
          <w:color w:val="000000" w:themeColor="text1"/>
          <w:sz w:val="32"/>
          <w:szCs w:val="32"/>
          <w14:textFill>
            <w14:solidFill>
              <w14:schemeClr w14:val="tx1"/>
            </w14:solidFill>
          </w14:textFill>
        </w:rPr>
        <w:t>90</w:t>
      </w:r>
      <w:r>
        <w:rPr>
          <w:rFonts w:hint="eastAsia" w:ascii="仿宋_GB2312" w:hAnsi="仿宋" w:eastAsia="仿宋_GB2312" w:cs="Times New Roman"/>
          <w:color w:val="000000" w:themeColor="text1"/>
          <w:sz w:val="32"/>
          <w:szCs w:val="32"/>
          <w14:textFill>
            <w14:solidFill>
              <w14:schemeClr w14:val="tx1"/>
            </w14:solidFill>
          </w14:textFill>
        </w:rPr>
        <w:t>（含）</w:t>
      </w:r>
      <w:r>
        <w:rPr>
          <w:rFonts w:ascii="仿宋_GB2312" w:hAnsi="仿宋" w:eastAsia="仿宋_GB2312" w:cs="Times New Roman"/>
          <w:color w:val="000000" w:themeColor="text1"/>
          <w:sz w:val="32"/>
          <w:szCs w:val="32"/>
          <w14:textFill>
            <w14:solidFill>
              <w14:schemeClr w14:val="tx1"/>
            </w14:solidFill>
          </w14:textFill>
        </w:rPr>
        <w:t>-100</w:t>
      </w:r>
      <w:r>
        <w:rPr>
          <w:rFonts w:hint="eastAsia" w:ascii="仿宋_GB2312" w:hAnsi="仿宋" w:eastAsia="仿宋_GB2312" w:cs="Times New Roman"/>
          <w:color w:val="000000" w:themeColor="text1"/>
          <w:sz w:val="32"/>
          <w:szCs w:val="32"/>
          <w14:textFill>
            <w14:solidFill>
              <w14:schemeClr w14:val="tx1"/>
            </w14:solidFill>
          </w14:textFill>
        </w:rPr>
        <w:t>分）、良好</w:t>
      </w:r>
      <w:r>
        <w:rPr>
          <w:rFonts w:ascii="仿宋_GB2312" w:hAnsi="仿宋" w:eastAsia="仿宋_GB2312" w:cs="Times New Roman"/>
          <w:color w:val="000000" w:themeColor="text1"/>
          <w:sz w:val="32"/>
          <w:szCs w:val="32"/>
          <w14:textFill>
            <w14:solidFill>
              <w14:schemeClr w14:val="tx1"/>
            </w14:solidFill>
          </w14:textFill>
        </w:rPr>
        <w:t>80</w:t>
      </w:r>
      <w:r>
        <w:rPr>
          <w:rFonts w:hint="eastAsia" w:ascii="仿宋_GB2312" w:hAnsi="仿宋" w:eastAsia="仿宋_GB2312" w:cs="Times New Roman"/>
          <w:color w:val="000000" w:themeColor="text1"/>
          <w:sz w:val="32"/>
          <w:szCs w:val="32"/>
          <w14:textFill>
            <w14:solidFill>
              <w14:schemeClr w14:val="tx1"/>
            </w14:solidFill>
          </w14:textFill>
        </w:rPr>
        <w:t>（含）</w:t>
      </w:r>
      <w:r>
        <w:rPr>
          <w:rFonts w:ascii="仿宋_GB2312" w:hAnsi="仿宋" w:eastAsia="仿宋_GB2312" w:cs="Times New Roman"/>
          <w:color w:val="000000" w:themeColor="text1"/>
          <w:sz w:val="32"/>
          <w:szCs w:val="32"/>
          <w14:textFill>
            <w14:solidFill>
              <w14:schemeClr w14:val="tx1"/>
            </w14:solidFill>
          </w14:textFill>
        </w:rPr>
        <w:t>-90</w:t>
      </w:r>
      <w:r>
        <w:rPr>
          <w:rFonts w:hint="eastAsia" w:ascii="仿宋_GB2312" w:hAnsi="仿宋" w:eastAsia="仿宋_GB2312" w:cs="Times New Roman"/>
          <w:color w:val="000000" w:themeColor="text1"/>
          <w:sz w:val="32"/>
          <w:szCs w:val="32"/>
          <w14:textFill>
            <w14:solidFill>
              <w14:schemeClr w14:val="tx1"/>
            </w14:solidFill>
          </w14:textFill>
        </w:rPr>
        <w:t>分、一般</w:t>
      </w:r>
      <w:r>
        <w:rPr>
          <w:rFonts w:ascii="仿宋_GB2312" w:hAnsi="仿宋" w:eastAsia="仿宋_GB2312" w:cs="Times New Roman"/>
          <w:color w:val="000000" w:themeColor="text1"/>
          <w:sz w:val="32"/>
          <w:szCs w:val="32"/>
          <w14:textFill>
            <w14:solidFill>
              <w14:schemeClr w14:val="tx1"/>
            </w14:solidFill>
          </w14:textFill>
        </w:rPr>
        <w:t>60</w:t>
      </w:r>
      <w:r>
        <w:rPr>
          <w:rFonts w:hint="eastAsia" w:ascii="仿宋_GB2312" w:hAnsi="仿宋" w:eastAsia="仿宋_GB2312" w:cs="Times New Roman"/>
          <w:color w:val="000000" w:themeColor="text1"/>
          <w:sz w:val="32"/>
          <w:szCs w:val="32"/>
          <w14:textFill>
            <w14:solidFill>
              <w14:schemeClr w14:val="tx1"/>
            </w14:solidFill>
          </w14:textFill>
        </w:rPr>
        <w:t>（含）</w:t>
      </w:r>
      <w:r>
        <w:rPr>
          <w:rFonts w:ascii="仿宋_GB2312" w:hAnsi="仿宋" w:eastAsia="仿宋_GB2312" w:cs="Times New Roman"/>
          <w:color w:val="000000" w:themeColor="text1"/>
          <w:sz w:val="32"/>
          <w:szCs w:val="32"/>
          <w14:textFill>
            <w14:solidFill>
              <w14:schemeClr w14:val="tx1"/>
            </w14:solidFill>
          </w14:textFill>
        </w:rPr>
        <w:t>-80</w:t>
      </w:r>
      <w:r>
        <w:rPr>
          <w:rFonts w:hint="eastAsia" w:ascii="仿宋_GB2312" w:hAnsi="仿宋" w:eastAsia="仿宋_GB2312" w:cs="Times New Roman"/>
          <w:color w:val="000000" w:themeColor="text1"/>
          <w:sz w:val="32"/>
          <w:szCs w:val="32"/>
          <w14:textFill>
            <w14:solidFill>
              <w14:schemeClr w14:val="tx1"/>
            </w14:solidFill>
          </w14:textFill>
        </w:rPr>
        <w:t>分、较差</w:t>
      </w:r>
      <w:r>
        <w:rPr>
          <w:rFonts w:ascii="仿宋_GB2312" w:hAnsi="仿宋" w:eastAsia="仿宋_GB2312" w:cs="Times New Roman"/>
          <w:color w:val="000000" w:themeColor="text1"/>
          <w:sz w:val="32"/>
          <w:szCs w:val="32"/>
          <w14:textFill>
            <w14:solidFill>
              <w14:schemeClr w14:val="tx1"/>
            </w14:solidFill>
          </w14:textFill>
        </w:rPr>
        <w:t>60</w:t>
      </w:r>
      <w:r>
        <w:rPr>
          <w:rFonts w:hint="eastAsia" w:ascii="仿宋_GB2312" w:hAnsi="仿宋" w:eastAsia="仿宋_GB2312" w:cs="Times New Roman"/>
          <w:color w:val="000000" w:themeColor="text1"/>
          <w:sz w:val="32"/>
          <w:szCs w:val="32"/>
          <w14:textFill>
            <w14:solidFill>
              <w14:schemeClr w14:val="tx1"/>
            </w14:solidFill>
          </w14:textFill>
        </w:rPr>
        <w:t>分以下</w:t>
      </w:r>
    </w:p>
    <w:p>
      <w:pPr>
        <w:spacing w:line="520" w:lineRule="exact"/>
        <w:ind w:firstLine="636" w:firstLineChars="200"/>
        <w:rPr>
          <w:rFonts w:ascii="楷体_GB2312" w:hAnsi="仿宋" w:eastAsia="楷体_GB2312" w:cs="Times New Roman"/>
          <w:b/>
          <w:color w:val="000000" w:themeColor="text1"/>
          <w:sz w:val="32"/>
          <w:szCs w:val="32"/>
          <w14:textFill>
            <w14:solidFill>
              <w14:schemeClr w14:val="tx1"/>
            </w14:solidFill>
          </w14:textFill>
        </w:rPr>
      </w:pPr>
      <w:r>
        <w:rPr>
          <w:rFonts w:hint="eastAsia" w:ascii="楷体_GB2312" w:hAnsi="仿宋" w:eastAsia="楷体_GB2312" w:cs="Times New Roman"/>
          <w:b/>
          <w:color w:val="000000" w:themeColor="text1"/>
          <w:sz w:val="32"/>
          <w:szCs w:val="32"/>
          <w14:textFill>
            <w14:solidFill>
              <w14:schemeClr w14:val="tx1"/>
            </w14:solidFill>
          </w14:textFill>
        </w:rPr>
        <w:t>（二）存在的问题及原因分析</w:t>
      </w:r>
    </w:p>
    <w:p>
      <w:pPr>
        <w:numPr>
          <w:ilvl w:val="0"/>
          <w:numId w:val="0"/>
        </w:numPr>
        <w:spacing w:beforeLines="0" w:afterLines="0" w:line="520" w:lineRule="exact"/>
        <w:ind w:firstLine="1590" w:firstLineChars="500"/>
        <w:rPr>
          <w:rFonts w:ascii="仿宋_GB2312" w:hAnsi="仿宋" w:eastAsia="仿宋_GB2312" w:cs="Times New Roman"/>
          <w:color w:val="000000" w:themeColor="text1"/>
          <w:sz w:val="32"/>
          <w:szCs w:val="32"/>
          <w14:textFill>
            <w14:solidFill>
              <w14:schemeClr w14:val="tx1"/>
            </w14:solidFill>
          </w14:textFill>
        </w:rPr>
      </w:pPr>
      <w:r>
        <w:rPr>
          <w:rFonts w:hint="eastAsia" w:ascii="仿宋_GB2312" w:hAnsi="仿宋" w:eastAsia="仿宋_GB2312" w:cs="Times New Roman"/>
          <w:color w:val="000000" w:themeColor="text1"/>
          <w:sz w:val="32"/>
          <w:szCs w:val="32"/>
          <w14:textFill>
            <w14:solidFill>
              <w14:schemeClr w14:val="tx1"/>
            </w14:solidFill>
          </w14:textFill>
        </w:rPr>
        <w:t>个别项目支付进度缓慢。</w:t>
      </w:r>
    </w:p>
    <w:p>
      <w:pPr>
        <w:spacing w:line="520" w:lineRule="exact"/>
        <w:ind w:firstLine="636" w:firstLineChars="200"/>
        <w:rPr>
          <w:rFonts w:ascii="楷体_GB2312" w:hAnsi="仿宋" w:eastAsia="楷体_GB2312" w:cs="Times New Roman"/>
          <w:b/>
          <w:sz w:val="32"/>
          <w:szCs w:val="32"/>
        </w:rPr>
      </w:pPr>
      <w:r>
        <w:rPr>
          <w:rFonts w:hint="eastAsia" w:ascii="楷体_GB2312" w:hAnsi="仿宋" w:eastAsia="楷体_GB2312" w:cs="Times New Roman"/>
          <w:b/>
          <w:sz w:val="32"/>
          <w:szCs w:val="32"/>
        </w:rPr>
        <w:t>（三）改进措施</w:t>
      </w:r>
    </w:p>
    <w:p>
      <w:pPr>
        <w:numPr>
          <w:ilvl w:val="0"/>
          <w:numId w:val="0"/>
        </w:numPr>
        <w:spacing w:beforeLines="0" w:afterLines="0" w:line="520" w:lineRule="exact"/>
        <w:ind w:firstLine="1272" w:firstLineChars="400"/>
        <w:rPr>
          <w:rFonts w:hint="eastAsia" w:ascii="仿宋_GB2312" w:hAnsi="仿宋" w:eastAsia="仿宋_GB2312" w:cs="Times New Roman"/>
          <w:sz w:val="32"/>
          <w:szCs w:val="32"/>
        </w:rPr>
      </w:pPr>
      <w:r>
        <w:rPr>
          <w:rFonts w:hint="eastAsia" w:ascii="仿宋_GB2312" w:hAnsi="仿宋" w:eastAsia="仿宋_GB2312" w:cs="Times New Roman"/>
          <w:sz w:val="32"/>
          <w:szCs w:val="32"/>
        </w:rPr>
        <w:t>加快推动项目前期手续、按照全年任务目标推进工程进度，切实提高资金使用效率，切实提高政府资金绩效。</w:t>
      </w:r>
    </w:p>
    <w:p>
      <w:pPr>
        <w:spacing w:line="520" w:lineRule="exact"/>
        <w:ind w:firstLine="636" w:firstLineChars="200"/>
        <w:rPr>
          <w:rFonts w:ascii="仿宋_GB2312" w:hAnsi="仿宋" w:eastAsia="仿宋_GB2312" w:cs="Times New Roman"/>
          <w:sz w:val="32"/>
          <w:szCs w:val="32"/>
        </w:rPr>
      </w:pPr>
    </w:p>
    <w:bookmarkEnd w:id="2"/>
    <w:p>
      <w:pPr>
        <w:spacing w:line="520" w:lineRule="exact"/>
        <w:ind w:firstLine="636" w:firstLineChars="200"/>
        <w:jc w:val="left"/>
        <w:rPr>
          <w:rFonts w:ascii="仿宋_GB2312" w:hAnsi="Times New Roman" w:eastAsia="仿宋_GB2312" w:cs="Times New Roman"/>
          <w:sz w:val="32"/>
          <w:szCs w:val="32"/>
        </w:rPr>
      </w:pPr>
    </w:p>
    <w:p/>
    <w:sectPr>
      <w:footerReference r:id="rId3" w:type="default"/>
      <w:pgSz w:w="11907" w:h="16840"/>
      <w:pgMar w:top="1797" w:right="1440" w:bottom="1276" w:left="1440" w:header="851" w:footer="992" w:gutter="0"/>
      <w:pgNumType w:start="1"/>
      <w:cols w:space="425" w:num="1"/>
      <w:docGrid w:type="linesAndChars" w:linePitch="606" w:charSpace="-61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楷体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Calibri Light">
    <w:altName w:val="Calibri"/>
    <w:panose1 w:val="020F0302020204030204"/>
    <w:charset w:val="00"/>
    <w:family w:val="swiss"/>
    <w:pitch w:val="default"/>
    <w:sig w:usb0="00000000" w:usb1="00000000"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ind w:firstLine="360"/>
      <w:rPr>
        <w:rStyle w:val="6"/>
      </w:rPr>
    </w:pPr>
    <w:r>
      <w:rPr>
        <w:rStyle w:val="6"/>
      </w:rPr>
      <w:fldChar w:fldCharType="begin"/>
    </w:r>
    <w:r>
      <w:rPr>
        <w:rStyle w:val="6"/>
      </w:rPr>
      <w:instrText xml:space="preserve">PAGE  </w:instrText>
    </w:r>
    <w:r>
      <w:rPr>
        <w:rStyle w:val="6"/>
      </w:rPr>
      <w:fldChar w:fldCharType="separate"/>
    </w:r>
    <w:r>
      <w:rPr>
        <w:rStyle w:val="6"/>
      </w:rPr>
      <w:t>1</w:t>
    </w:r>
    <w:r>
      <w:rPr>
        <w:rStyle w:val="6"/>
      </w:rPr>
      <w:fldChar w:fldCharType="end"/>
    </w:r>
  </w:p>
  <w:p>
    <w:pPr>
      <w:pStyle w:val="3"/>
      <w:ind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969"/>
    <w:rsid w:val="0004502A"/>
    <w:rsid w:val="0010736B"/>
    <w:rsid w:val="00136430"/>
    <w:rsid w:val="0015133D"/>
    <w:rsid w:val="001F1B65"/>
    <w:rsid w:val="0020720A"/>
    <w:rsid w:val="00271F9E"/>
    <w:rsid w:val="00335359"/>
    <w:rsid w:val="00385D4E"/>
    <w:rsid w:val="00632E15"/>
    <w:rsid w:val="00765990"/>
    <w:rsid w:val="007C5969"/>
    <w:rsid w:val="007D514A"/>
    <w:rsid w:val="00846439"/>
    <w:rsid w:val="00861964"/>
    <w:rsid w:val="008B4180"/>
    <w:rsid w:val="008C4DEF"/>
    <w:rsid w:val="0099769B"/>
    <w:rsid w:val="00A50C4B"/>
    <w:rsid w:val="00A5549B"/>
    <w:rsid w:val="00AC3863"/>
    <w:rsid w:val="00B12733"/>
    <w:rsid w:val="00B60F78"/>
    <w:rsid w:val="00CF6DF6"/>
    <w:rsid w:val="00D92EAA"/>
    <w:rsid w:val="00D937A9"/>
    <w:rsid w:val="00DA3A1A"/>
    <w:rsid w:val="00E26073"/>
    <w:rsid w:val="00E430E2"/>
    <w:rsid w:val="00E56FD1"/>
    <w:rsid w:val="00ED7BD7"/>
    <w:rsid w:val="00F578CA"/>
    <w:rsid w:val="00F806E1"/>
    <w:rsid w:val="01BC0B18"/>
    <w:rsid w:val="01CD0B15"/>
    <w:rsid w:val="023A728C"/>
    <w:rsid w:val="0396110E"/>
    <w:rsid w:val="042D7552"/>
    <w:rsid w:val="056912E7"/>
    <w:rsid w:val="05BF0A0C"/>
    <w:rsid w:val="061E1732"/>
    <w:rsid w:val="06927A38"/>
    <w:rsid w:val="06E96738"/>
    <w:rsid w:val="072D1E0F"/>
    <w:rsid w:val="089E2A90"/>
    <w:rsid w:val="094970E9"/>
    <w:rsid w:val="0B130ECA"/>
    <w:rsid w:val="0BC248FF"/>
    <w:rsid w:val="0C443935"/>
    <w:rsid w:val="0CAA7684"/>
    <w:rsid w:val="112067DC"/>
    <w:rsid w:val="113870C8"/>
    <w:rsid w:val="11452992"/>
    <w:rsid w:val="115A1838"/>
    <w:rsid w:val="12B547F0"/>
    <w:rsid w:val="1309386C"/>
    <w:rsid w:val="1372221B"/>
    <w:rsid w:val="15E571AD"/>
    <w:rsid w:val="160B2E03"/>
    <w:rsid w:val="16525C43"/>
    <w:rsid w:val="178578D8"/>
    <w:rsid w:val="19554A29"/>
    <w:rsid w:val="197C7459"/>
    <w:rsid w:val="198700B6"/>
    <w:rsid w:val="1A192EF5"/>
    <w:rsid w:val="1A7638A8"/>
    <w:rsid w:val="1A783AF4"/>
    <w:rsid w:val="1A91748C"/>
    <w:rsid w:val="1C453998"/>
    <w:rsid w:val="1D240170"/>
    <w:rsid w:val="1D9E6429"/>
    <w:rsid w:val="1E3D3024"/>
    <w:rsid w:val="20057DBE"/>
    <w:rsid w:val="23FA64C3"/>
    <w:rsid w:val="24757456"/>
    <w:rsid w:val="25AE40C3"/>
    <w:rsid w:val="262657BC"/>
    <w:rsid w:val="26FE6F18"/>
    <w:rsid w:val="273D2C24"/>
    <w:rsid w:val="27693FA7"/>
    <w:rsid w:val="27A414B9"/>
    <w:rsid w:val="2841221A"/>
    <w:rsid w:val="29026422"/>
    <w:rsid w:val="2C190CEA"/>
    <w:rsid w:val="2D4171CB"/>
    <w:rsid w:val="2DAB3E38"/>
    <w:rsid w:val="2DB86891"/>
    <w:rsid w:val="32B125A0"/>
    <w:rsid w:val="34515844"/>
    <w:rsid w:val="358F6EA7"/>
    <w:rsid w:val="361773AA"/>
    <w:rsid w:val="36953ADF"/>
    <w:rsid w:val="3785754F"/>
    <w:rsid w:val="37E41AE5"/>
    <w:rsid w:val="38716D60"/>
    <w:rsid w:val="3A0B01B2"/>
    <w:rsid w:val="3A1C48E6"/>
    <w:rsid w:val="3A9310B5"/>
    <w:rsid w:val="3B140211"/>
    <w:rsid w:val="3B530A1D"/>
    <w:rsid w:val="3D70726A"/>
    <w:rsid w:val="3E127EA6"/>
    <w:rsid w:val="3F965D47"/>
    <w:rsid w:val="40327A76"/>
    <w:rsid w:val="41750024"/>
    <w:rsid w:val="41DD09BB"/>
    <w:rsid w:val="44756162"/>
    <w:rsid w:val="44A707CA"/>
    <w:rsid w:val="46C66BA0"/>
    <w:rsid w:val="46C833C9"/>
    <w:rsid w:val="47917702"/>
    <w:rsid w:val="47B71B7B"/>
    <w:rsid w:val="48540D85"/>
    <w:rsid w:val="486578EE"/>
    <w:rsid w:val="4A7B7DCB"/>
    <w:rsid w:val="4BB30415"/>
    <w:rsid w:val="4C1D0FA9"/>
    <w:rsid w:val="4C3820FF"/>
    <w:rsid w:val="4D8671EB"/>
    <w:rsid w:val="4E40225B"/>
    <w:rsid w:val="4E7F7584"/>
    <w:rsid w:val="4F493F9A"/>
    <w:rsid w:val="4FA7143F"/>
    <w:rsid w:val="503D5586"/>
    <w:rsid w:val="50B5457C"/>
    <w:rsid w:val="51560112"/>
    <w:rsid w:val="518234A2"/>
    <w:rsid w:val="51DB589E"/>
    <w:rsid w:val="51EB79CA"/>
    <w:rsid w:val="521B3AFE"/>
    <w:rsid w:val="525B5049"/>
    <w:rsid w:val="53D74DA7"/>
    <w:rsid w:val="54C14860"/>
    <w:rsid w:val="54D73B7A"/>
    <w:rsid w:val="564251A1"/>
    <w:rsid w:val="57A167BC"/>
    <w:rsid w:val="58206787"/>
    <w:rsid w:val="58AC6E42"/>
    <w:rsid w:val="59C47640"/>
    <w:rsid w:val="5CFE7F0E"/>
    <w:rsid w:val="5D574FA2"/>
    <w:rsid w:val="5E2D524C"/>
    <w:rsid w:val="620D0838"/>
    <w:rsid w:val="63CC0879"/>
    <w:rsid w:val="642E14BA"/>
    <w:rsid w:val="645E3536"/>
    <w:rsid w:val="65960E26"/>
    <w:rsid w:val="671876FB"/>
    <w:rsid w:val="684C64F8"/>
    <w:rsid w:val="69A260E3"/>
    <w:rsid w:val="6A2E7439"/>
    <w:rsid w:val="6B4910CD"/>
    <w:rsid w:val="6BB77348"/>
    <w:rsid w:val="6CBF1CF4"/>
    <w:rsid w:val="6FD71FB3"/>
    <w:rsid w:val="6FF622EE"/>
    <w:rsid w:val="70755972"/>
    <w:rsid w:val="714F3C4D"/>
    <w:rsid w:val="71B02626"/>
    <w:rsid w:val="71F44919"/>
    <w:rsid w:val="737333C5"/>
    <w:rsid w:val="756F3056"/>
    <w:rsid w:val="793627AA"/>
    <w:rsid w:val="79416D9E"/>
    <w:rsid w:val="7A1A1864"/>
    <w:rsid w:val="7A492436"/>
    <w:rsid w:val="7ACF62D1"/>
    <w:rsid w:val="7B0511D5"/>
    <w:rsid w:val="7B70569C"/>
    <w:rsid w:val="7CCB696B"/>
    <w:rsid w:val="7D521861"/>
    <w:rsid w:val="7FE23D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7">
    <w:name w:val="Normal Table"/>
    <w:unhideWhenUsed/>
    <w:uiPriority w:val="99"/>
    <w:tblPr>
      <w:tblLayout w:type="fixed"/>
      <w:tblCellMar>
        <w:top w:w="0" w:type="dxa"/>
        <w:left w:w="108" w:type="dxa"/>
        <w:bottom w:w="0" w:type="dxa"/>
        <w:right w:w="108" w:type="dxa"/>
      </w:tblCellMar>
    </w:tblPr>
  </w:style>
  <w:style w:type="paragraph" w:styleId="2">
    <w:name w:val="Normal Indent"/>
    <w:basedOn w:val="1"/>
    <w:unhideWhenUsed/>
    <w:uiPriority w:val="99"/>
    <w:pPr>
      <w:spacing w:beforeLines="0" w:afterLines="0"/>
      <w:ind w:firstLine="420"/>
    </w:pPr>
    <w:rPr>
      <w:rFonts w:hint="eastAsia" w:eastAsia="宋体"/>
      <w:sz w:val="2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styleId="6">
    <w:name w:val="page number"/>
    <w:semiHidden/>
    <w:uiPriority w:val="99"/>
    <w:rPr>
      <w:rFonts w:cs="Times New Roman"/>
    </w:rPr>
  </w:style>
  <w:style w:type="character" w:customStyle="1" w:styleId="8">
    <w:name w:val="页眉 Char"/>
    <w:basedOn w:val="5"/>
    <w:link w:val="4"/>
    <w:uiPriority w:val="99"/>
    <w:rPr>
      <w:sz w:val="18"/>
      <w:szCs w:val="18"/>
    </w:rPr>
  </w:style>
  <w:style w:type="character" w:customStyle="1" w:styleId="9">
    <w:name w:val="页脚 Char"/>
    <w:basedOn w:val="5"/>
    <w:link w:val="3"/>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184</Words>
  <Characters>1054</Characters>
  <Lines>8</Lines>
  <Paragraphs>2</Paragraphs>
  <ScaleCrop>false</ScaleCrop>
  <LinksUpToDate>false</LinksUpToDate>
  <CharactersWithSpaces>1236</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2025-03-05T08:16:00Z</dcterms:created>
  <dc:creator>李菁</dc:creator>
  <cp:lastModifiedBy>Administrator</cp:lastModifiedBy>
  <dcterms:modified xsi:type="dcterms:W3CDTF">2025-03-20T07:58:06Z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