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华文中宋" w:hAnsi="华文中宋" w:eastAsia="华文中宋"/>
          <w:b/>
          <w:sz w:val="36"/>
          <w:szCs w:val="36"/>
        </w:rPr>
      </w:pPr>
      <w:bookmarkStart w:id="2" w:name="_GoBack"/>
      <w:bookmarkEnd w:id="2"/>
      <w:r>
        <w:rPr>
          <w:rFonts w:hint="eastAsia" w:ascii="华文中宋" w:hAnsi="华文中宋" w:eastAsia="华文中宋"/>
          <w:b/>
          <w:sz w:val="36"/>
          <w:szCs w:val="36"/>
        </w:rPr>
        <w:t>目   录</w:t>
      </w:r>
    </w:p>
    <w:p>
      <w:pPr>
        <w:spacing w:line="460" w:lineRule="exact"/>
        <w:jc w:val="center"/>
        <w:rPr>
          <w:rFonts w:hint="eastAsia" w:ascii="华文中宋" w:hAnsi="华文中宋" w:eastAsia="华文中宋"/>
          <w:b/>
          <w:sz w:val="36"/>
          <w:szCs w:val="36"/>
        </w:rPr>
      </w:pPr>
    </w:p>
    <w:p>
      <w:pPr>
        <w:spacing w:line="460" w:lineRule="exact"/>
        <w:ind w:firstLine="420" w:firstLineChars="150"/>
        <w:jc w:val="left"/>
        <w:rPr>
          <w:rFonts w:ascii="黑体" w:hAnsi="黑体" w:eastAsia="黑体"/>
          <w:sz w:val="28"/>
          <w:szCs w:val="32"/>
        </w:rPr>
      </w:pPr>
      <w:r>
        <w:rPr>
          <w:rFonts w:hint="eastAsia" w:ascii="黑体" w:hAnsi="黑体" w:eastAsia="黑体"/>
          <w:sz w:val="28"/>
          <w:szCs w:val="32"/>
        </w:rPr>
        <w:t>第一部分 2025年度部门预算情况说明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一、部门情况</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二、收入预算说明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三、支出预算说明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四</w:t>
      </w:r>
      <w:r>
        <w:rPr>
          <w:rFonts w:ascii="仿宋_GB2312" w:eastAsia="仿宋_GB2312"/>
          <w:sz w:val="28"/>
          <w:szCs w:val="32"/>
        </w:rPr>
        <w:t>、</w:t>
      </w:r>
      <w:r>
        <w:rPr>
          <w:rFonts w:hint="eastAsia" w:ascii="仿宋_GB2312" w:eastAsia="仿宋_GB2312"/>
          <w:sz w:val="28"/>
          <w:szCs w:val="32"/>
        </w:rPr>
        <w:t>部门"三公"经费财政拨款预算说明</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五</w:t>
      </w:r>
      <w:r>
        <w:rPr>
          <w:rFonts w:ascii="仿宋_GB2312" w:eastAsia="仿宋_GB2312"/>
          <w:sz w:val="28"/>
          <w:szCs w:val="32"/>
        </w:rPr>
        <w:t>、</w:t>
      </w:r>
      <w:r>
        <w:rPr>
          <w:rFonts w:hint="eastAsia" w:ascii="仿宋_GB2312" w:eastAsia="仿宋_GB2312"/>
          <w:sz w:val="28"/>
          <w:szCs w:val="32"/>
        </w:rPr>
        <w:t>其他情况说明</w:t>
      </w:r>
    </w:p>
    <w:p>
      <w:pPr>
        <w:spacing w:line="460" w:lineRule="exact"/>
        <w:ind w:firstLine="420" w:firstLineChars="150"/>
        <w:jc w:val="left"/>
        <w:rPr>
          <w:rFonts w:ascii="黑体" w:hAnsi="黑体" w:eastAsia="黑体"/>
          <w:sz w:val="28"/>
          <w:szCs w:val="32"/>
        </w:rPr>
      </w:pPr>
    </w:p>
    <w:p>
      <w:pPr>
        <w:spacing w:line="460" w:lineRule="exact"/>
        <w:ind w:firstLine="420" w:firstLineChars="150"/>
        <w:jc w:val="left"/>
        <w:rPr>
          <w:rFonts w:hint="eastAsia" w:ascii="黑体" w:hAnsi="黑体" w:eastAsia="黑体"/>
          <w:sz w:val="28"/>
          <w:szCs w:val="32"/>
        </w:rPr>
      </w:pPr>
      <w:r>
        <w:rPr>
          <w:rFonts w:hint="eastAsia" w:ascii="黑体" w:hAnsi="黑体" w:eastAsia="黑体"/>
          <w:sz w:val="28"/>
          <w:szCs w:val="32"/>
        </w:rPr>
        <w:t>第二部分 2025年度部门预算报表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1.收支总表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2.收入总表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3.本年支出预算总表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4.项目支出表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5.政府采购预算明细表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6.财政拨款</w:t>
      </w:r>
      <w:r>
        <w:rPr>
          <w:rFonts w:ascii="仿宋_GB2312" w:eastAsia="仿宋_GB2312"/>
          <w:sz w:val="28"/>
          <w:szCs w:val="32"/>
        </w:rPr>
        <w:t>收支预算</w:t>
      </w:r>
      <w:r>
        <w:rPr>
          <w:rFonts w:hint="eastAsia" w:ascii="仿宋_GB2312" w:eastAsia="仿宋_GB2312"/>
          <w:sz w:val="28"/>
          <w:szCs w:val="32"/>
        </w:rPr>
        <w:t>总表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7.一般公共预算财政拨款支出表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8.一般公共预算财政拨款基本支出表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9.政府性基金预算财政拨款支出表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10.国有资本经营预算财政拨款支出表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11.财政拨款“三公”经费支出表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12.政府购买服务预算财政拨款明细表</w:t>
      </w:r>
    </w:p>
    <w:p>
      <w:pPr>
        <w:spacing w:line="460" w:lineRule="exact"/>
        <w:ind w:firstLine="420" w:firstLineChars="150"/>
        <w:jc w:val="left"/>
        <w:rPr>
          <w:rFonts w:ascii="仿宋_GB2312" w:eastAsia="仿宋_GB2312"/>
          <w:sz w:val="28"/>
          <w:szCs w:val="32"/>
        </w:rPr>
      </w:pPr>
      <w:r>
        <w:rPr>
          <w:rFonts w:hint="eastAsia" w:ascii="仿宋_GB2312" w:eastAsia="仿宋_GB2312"/>
          <w:sz w:val="28"/>
          <w:szCs w:val="32"/>
        </w:rPr>
        <w:t>13.部门</w:t>
      </w:r>
      <w:r>
        <w:rPr>
          <w:rFonts w:ascii="仿宋_GB2312" w:eastAsia="仿宋_GB2312"/>
          <w:sz w:val="28"/>
          <w:szCs w:val="32"/>
        </w:rPr>
        <w:t>（</w:t>
      </w:r>
      <w:r>
        <w:rPr>
          <w:rFonts w:hint="eastAsia" w:ascii="仿宋_GB2312" w:eastAsia="仿宋_GB2312"/>
          <w:sz w:val="28"/>
          <w:szCs w:val="32"/>
        </w:rPr>
        <w:t>单位</w:t>
      </w:r>
      <w:r>
        <w:rPr>
          <w:rFonts w:ascii="仿宋_GB2312" w:eastAsia="仿宋_GB2312"/>
          <w:sz w:val="28"/>
          <w:szCs w:val="32"/>
        </w:rPr>
        <w:t>）</w:t>
      </w:r>
      <w:r>
        <w:rPr>
          <w:rFonts w:hint="eastAsia" w:ascii="仿宋_GB2312" w:eastAsia="仿宋_GB2312"/>
          <w:sz w:val="28"/>
          <w:szCs w:val="32"/>
        </w:rPr>
        <w:t>整体支出绩效目标申报表</w:t>
      </w:r>
    </w:p>
    <w:p>
      <w:pPr>
        <w:spacing w:line="460" w:lineRule="exact"/>
        <w:ind w:firstLine="420" w:firstLineChars="150"/>
        <w:jc w:val="left"/>
        <w:rPr>
          <w:rFonts w:hint="eastAsia" w:ascii="仿宋_GB2312" w:eastAsia="仿宋_GB2312"/>
          <w:sz w:val="28"/>
          <w:szCs w:val="32"/>
        </w:rPr>
      </w:pPr>
      <w:r>
        <w:rPr>
          <w:rFonts w:hint="eastAsia" w:ascii="仿宋_GB2312" w:eastAsia="仿宋_GB2312"/>
          <w:sz w:val="28"/>
          <w:szCs w:val="32"/>
        </w:rPr>
        <w:t>14.项目支出绩效表</w:t>
      </w:r>
    </w:p>
    <w:tbl>
      <w:tblPr>
        <w:tblStyle w:val="10"/>
        <w:tblW w:w="11320" w:type="dxa"/>
        <w:tblInd w:w="108" w:type="dxa"/>
        <w:tblLayout w:type="fixed"/>
        <w:tblCellMar>
          <w:top w:w="0" w:type="dxa"/>
          <w:left w:w="108" w:type="dxa"/>
          <w:bottom w:w="0" w:type="dxa"/>
          <w:right w:w="108" w:type="dxa"/>
        </w:tblCellMar>
      </w:tblPr>
      <w:tblGrid>
        <w:gridCol w:w="11320"/>
      </w:tblGrid>
      <w:tr>
        <w:tblPrEx>
          <w:tblLayout w:type="fixed"/>
          <w:tblCellMar>
            <w:top w:w="0" w:type="dxa"/>
            <w:left w:w="108" w:type="dxa"/>
            <w:bottom w:w="0" w:type="dxa"/>
            <w:right w:w="108" w:type="dxa"/>
          </w:tblCellMar>
        </w:tblPrEx>
        <w:trPr>
          <w:trHeight w:val="327" w:hRule="atLeast"/>
        </w:trPr>
        <w:tc>
          <w:tcPr>
            <w:tcW w:w="11320" w:type="dxa"/>
            <w:tcBorders>
              <w:top w:val="nil"/>
              <w:left w:val="nil"/>
              <w:bottom w:val="nil"/>
              <w:right w:val="nil"/>
            </w:tcBorders>
            <w:vAlign w:val="center"/>
          </w:tcPr>
          <w:p>
            <w:pPr>
              <w:widowControl/>
              <w:jc w:val="left"/>
              <w:rPr>
                <w:rFonts w:hint="eastAsia" w:ascii="仿宋_GB2312" w:eastAsia="仿宋_GB2312"/>
                <w:sz w:val="28"/>
                <w:szCs w:val="32"/>
              </w:rPr>
            </w:pPr>
          </w:p>
        </w:tc>
      </w:tr>
      <w:tr>
        <w:tblPrEx>
          <w:tblLayout w:type="fixed"/>
          <w:tblCellMar>
            <w:top w:w="0" w:type="dxa"/>
            <w:left w:w="108" w:type="dxa"/>
            <w:bottom w:w="0" w:type="dxa"/>
            <w:right w:w="108" w:type="dxa"/>
          </w:tblCellMar>
        </w:tblPrEx>
        <w:trPr>
          <w:trHeight w:val="327" w:hRule="atLeast"/>
        </w:trPr>
        <w:tc>
          <w:tcPr>
            <w:tcW w:w="11320" w:type="dxa"/>
            <w:tcBorders>
              <w:top w:val="nil"/>
              <w:left w:val="nil"/>
              <w:bottom w:val="nil"/>
              <w:right w:val="nil"/>
            </w:tcBorders>
            <w:vAlign w:val="center"/>
          </w:tcPr>
          <w:p>
            <w:pPr>
              <w:spacing w:line="460" w:lineRule="exact"/>
              <w:ind w:firstLine="420" w:firstLineChars="150"/>
              <w:jc w:val="left"/>
              <w:rPr>
                <w:rFonts w:hint="eastAsia" w:ascii="仿宋_GB2312" w:eastAsia="仿宋_GB2312"/>
                <w:sz w:val="28"/>
                <w:szCs w:val="32"/>
              </w:rPr>
            </w:pPr>
          </w:p>
        </w:tc>
      </w:tr>
    </w:tbl>
    <w:p>
      <w:pPr>
        <w:jc w:val="center"/>
        <w:rPr>
          <w:rFonts w:ascii="仿宋_GB2312" w:eastAsia="仿宋_GB2312"/>
          <w:b/>
          <w:sz w:val="28"/>
          <w:szCs w:val="32"/>
        </w:rPr>
      </w:pPr>
    </w:p>
    <w:p>
      <w:pPr>
        <w:jc w:val="center"/>
        <w:rPr>
          <w:rFonts w:ascii="仿宋_GB2312" w:eastAsia="仿宋_GB2312"/>
          <w:b/>
          <w:sz w:val="28"/>
          <w:szCs w:val="32"/>
        </w:rPr>
      </w:pPr>
    </w:p>
    <w:p>
      <w:pPr>
        <w:jc w:val="center"/>
        <w:rPr>
          <w:rFonts w:hint="eastAsia" w:ascii="仿宋_GB2312" w:eastAsia="仿宋_GB2312"/>
          <w:b/>
          <w:sz w:val="28"/>
          <w:szCs w:val="32"/>
        </w:rPr>
      </w:pPr>
    </w:p>
    <w:p>
      <w:pPr>
        <w:spacing w:line="500" w:lineRule="exact"/>
        <w:jc w:val="center"/>
        <w:rPr>
          <w:rFonts w:hint="eastAsia" w:ascii="华文中宋" w:hAnsi="华文中宋" w:eastAsia="华文中宋"/>
          <w:b/>
          <w:sz w:val="36"/>
          <w:szCs w:val="36"/>
        </w:rPr>
      </w:pPr>
      <w:r>
        <w:rPr>
          <w:rFonts w:hint="eastAsia" w:ascii="华文中宋" w:hAnsi="华文中宋" w:eastAsia="华文中宋"/>
          <w:b/>
          <w:sz w:val="36"/>
          <w:szCs w:val="36"/>
        </w:rPr>
        <w:t>第一</w:t>
      </w:r>
      <w:r>
        <w:rPr>
          <w:rFonts w:ascii="华文中宋" w:hAnsi="华文中宋" w:eastAsia="华文中宋"/>
          <w:b/>
          <w:sz w:val="36"/>
          <w:szCs w:val="36"/>
        </w:rPr>
        <w:t>部分</w:t>
      </w:r>
      <w:r>
        <w:rPr>
          <w:rFonts w:hint="eastAsia" w:ascii="华文中宋" w:hAnsi="华文中宋" w:eastAsia="华文中宋"/>
          <w:b/>
          <w:sz w:val="36"/>
          <w:szCs w:val="36"/>
        </w:rPr>
        <w:t xml:space="preserve"> 2025年度</w:t>
      </w:r>
      <w:r>
        <w:rPr>
          <w:rFonts w:hint="eastAsia" w:ascii="华文中宋" w:hAnsi="华文中宋" w:eastAsia="华文中宋"/>
          <w:b/>
          <w:sz w:val="36"/>
          <w:szCs w:val="36"/>
        </w:rPr>
        <w:t>门头沟区</w:t>
      </w:r>
      <w:r>
        <w:rPr>
          <w:rFonts w:hint="eastAsia" w:ascii="华文中宋" w:hAnsi="华文中宋" w:eastAsia="华文中宋"/>
          <w:b/>
          <w:sz w:val="36"/>
          <w:szCs w:val="36"/>
          <w:lang w:eastAsia="zh-CN"/>
        </w:rPr>
        <w:t>农业农村综合服务中心</w:t>
      </w:r>
      <w:r>
        <w:rPr>
          <w:rFonts w:hint="eastAsia" w:ascii="华文中宋" w:hAnsi="华文中宋" w:eastAsia="华文中宋"/>
          <w:b/>
          <w:sz w:val="36"/>
          <w:szCs w:val="36"/>
        </w:rPr>
        <w:t>部门预算情况说明</w:t>
      </w:r>
    </w:p>
    <w:p>
      <w:pPr>
        <w:widowControl/>
        <w:spacing w:line="560" w:lineRule="exact"/>
        <w:ind w:firstLine="560" w:firstLineChars="200"/>
        <w:rPr>
          <w:rFonts w:ascii="宋体" w:hAnsi="宋体"/>
          <w:sz w:val="28"/>
          <w:szCs w:val="32"/>
        </w:rPr>
      </w:pP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一、部门情况</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（一）部门机构设置、职责</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本部门共设14个内设机构：办公室、农村党建事务部、乡村建设部、绿色发展部、农村宅基地改革部、农村集体经济发展部、农旅融合发展促进部、养殖管理部、数字农业农村部、农村社会事业发展部、耕地保护与农田建设指导部、现代农业发展部、农产品质量安全部（农业检验检测中心）、组织人事部。</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14" w:rightChars="0" w:firstLine="640" w:firstLineChars="200"/>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1、贯彻执行国家和北京市关于“三农"工作的发展战略、中长期规划、重大政策及有关法律法规规章。负责农业农村政策宣传普及和舆情监测工作。</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14" w:rightChars="0" w:firstLine="640" w:firstLineChars="200"/>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2、协助区委农工委开展农村党的基层组织和党员干部队伍建设、农村意识形态、精神文明建设、农业农村人才队伍建设、乡村治理和保持农村社会和谐稳定等相关工作。</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14" w:rightChars="0" w:firstLine="640" w:firstLineChars="200"/>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3、配合有关部门开展村镇规划和村镇建设规划研究，承担美丽乡村建设、农村人居环境整治、农村能源建设、农业农村节能减排、宅基地改革和管理等事务性工作。</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14" w:rightChars="0" w:firstLine="640" w:firstLineChars="200"/>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4、贯彻执行乡村产业发展政策，负责产业、科技、人才等各项帮扶政策解答工作。承担壮大村级集体经济及促进休闲农业和乡村旅游发展相关项目的实施和检查验收工作。承担农业农村信息化、数字化服务</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14" w:rightChars="0" w:firstLine="640" w:firstLineChars="200"/>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5、负责本区农村社会事业发展、公共服务体系建设研究，配合相关部门编制规划并实施。参与指导开展巩固脱低成果工作，组织开展农民创新创业工作。</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14" w:rightChars="0" w:firstLine="640" w:firstLineChars="200"/>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6、承担本区农业行业发展中基本农田质量监测和保护、农产品质量安全建设和检验检测、农业环境监测检测等技术性、事务性工作。协助全区农业综合开发项目工作的组织落实。</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14" w:rightChars="0" w:firstLine="640" w:firstLineChars="200"/>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7、负责农业技术开发研究、引进、成果转化和技术推广工作。</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right="14" w:rightChars="0" w:firstLine="640" w:firstLineChars="200"/>
        <w:textAlignment w:val="auto"/>
        <w:outlineLvl w:val="9"/>
        <w:rPr>
          <w:rFonts w:hint="eastAsia" w:ascii="楷体_GB2312" w:hAnsi="宋体" w:eastAsia="楷体_GB2312" w:cs="宋体"/>
          <w:kern w:val="0"/>
          <w:sz w:val="32"/>
          <w:szCs w:val="32"/>
        </w:rPr>
      </w:pPr>
      <w:r>
        <w:rPr>
          <w:rFonts w:hint="eastAsia" w:ascii="仿宋_GB2312" w:hAnsi="宋体" w:eastAsia="仿宋_GB2312" w:cs="宋体"/>
          <w:kern w:val="0"/>
          <w:sz w:val="32"/>
          <w:szCs w:val="32"/>
          <w:lang w:val="en-US" w:eastAsia="zh-CN" w:bidi="ar-SA"/>
        </w:rPr>
        <w:t>8、完成区委农工委、区农业农村局交办的其他工作任务。</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（二）人员构成情况</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北京市门头沟区农业农村综合服务中心行政编制0人，实际0人；</w:t>
      </w:r>
      <w:r>
        <w:rPr>
          <w:rFonts w:hint="eastAsia" w:ascii="仿宋_GB2312" w:eastAsia="仿宋_GB2312"/>
          <w:sz w:val="32"/>
          <w:szCs w:val="32"/>
        </w:rPr>
        <w:t>事业编制</w:t>
      </w:r>
      <w:r>
        <w:rPr>
          <w:rFonts w:hint="eastAsia" w:ascii="仿宋_GB2312" w:eastAsia="仿宋_GB2312"/>
          <w:color w:val="000000"/>
          <w:sz w:val="32"/>
          <w:szCs w:val="32"/>
          <w:lang w:val="en-US" w:eastAsia="zh-CN"/>
        </w:rPr>
        <w:t>88</w:t>
      </w:r>
      <w:r>
        <w:rPr>
          <w:rFonts w:hint="eastAsia" w:ascii="仿宋_GB2312" w:eastAsia="仿宋_GB2312"/>
          <w:sz w:val="32"/>
          <w:szCs w:val="32"/>
        </w:rPr>
        <w:t>名，实际</w:t>
      </w:r>
      <w:r>
        <w:rPr>
          <w:rFonts w:hint="eastAsia" w:ascii="仿宋_GB2312" w:eastAsia="仿宋_GB2312"/>
          <w:color w:val="000000"/>
          <w:sz w:val="32"/>
          <w:szCs w:val="32"/>
          <w:lang w:val="en-US" w:eastAsia="zh-CN"/>
        </w:rPr>
        <w:t>84</w:t>
      </w:r>
      <w:r>
        <w:rPr>
          <w:rFonts w:hint="eastAsia" w:ascii="仿宋_GB2312" w:eastAsia="仿宋_GB2312"/>
          <w:sz w:val="32"/>
          <w:szCs w:val="32"/>
        </w:rPr>
        <w:t>人；</w:t>
      </w:r>
      <w:r>
        <w:rPr>
          <w:rFonts w:hint="eastAsia" w:ascii="仿宋_GB2312" w:hAnsi="宋体" w:eastAsia="仿宋_GB2312" w:cs="宋体"/>
          <w:kern w:val="0"/>
          <w:sz w:val="32"/>
          <w:szCs w:val="32"/>
          <w:lang w:val="en-US" w:eastAsia="zh-CN" w:bidi="ar-SA"/>
        </w:rPr>
        <w:t>聘用人员（公安系统文职人员、公安系统辅警人员、公安系统交通协管员、法院聘任书记员、聘用制司法警察、其他聘用人员--临时工）0人。</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（三）本预算年度的主要工作任务</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1、农产品质量安全工作</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default"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一是点面结合宣传到位。切实做好面上和点上宣传工作，进一步增强宣传认识，丰富宣传内容，活化宣传形式，创新宣传载体，加大宣传力度，积极开展向农户面对面的宣传，着力提升农产品质量安全社会知晓度、关注度、支持度，为深入开展农产品质量安全工作营造良好氛围。二是加强重点时段、重大活动期间检查力度。加大“五一”、“十一”重要节假日，春耕、“三夏”、“三秋”等重要农作时节的农产品质量安全巡查执法，强化风险排查和管控。以“零感染、零接触、零事故、零差错、零投诉”为目标，增加抽检频次，确保重点时期活动核心区和社会面农产品质量安全保障工作平稳有序。三是做好案件查处工作。积极与市场监管部门、公安、检察院沟通联系。对日常检查、风险监测、监督抽查中发现的食用禁限用药物、常规农兽药残留严重超标等问题，开展行政调查，构成犯罪的要及时将案件移送公安机关；对公安机关商请提供认定意见、风险评估意见以及无害化处理涉案物品的，应予以配合。四是完成好各项考核任务。对于涉及乡村振兴考核，食品药品安全考核等考核项的工作，首先要与市级相关处室做好相关考核项的事前沟通工作，其次就是在2025年对各种考核项做出明确的分类，要积极的对指标内容、考核项目等进行研究。</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2、检验检测工作</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一是开展2025年农产品质量安全监测工作：按照市农业农村局的部署，完成好2025年门头沟区农产品质量安全监测工作。（预计检测数量为定量700批次，定性10000批次，具体工作以2025年农产品质量安全统一监测计划为准）。二是开展2025年异地监督抽查工作：继续做好2025年异地监督抽查工作，严格按照市局要求抽样、检测、上报结果和总结。三是开展农产品质量安全监测站提升工作：努力争取区级财政资金，更新检测设备。争取在2025年完成检测项扩项前的准备工作。做好各镇级质检站的日常监督检查和技术指导工作，争取镇级优级质检站比2024年再提升。鼓励各镇级质检站利用好农安资金，提升检测环境设施。四是维护体系运行：除做好日常工作外，维护好实验室体系，做好人员培训、人员监督、质量控制、内审、管理评审、实验室安全等工作，确保体系平稳运行。</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3、全力保障粮食蔬菜生产</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一是加强政策引导和技术指导，按时按量发放耕地地力和菜田等惠农助农补贴，强化政策引导力度，保障农户切身利益。</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二是深入田间地头生产一线，做好先进种植模式宣传、推广和普及工作，逐步建立现代化粮食蔬菜种植体系，指导农户加强田间管理，严防病虫鼠草害发生风险，降低农户损失。</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三是通过生产系统性管理和督导，确保完成粮食和蔬菜考核任务，利用创新型高产竞赛等方式着重提升粮食蔬菜单产水平，凸显我区小而精的产业特色。</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4、逐步推进种业振兴</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继续做好种质资源保护工作，在种质资源普查顺利完成的基础上，继续加大传统农作物的培育力度，在增加产量的同时，扩大留种规模，确保我区优质农作物资源不灭失，鼓励有条件的经营主体建立农产品加工和销售的产业链条，经过与市场的有机结合，逐步形成产供销良性发展。</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5、进一步提升农业生产现代化水平</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一是充分利用基层农技推广体系改革与建设项目，打造现代化种植模板，引进先进水肥一体化管理技术，在提升单产的同时逐步形成产业引领效果，扩大辐射带动面积，实现科技兴农目标。</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二是以基本农田和高标准农田建设为契机，大力推广耕种收机械化，做好农机补贴政策的宣传和落实工作，切实保障农民经济利益，努力提升我区农业生产机械化水平。</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6、有效抑制农业面源污染</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根据化肥减量、农药减量和农业投入品废弃物回收等政策要求，全力做好粮食蔬菜农药、化肥监测及减量工作，落实属地责任，加大农业投入品废弃物的回收处置力度，保障我区农产品质量安全。</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7、做好行业安全生产管理工作</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 xml:space="preserve">为保障广大群众的生命财产安全，要进一步加强种子、农药等农资市场安全检查，杜绝违规违法经营；加强设施农业安全生产检查督导，对违规变更生产用途，特别是存在火灾隐患的生产主体，要发现一起，整改一起，切实做到立行立改；加强农机安全生产管理，着力推进“平安农机”示范区建设，进一步梳理农机台账，建立动态管理机制，加强安全操作宣传教育，签署安全生产责任书，牢固树立安全生产意识，落实安全生产责任。  </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二、收入预算说明</w:t>
      </w:r>
    </w:p>
    <w:p>
      <w:pPr>
        <w:widowControl/>
        <w:spacing w:line="560" w:lineRule="exact"/>
        <w:ind w:firstLine="640" w:firstLineChars="200"/>
        <w:rPr>
          <w:rFonts w:hint="eastAsia" w:ascii="仿宋_GB2312" w:hAnsi="宋体" w:eastAsia="仿宋_GB2312" w:cs="宋体"/>
          <w:color w:val="auto"/>
          <w:kern w:val="0"/>
          <w:sz w:val="32"/>
          <w:szCs w:val="32"/>
          <w:lang w:val="en-US" w:eastAsia="zh-CN" w:bidi="ar-SA"/>
        </w:rPr>
      </w:pPr>
      <w:r>
        <w:rPr>
          <w:rFonts w:hint="eastAsia" w:ascii="仿宋_GB2312" w:hAnsi="宋体" w:eastAsia="仿宋_GB2312" w:cs="宋体"/>
          <w:kern w:val="0"/>
          <w:sz w:val="32"/>
          <w:szCs w:val="32"/>
        </w:rPr>
        <w:t>2025年收入预算</w:t>
      </w:r>
      <w:r>
        <w:rPr>
          <w:rFonts w:hint="eastAsia" w:ascii="仿宋_GB2312" w:hAnsi="宋体" w:eastAsia="仿宋_GB2312" w:cs="宋体"/>
          <w:kern w:val="0"/>
          <w:sz w:val="32"/>
          <w:szCs w:val="32"/>
          <w:lang w:val="en-US" w:eastAsia="zh-CN"/>
        </w:rPr>
        <w:t>2,912.94</w:t>
      </w:r>
      <w:r>
        <w:rPr>
          <w:rFonts w:hint="eastAsia" w:ascii="仿宋_GB2312" w:hAnsi="宋体" w:eastAsia="仿宋_GB2312" w:cs="宋体"/>
          <w:kern w:val="0"/>
          <w:sz w:val="32"/>
          <w:szCs w:val="32"/>
        </w:rPr>
        <w:t>万元，比2024年</w:t>
      </w:r>
      <w:r>
        <w:rPr>
          <w:rFonts w:hint="eastAsia" w:ascii="仿宋_GB2312" w:hAnsi="宋体" w:eastAsia="仿宋_GB2312" w:cs="宋体"/>
          <w:kern w:val="0"/>
          <w:sz w:val="32"/>
          <w:szCs w:val="32"/>
          <w:lang w:val="en-US" w:eastAsia="zh-CN"/>
        </w:rPr>
        <w:t>2,473.19</w:t>
      </w:r>
      <w:r>
        <w:rPr>
          <w:rFonts w:hint="eastAsia" w:ascii="仿宋_GB2312" w:hAnsi="宋体" w:eastAsia="仿宋_GB2312" w:cs="宋体"/>
          <w:kern w:val="0"/>
          <w:sz w:val="32"/>
          <w:szCs w:val="32"/>
        </w:rPr>
        <w:t>万元</w:t>
      </w:r>
      <w:r>
        <w:rPr>
          <w:rFonts w:hint="eastAsia" w:ascii="仿宋_GB2312" w:hAnsi="宋体" w:eastAsia="仿宋_GB2312" w:cs="宋体"/>
          <w:color w:val="auto"/>
          <w:kern w:val="0"/>
          <w:sz w:val="32"/>
          <w:szCs w:val="32"/>
        </w:rPr>
        <w:t>增加</w:t>
      </w:r>
      <w:r>
        <w:rPr>
          <w:rFonts w:hint="eastAsia" w:ascii="仿宋_GB2312" w:hAnsi="宋体" w:eastAsia="仿宋_GB2312" w:cs="宋体"/>
          <w:color w:val="auto"/>
          <w:kern w:val="0"/>
          <w:sz w:val="32"/>
          <w:szCs w:val="32"/>
          <w:lang w:val="en-US" w:eastAsia="zh-CN"/>
        </w:rPr>
        <w:t>439.75</w:t>
      </w:r>
      <w:r>
        <w:rPr>
          <w:rFonts w:hint="eastAsia" w:ascii="仿宋_GB2312" w:hAnsi="宋体" w:eastAsia="仿宋_GB2312" w:cs="宋体"/>
          <w:kern w:val="0"/>
          <w:sz w:val="32"/>
          <w:szCs w:val="32"/>
        </w:rPr>
        <w:t>万元，</w:t>
      </w:r>
      <w:r>
        <w:rPr>
          <w:rFonts w:hint="eastAsia" w:ascii="仿宋_GB2312" w:hAnsi="宋体" w:eastAsia="仿宋_GB2312" w:cs="宋体"/>
          <w:color w:val="auto"/>
          <w:kern w:val="0"/>
          <w:sz w:val="32"/>
          <w:szCs w:val="32"/>
        </w:rPr>
        <w:t>增长</w:t>
      </w:r>
      <w:r>
        <w:rPr>
          <w:rFonts w:hint="eastAsia" w:ascii="仿宋_GB2312" w:hAnsi="宋体" w:eastAsia="仿宋_GB2312" w:cs="宋体"/>
          <w:color w:val="auto"/>
          <w:kern w:val="0"/>
          <w:sz w:val="32"/>
          <w:szCs w:val="32"/>
          <w:lang w:val="en-US" w:eastAsia="zh-CN"/>
        </w:rPr>
        <w:t>17.8</w:t>
      </w:r>
      <w:r>
        <w:rPr>
          <w:rFonts w:hint="eastAsia" w:ascii="仿宋_GB2312" w:hAnsi="宋体" w:eastAsia="仿宋_GB2312" w:cs="宋体"/>
          <w:color w:val="auto"/>
          <w:kern w:val="0"/>
          <w:sz w:val="32"/>
          <w:szCs w:val="32"/>
        </w:rPr>
        <w:t>%</w:t>
      </w:r>
      <w:r>
        <w:rPr>
          <w:rFonts w:hint="eastAsia" w:ascii="仿宋_GB2312" w:hAnsi="宋体" w:eastAsia="仿宋_GB2312" w:cs="宋体"/>
          <w:kern w:val="0"/>
          <w:sz w:val="32"/>
          <w:szCs w:val="32"/>
        </w:rPr>
        <w:t>。其中：本年财政拨款收入</w:t>
      </w:r>
      <w:r>
        <w:rPr>
          <w:rFonts w:hint="eastAsia" w:ascii="仿宋_GB2312" w:hAnsi="宋体" w:eastAsia="仿宋_GB2312" w:cs="宋体"/>
          <w:kern w:val="0"/>
          <w:sz w:val="32"/>
          <w:szCs w:val="32"/>
          <w:lang w:val="en-US" w:eastAsia="zh-CN"/>
        </w:rPr>
        <w:t>2,912.94</w:t>
      </w:r>
      <w:r>
        <w:rPr>
          <w:rFonts w:hint="eastAsia" w:ascii="仿宋_GB2312" w:hAnsi="宋体" w:eastAsia="仿宋_GB2312" w:cs="宋体"/>
          <w:kern w:val="0"/>
          <w:sz w:val="32"/>
          <w:szCs w:val="32"/>
        </w:rPr>
        <w:t>万元,比2024年</w:t>
      </w:r>
      <w:r>
        <w:rPr>
          <w:rFonts w:hint="eastAsia" w:ascii="仿宋_GB2312" w:hAnsi="宋体" w:eastAsia="仿宋_GB2312" w:cs="宋体"/>
          <w:kern w:val="0"/>
          <w:sz w:val="32"/>
          <w:szCs w:val="32"/>
          <w:lang w:val="en-US" w:eastAsia="zh-CN"/>
        </w:rPr>
        <w:t>2,473.19</w:t>
      </w:r>
      <w:r>
        <w:rPr>
          <w:rFonts w:hint="eastAsia" w:ascii="仿宋_GB2312" w:hAnsi="宋体" w:eastAsia="仿宋_GB2312" w:cs="宋体"/>
          <w:kern w:val="0"/>
          <w:sz w:val="32"/>
          <w:szCs w:val="32"/>
        </w:rPr>
        <w:t>万元</w:t>
      </w:r>
      <w:r>
        <w:rPr>
          <w:rFonts w:hint="eastAsia" w:ascii="仿宋_GB2312" w:hAnsi="宋体" w:eastAsia="仿宋_GB2312" w:cs="宋体"/>
          <w:color w:val="auto"/>
          <w:kern w:val="0"/>
          <w:sz w:val="32"/>
          <w:szCs w:val="32"/>
        </w:rPr>
        <w:t>增加</w:t>
      </w:r>
      <w:r>
        <w:rPr>
          <w:rFonts w:hint="eastAsia" w:ascii="仿宋_GB2312" w:hAnsi="宋体" w:eastAsia="仿宋_GB2312" w:cs="宋体"/>
          <w:color w:val="auto"/>
          <w:kern w:val="0"/>
          <w:sz w:val="32"/>
          <w:szCs w:val="32"/>
          <w:lang w:val="en-US" w:eastAsia="zh-CN"/>
        </w:rPr>
        <w:t>439.75</w:t>
      </w:r>
      <w:r>
        <w:rPr>
          <w:rFonts w:hint="eastAsia" w:ascii="仿宋_GB2312" w:hAnsi="宋体" w:eastAsia="仿宋_GB2312" w:cs="宋体"/>
          <w:kern w:val="0"/>
          <w:sz w:val="32"/>
          <w:szCs w:val="32"/>
        </w:rPr>
        <w:t>万元；本年非财政拨款收入</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r>
        <w:rPr>
          <w:rFonts w:hint="eastAsia" w:ascii="仿宋_GB2312" w:hAnsi="宋体" w:eastAsia="仿宋_GB2312" w:cs="宋体"/>
          <w:color w:val="auto"/>
          <w:kern w:val="0"/>
          <w:sz w:val="32"/>
          <w:szCs w:val="32"/>
          <w:lang w:val="en-US" w:eastAsia="zh-CN" w:bidi="ar-SA"/>
        </w:rPr>
        <w:t>与2024年持平。</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三、支出预算说明</w:t>
      </w:r>
    </w:p>
    <w:p>
      <w:pPr>
        <w:widowControl/>
        <w:spacing w:line="560" w:lineRule="exact"/>
        <w:ind w:firstLine="640" w:firstLineChars="200"/>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（一）基本支出预算</w:t>
      </w:r>
      <w:r>
        <w:rPr>
          <w:rFonts w:hint="eastAsia" w:ascii="仿宋_GB2312" w:hAnsi="宋体" w:eastAsia="仿宋_GB2312" w:cs="宋体"/>
          <w:color w:val="000000"/>
          <w:kern w:val="0"/>
          <w:sz w:val="32"/>
          <w:szCs w:val="32"/>
          <w:lang w:val="en-US" w:eastAsia="zh-CN"/>
        </w:rPr>
        <w:t>2,851.06</w:t>
      </w:r>
      <w:r>
        <w:rPr>
          <w:rFonts w:hint="eastAsia" w:ascii="仿宋_GB2312" w:hAnsi="宋体" w:eastAsia="仿宋_GB2312" w:cs="宋体"/>
          <w:color w:val="000000"/>
          <w:kern w:val="0"/>
          <w:sz w:val="32"/>
          <w:szCs w:val="32"/>
        </w:rPr>
        <w:t>万元，占总支出预算</w:t>
      </w:r>
      <w:r>
        <w:rPr>
          <w:rFonts w:hint="eastAsia" w:ascii="仿宋_GB2312" w:hAnsi="宋体" w:eastAsia="仿宋_GB2312" w:cs="宋体"/>
          <w:color w:val="000000"/>
          <w:kern w:val="0"/>
          <w:sz w:val="32"/>
          <w:szCs w:val="32"/>
          <w:lang w:val="en-US" w:eastAsia="zh-CN"/>
        </w:rPr>
        <w:t>97.9</w:t>
      </w:r>
      <w:r>
        <w:rPr>
          <w:rFonts w:hint="eastAsia" w:ascii="仿宋_GB2312" w:hAnsi="宋体" w:eastAsia="仿宋_GB2312" w:cs="宋体"/>
          <w:color w:val="000000"/>
          <w:kern w:val="0"/>
          <w:sz w:val="32"/>
          <w:szCs w:val="32"/>
        </w:rPr>
        <w:t>%，比2024年</w:t>
      </w:r>
      <w:r>
        <w:rPr>
          <w:rFonts w:hint="eastAsia" w:ascii="仿宋_GB2312" w:hAnsi="宋体" w:eastAsia="仿宋_GB2312" w:cs="宋体"/>
          <w:color w:val="000000"/>
          <w:kern w:val="0"/>
          <w:sz w:val="32"/>
          <w:szCs w:val="32"/>
          <w:lang w:val="en-US" w:eastAsia="zh-CN"/>
        </w:rPr>
        <w:t>2,473.19</w:t>
      </w:r>
      <w:r>
        <w:rPr>
          <w:rFonts w:hint="eastAsia" w:ascii="仿宋_GB2312" w:hAnsi="宋体" w:eastAsia="仿宋_GB2312" w:cs="宋体"/>
          <w:color w:val="000000"/>
          <w:kern w:val="0"/>
          <w:sz w:val="32"/>
          <w:szCs w:val="32"/>
        </w:rPr>
        <w:t>万元增加</w:t>
      </w:r>
      <w:r>
        <w:rPr>
          <w:rFonts w:hint="eastAsia" w:ascii="仿宋_GB2312" w:hAnsi="宋体" w:eastAsia="仿宋_GB2312" w:cs="宋体"/>
          <w:color w:val="000000"/>
          <w:kern w:val="0"/>
          <w:sz w:val="32"/>
          <w:szCs w:val="32"/>
          <w:lang w:val="en-US" w:eastAsia="zh-CN"/>
        </w:rPr>
        <w:t>377.87</w:t>
      </w:r>
      <w:r>
        <w:rPr>
          <w:rFonts w:hint="eastAsia" w:ascii="仿宋_GB2312" w:hAnsi="宋体" w:eastAsia="仿宋_GB2312" w:cs="宋体"/>
          <w:color w:val="000000"/>
          <w:kern w:val="0"/>
          <w:sz w:val="32"/>
          <w:szCs w:val="32"/>
        </w:rPr>
        <w:t>万元，增长</w:t>
      </w:r>
      <w:r>
        <w:rPr>
          <w:rFonts w:hint="eastAsia" w:ascii="仿宋_GB2312" w:hAnsi="宋体" w:eastAsia="仿宋_GB2312" w:cs="宋体"/>
          <w:color w:val="000000"/>
          <w:kern w:val="0"/>
          <w:sz w:val="32"/>
          <w:szCs w:val="32"/>
          <w:lang w:val="en-US" w:eastAsia="zh-CN"/>
        </w:rPr>
        <w:t>15.3</w:t>
      </w: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原因</w:t>
      </w:r>
      <w:r>
        <w:rPr>
          <w:rFonts w:hint="eastAsia" w:ascii="仿宋_GB2312" w:hAnsi="宋体" w:eastAsia="仿宋_GB2312" w:cs="宋体"/>
          <w:color w:val="000000"/>
          <w:kern w:val="0"/>
          <w:sz w:val="32"/>
          <w:szCs w:val="32"/>
          <w:lang w:eastAsia="zh-CN"/>
        </w:rPr>
        <w:t>是人员增加。</w:t>
      </w:r>
    </w:p>
    <w:p>
      <w:pPr>
        <w:widowControl/>
        <w:spacing w:line="560" w:lineRule="exact"/>
        <w:ind w:firstLine="640" w:firstLineChars="200"/>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（二）项目支出预算</w:t>
      </w:r>
      <w:r>
        <w:rPr>
          <w:rFonts w:hint="eastAsia" w:ascii="仿宋_GB2312" w:hAnsi="宋体" w:eastAsia="仿宋_GB2312" w:cs="宋体"/>
          <w:color w:val="000000"/>
          <w:kern w:val="0"/>
          <w:sz w:val="32"/>
          <w:szCs w:val="32"/>
          <w:lang w:val="en-US" w:eastAsia="zh-CN"/>
        </w:rPr>
        <w:t>61.88</w:t>
      </w:r>
      <w:r>
        <w:rPr>
          <w:rFonts w:hint="eastAsia" w:ascii="仿宋_GB2312" w:hAnsi="宋体" w:eastAsia="仿宋_GB2312" w:cs="宋体"/>
          <w:color w:val="000000"/>
          <w:kern w:val="0"/>
          <w:sz w:val="32"/>
          <w:szCs w:val="32"/>
        </w:rPr>
        <w:t>万元，比2024年</w:t>
      </w:r>
      <w:r>
        <w:rPr>
          <w:rFonts w:hint="eastAsia" w:ascii="仿宋_GB2312" w:hAnsi="宋体" w:eastAsia="仿宋_GB2312" w:cs="宋体"/>
          <w:color w:val="000000"/>
          <w:kern w:val="0"/>
          <w:sz w:val="32"/>
          <w:szCs w:val="32"/>
          <w:lang w:val="en-US" w:eastAsia="zh-CN"/>
        </w:rPr>
        <w:t>0.00</w:t>
      </w:r>
      <w:r>
        <w:rPr>
          <w:rFonts w:hint="eastAsia" w:ascii="仿宋_GB2312" w:hAnsi="宋体" w:eastAsia="仿宋_GB2312" w:cs="宋体"/>
          <w:color w:val="000000"/>
          <w:kern w:val="0"/>
          <w:sz w:val="32"/>
          <w:szCs w:val="32"/>
        </w:rPr>
        <w:t>万元增加</w:t>
      </w:r>
      <w:r>
        <w:rPr>
          <w:rFonts w:hint="eastAsia" w:ascii="仿宋_GB2312" w:hAnsi="宋体" w:eastAsia="仿宋_GB2312" w:cs="宋体"/>
          <w:color w:val="000000"/>
          <w:kern w:val="0"/>
          <w:sz w:val="32"/>
          <w:szCs w:val="32"/>
          <w:lang w:val="en-US" w:eastAsia="zh-CN"/>
        </w:rPr>
        <w:t>61.88</w:t>
      </w:r>
      <w:r>
        <w:rPr>
          <w:rFonts w:hint="eastAsia" w:ascii="仿宋_GB2312" w:hAnsi="宋体" w:eastAsia="仿宋_GB2312" w:cs="宋体"/>
          <w:color w:val="000000"/>
          <w:kern w:val="0"/>
          <w:sz w:val="32"/>
          <w:szCs w:val="32"/>
        </w:rPr>
        <w:t>万元，增长</w:t>
      </w:r>
      <w:r>
        <w:rPr>
          <w:rFonts w:hint="eastAsia" w:ascii="仿宋_GB2312" w:hAnsi="宋体" w:eastAsia="仿宋_GB2312" w:cs="宋体"/>
          <w:color w:val="000000"/>
          <w:kern w:val="0"/>
          <w:sz w:val="32"/>
          <w:szCs w:val="32"/>
          <w:lang w:val="en-US" w:eastAsia="zh-CN"/>
        </w:rPr>
        <w:t>100.0</w:t>
      </w:r>
      <w:r>
        <w:rPr>
          <w:rFonts w:hint="eastAsia" w:ascii="仿宋_GB2312" w:hAnsi="宋体" w:eastAsia="仿宋_GB2312" w:cs="宋体"/>
          <w:color w:val="000000"/>
          <w:kern w:val="0"/>
          <w:sz w:val="32"/>
          <w:szCs w:val="32"/>
        </w:rPr>
        <w:t>%，增加原因</w:t>
      </w:r>
      <w:r>
        <w:rPr>
          <w:rFonts w:hint="eastAsia" w:ascii="仿宋_GB2312" w:hAnsi="宋体" w:eastAsia="仿宋_GB2312" w:cs="宋体"/>
          <w:color w:val="000000"/>
          <w:kern w:val="0"/>
          <w:sz w:val="32"/>
          <w:szCs w:val="32"/>
          <w:lang w:eastAsia="zh-CN"/>
        </w:rPr>
        <w:t>是安排了预算项目</w:t>
      </w:r>
      <w:r>
        <w:rPr>
          <w:rFonts w:hint="eastAsia" w:ascii="仿宋_GB2312" w:hAnsi="宋体" w:eastAsia="仿宋_GB2312" w:cs="宋体"/>
          <w:color w:val="000000"/>
          <w:kern w:val="0"/>
          <w:sz w:val="32"/>
          <w:szCs w:val="32"/>
        </w:rPr>
        <w:t>。部门预算项目主要为农产品质量安全监测及实验室运行经费。</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（三）事业单位经营支出</w:t>
      </w:r>
      <w:r>
        <w:rPr>
          <w:rFonts w:hint="eastAsia" w:ascii="仿宋_GB2312" w:hAnsi="宋体" w:eastAsia="仿宋_GB2312" w:cs="宋体"/>
          <w:color w:val="auto"/>
          <w:kern w:val="0"/>
          <w:sz w:val="32"/>
          <w:szCs w:val="32"/>
          <w:lang w:val="en-US" w:eastAsia="zh-CN" w:bidi="ar-SA"/>
        </w:rPr>
        <w:t>0.00</w:t>
      </w:r>
      <w:r>
        <w:rPr>
          <w:rFonts w:hint="eastAsia" w:ascii="仿宋_GB2312" w:hAnsi="宋体" w:eastAsia="仿宋_GB2312" w:cs="宋体"/>
          <w:kern w:val="0"/>
          <w:sz w:val="32"/>
          <w:szCs w:val="32"/>
        </w:rPr>
        <w:t>万元。</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（四）上缴上级支出</w:t>
      </w:r>
      <w:r>
        <w:rPr>
          <w:rFonts w:hint="eastAsia" w:ascii="仿宋_GB2312" w:hAnsi="宋体" w:eastAsia="仿宋_GB2312" w:cs="宋体"/>
          <w:color w:val="auto"/>
          <w:kern w:val="0"/>
          <w:sz w:val="32"/>
          <w:szCs w:val="32"/>
          <w:lang w:val="en-US" w:eastAsia="zh-CN" w:bidi="ar-SA"/>
        </w:rPr>
        <w:t>0.00</w:t>
      </w:r>
      <w:r>
        <w:rPr>
          <w:rFonts w:hint="eastAsia" w:ascii="仿宋_GB2312" w:hAnsi="宋体" w:eastAsia="仿宋_GB2312" w:cs="宋体"/>
          <w:kern w:val="0"/>
          <w:sz w:val="32"/>
          <w:szCs w:val="32"/>
        </w:rPr>
        <w:t>万元。</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（五）对附属单位补助支出</w:t>
      </w:r>
      <w:r>
        <w:rPr>
          <w:rFonts w:hint="eastAsia" w:ascii="仿宋_GB2312" w:hAnsi="宋体" w:eastAsia="仿宋_GB2312" w:cs="宋体"/>
          <w:color w:val="auto"/>
          <w:kern w:val="0"/>
          <w:sz w:val="32"/>
          <w:szCs w:val="32"/>
          <w:lang w:val="en-US" w:eastAsia="zh-CN" w:bidi="ar-SA"/>
        </w:rPr>
        <w:t>0.00</w:t>
      </w:r>
      <w:r>
        <w:rPr>
          <w:rFonts w:hint="eastAsia" w:ascii="仿宋_GB2312" w:hAnsi="宋体" w:eastAsia="仿宋_GB2312" w:cs="宋体"/>
          <w:kern w:val="0"/>
          <w:sz w:val="32"/>
          <w:szCs w:val="32"/>
        </w:rPr>
        <w:t>万元。</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四、部门“三公”经费财政拨款预算说明</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（一）“三公”经费的单位范围</w:t>
      </w:r>
    </w:p>
    <w:p>
      <w:pPr>
        <w:widowControl/>
        <w:spacing w:line="560" w:lineRule="exact"/>
        <w:ind w:firstLine="640" w:firstLineChars="200"/>
        <w:rPr>
          <w:rFonts w:hint="eastAsia" w:ascii="仿宋_GB2312" w:hAnsi="宋体" w:eastAsia="仿宋_GB2312" w:cs="宋体"/>
          <w:color w:val="auto"/>
          <w:kern w:val="0"/>
          <w:sz w:val="32"/>
          <w:szCs w:val="32"/>
          <w:lang w:val="en-US" w:eastAsia="zh-CN" w:bidi="ar-SA"/>
        </w:rPr>
      </w:pPr>
      <w:r>
        <w:rPr>
          <w:rFonts w:hint="eastAsia" w:ascii="仿宋_GB2312" w:hAnsi="宋体" w:eastAsia="仿宋_GB2312" w:cs="宋体"/>
          <w:color w:val="auto"/>
          <w:kern w:val="0"/>
          <w:sz w:val="32"/>
          <w:szCs w:val="32"/>
          <w:lang w:val="en-US" w:eastAsia="zh-CN" w:bidi="ar-SA"/>
        </w:rPr>
        <w:t>北京市门头沟区农业农村综合服务中心因公出国（境）费用、公务接待费、公务用车购置和运行维护费开支单位开支单位包括1个单位。</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（二）“三公”经费财政拨款情况说明</w:t>
      </w:r>
    </w:p>
    <w:p>
      <w:pPr>
        <w:widowControl/>
        <w:spacing w:line="560" w:lineRule="exact"/>
        <w:ind w:firstLine="640" w:firstLineChars="200"/>
        <w:rPr>
          <w:rFonts w:hint="eastAsia" w:ascii="仿宋_GB2312" w:hAnsi="宋体" w:eastAsia="仿宋_GB2312" w:cs="宋体"/>
          <w:color w:val="auto"/>
          <w:kern w:val="0"/>
          <w:sz w:val="32"/>
          <w:szCs w:val="32"/>
          <w:lang w:val="en-US" w:eastAsia="zh-CN" w:bidi="ar-SA"/>
        </w:rPr>
      </w:pPr>
      <w:r>
        <w:rPr>
          <w:rFonts w:hint="eastAsia" w:ascii="仿宋_GB2312" w:hAnsi="宋体" w:eastAsia="仿宋_GB2312" w:cs="宋体"/>
          <w:color w:val="auto"/>
          <w:kern w:val="0"/>
          <w:sz w:val="32"/>
          <w:szCs w:val="32"/>
          <w:lang w:val="en-US" w:eastAsia="zh-CN" w:bidi="ar-SA"/>
        </w:rPr>
        <w:t>2025年“三公”经费财政拨款预算11.04万元，比2024年“三公”经费财政拨款预算增加0.01万元。其中：</w:t>
      </w:r>
    </w:p>
    <w:p>
      <w:pPr>
        <w:widowControl/>
        <w:spacing w:line="560" w:lineRule="exact"/>
        <w:ind w:firstLine="640" w:firstLineChars="200"/>
        <w:rPr>
          <w:rFonts w:hint="eastAsia" w:ascii="仿宋_GB2312" w:hAnsi="宋体" w:eastAsia="仿宋_GB2312" w:cs="宋体"/>
          <w:color w:val="auto"/>
          <w:kern w:val="0"/>
          <w:sz w:val="32"/>
          <w:szCs w:val="32"/>
          <w:lang w:val="en-US" w:eastAsia="zh-CN" w:bidi="ar-SA"/>
        </w:rPr>
      </w:pPr>
      <w:r>
        <w:rPr>
          <w:rFonts w:hint="eastAsia" w:ascii="仿宋_GB2312" w:hAnsi="宋体" w:eastAsia="仿宋_GB2312" w:cs="宋体"/>
          <w:color w:val="auto"/>
          <w:kern w:val="0"/>
          <w:sz w:val="32"/>
          <w:szCs w:val="32"/>
          <w:lang w:val="en-US" w:eastAsia="zh-CN" w:bidi="ar-SA"/>
        </w:rPr>
        <w:t>1.因公出国（境）费用。2025年预算数0.00万元，比2024年预算数0.00万元减少0.00万元，主要原因：此项为区级预留资金，年中根据各单位实际需求另行安排。</w:t>
      </w:r>
    </w:p>
    <w:p>
      <w:pPr>
        <w:widowControl/>
        <w:spacing w:line="560" w:lineRule="exact"/>
        <w:ind w:firstLine="640" w:firstLineChars="200"/>
        <w:rPr>
          <w:rFonts w:hint="eastAsia" w:ascii="仿宋_GB2312" w:hAnsi="宋体" w:eastAsia="仿宋_GB2312" w:cs="宋体"/>
          <w:color w:val="auto"/>
          <w:kern w:val="0"/>
          <w:sz w:val="32"/>
          <w:szCs w:val="32"/>
          <w:lang w:val="en-US" w:eastAsia="zh-CN" w:bidi="ar-SA"/>
        </w:rPr>
      </w:pPr>
      <w:r>
        <w:rPr>
          <w:rFonts w:hint="eastAsia" w:ascii="仿宋_GB2312" w:hAnsi="宋体" w:eastAsia="仿宋_GB2312" w:cs="宋体"/>
          <w:color w:val="auto"/>
          <w:kern w:val="0"/>
          <w:sz w:val="32"/>
          <w:szCs w:val="32"/>
          <w:lang w:val="en-US" w:eastAsia="zh-CN" w:bidi="ar-SA"/>
        </w:rPr>
        <w:t>2.公务接待费。2025年预算数0.24万元，比2024年预算数0.23万元增加0.01万元，主要原因：人员增加。2025年公务接待费主要用于因公发生的接待费支出等方面。</w:t>
      </w:r>
    </w:p>
    <w:p>
      <w:pPr>
        <w:widowControl/>
        <w:spacing w:line="560" w:lineRule="exact"/>
        <w:ind w:firstLine="640" w:firstLineChars="200"/>
        <w:rPr>
          <w:rFonts w:hint="eastAsia" w:ascii="仿宋_GB2312" w:hAnsi="宋体" w:eastAsia="仿宋_GB2312" w:cs="宋体"/>
          <w:color w:val="auto"/>
          <w:kern w:val="0"/>
          <w:sz w:val="32"/>
          <w:szCs w:val="32"/>
          <w:lang w:val="en-US" w:eastAsia="zh-CN" w:bidi="ar-SA"/>
        </w:rPr>
      </w:pPr>
      <w:r>
        <w:rPr>
          <w:rFonts w:hint="eastAsia" w:ascii="仿宋_GB2312" w:hAnsi="宋体" w:eastAsia="仿宋_GB2312" w:cs="宋体"/>
          <w:color w:val="auto"/>
          <w:kern w:val="0"/>
          <w:sz w:val="32"/>
          <w:szCs w:val="32"/>
          <w:lang w:val="en-US" w:eastAsia="zh-CN" w:bidi="ar-SA"/>
        </w:rPr>
        <w:t>3.公务用车购置及运行维护费。2025年预算数0.00万元，其中，公务用车购置费2025年预算数0.00万元，比2024年预算数0.00万元减少0.00万元，主要原因：此项为区级预留资金，年中根据各单位实际需求另行安排；公务用车运行维护费2025年预算数10.80万元，比2024年预算数10.80万元减少0.00万元。</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五、其他情况说明</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（一）部门政府采购预算说明</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40" w:firstLineChars="200"/>
        <w:jc w:val="left"/>
        <w:textAlignment w:val="auto"/>
        <w:outlineLvl w:val="9"/>
        <w:rPr>
          <w:rFonts w:hint="eastAsia" w:ascii="仿宋_GB2312" w:hAnsi="宋体" w:eastAsia="仿宋_GB2312" w:cs="宋体"/>
          <w:color w:val="auto"/>
          <w:kern w:val="0"/>
          <w:sz w:val="32"/>
          <w:szCs w:val="32"/>
          <w:lang w:val="en-US" w:eastAsia="zh-CN" w:bidi="ar-SA"/>
        </w:rPr>
      </w:pPr>
      <w:r>
        <w:rPr>
          <w:rFonts w:hint="eastAsia" w:ascii="仿宋_GB2312" w:hAnsi="宋体" w:eastAsia="仿宋_GB2312" w:cs="宋体"/>
          <w:kern w:val="0"/>
          <w:sz w:val="32"/>
          <w:szCs w:val="32"/>
        </w:rPr>
        <w:t>2025年</w:t>
      </w:r>
      <w:r>
        <w:rPr>
          <w:rFonts w:hint="eastAsia" w:ascii="仿宋_GB2312" w:hAnsi="宋体" w:eastAsia="仿宋_GB2312" w:cs="宋体"/>
          <w:color w:val="auto"/>
          <w:kern w:val="0"/>
          <w:sz w:val="32"/>
          <w:szCs w:val="32"/>
          <w:lang w:val="en-US" w:eastAsia="zh-CN" w:bidi="ar-SA"/>
        </w:rPr>
        <w:t>北京市门头沟区农业农村综合服务中心政府采购预算总额</w:t>
      </w:r>
      <w:r>
        <w:rPr>
          <w:rFonts w:hint="eastAsia" w:ascii="仿宋_GB2312" w:hAnsi="宋体" w:eastAsia="仿宋_GB2312" w:cs="宋体"/>
          <w:kern w:val="0"/>
          <w:sz w:val="32"/>
          <w:szCs w:val="32"/>
          <w:lang w:val="en-US" w:eastAsia="zh-CN" w:bidi="ar-SA"/>
        </w:rPr>
        <w:t>0.00</w:t>
      </w:r>
      <w:r>
        <w:rPr>
          <w:rFonts w:hint="eastAsia" w:ascii="仿宋_GB2312" w:hAnsi="宋体" w:eastAsia="仿宋_GB2312" w:cs="宋体"/>
          <w:color w:val="auto"/>
          <w:kern w:val="0"/>
          <w:sz w:val="32"/>
          <w:szCs w:val="32"/>
          <w:lang w:val="en-US" w:eastAsia="zh-CN" w:bidi="ar-SA"/>
        </w:rPr>
        <w:t>万元。</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（二）政府购买服务预算说明</w:t>
      </w:r>
    </w:p>
    <w:p>
      <w:pPr>
        <w:pStyle w:val="6"/>
        <w:keepNext w:val="0"/>
        <w:keepLines w:val="0"/>
        <w:pageBreakBefore w:val="0"/>
        <w:widowControl/>
        <w:suppressLineNumbers w:val="0"/>
        <w:kinsoku/>
        <w:wordWrap/>
        <w:overflowPunct/>
        <w:topLinePunct w:val="0"/>
        <w:autoSpaceDE/>
        <w:autoSpaceDN/>
        <w:bidi w:val="0"/>
        <w:adjustRightInd/>
        <w:snapToGrid/>
        <w:spacing w:before="40" w:beforeAutospacing="0" w:afterAutospacing="0" w:line="560" w:lineRule="exact"/>
        <w:ind w:left="0" w:leftChars="0" w:right="0" w:rightChars="0" w:firstLine="600" w:firstLineChars="200"/>
        <w:jc w:val="left"/>
        <w:textAlignment w:val="auto"/>
        <w:outlineLvl w:val="9"/>
        <w:rPr>
          <w:rFonts w:hint="eastAsia" w:ascii="仿宋_GB2312" w:hAnsi="宋体" w:eastAsia="仿宋_GB2312" w:cs="宋体"/>
          <w:color w:val="auto"/>
          <w:kern w:val="0"/>
          <w:sz w:val="30"/>
          <w:szCs w:val="30"/>
          <w:lang w:val="en-US" w:eastAsia="zh-CN" w:bidi="ar-SA"/>
        </w:rPr>
      </w:pPr>
      <w:r>
        <w:rPr>
          <w:rFonts w:hint="eastAsia" w:ascii="仿宋_GB2312" w:hAnsi="宋体" w:eastAsia="仿宋_GB2312" w:cs="宋体"/>
          <w:kern w:val="0"/>
          <w:sz w:val="30"/>
          <w:szCs w:val="30"/>
        </w:rPr>
        <w:t>2025年</w:t>
      </w:r>
      <w:r>
        <w:rPr>
          <w:rFonts w:hint="eastAsia" w:ascii="仿宋_GB2312" w:hAnsi="宋体" w:eastAsia="仿宋_GB2312" w:cs="宋体"/>
          <w:color w:val="auto"/>
          <w:kern w:val="0"/>
          <w:sz w:val="30"/>
          <w:szCs w:val="30"/>
          <w:lang w:val="en-US" w:eastAsia="zh-CN" w:bidi="ar-SA"/>
        </w:rPr>
        <w:t>北京市门头沟区农业农村综合服务中心政</w:t>
      </w:r>
      <w:r>
        <w:rPr>
          <w:rFonts w:hint="eastAsia" w:ascii="仿宋_GB2312" w:hAnsi="宋体" w:eastAsia="仿宋_GB2312" w:cs="宋体"/>
          <w:color w:val="auto"/>
          <w:kern w:val="0"/>
          <w:sz w:val="30"/>
          <w:szCs w:val="30"/>
        </w:rPr>
        <w:t>府购买服务预算总额</w:t>
      </w:r>
      <w:r>
        <w:rPr>
          <w:rFonts w:hint="eastAsia" w:ascii="仿宋_GB2312" w:hAnsi="宋体" w:eastAsia="仿宋_GB2312" w:cs="宋体"/>
          <w:kern w:val="0"/>
          <w:sz w:val="30"/>
          <w:szCs w:val="30"/>
          <w:lang w:val="en-US" w:eastAsia="zh-CN" w:bidi="ar-SA"/>
        </w:rPr>
        <w:t>0.00</w:t>
      </w:r>
      <w:r>
        <w:rPr>
          <w:rFonts w:hint="eastAsia" w:ascii="仿宋_GB2312" w:hAnsi="宋体" w:eastAsia="仿宋_GB2312" w:cs="宋体"/>
          <w:color w:val="auto"/>
          <w:kern w:val="0"/>
          <w:sz w:val="30"/>
          <w:szCs w:val="30"/>
          <w:lang w:val="en-US" w:eastAsia="zh-CN" w:bidi="ar-SA"/>
        </w:rPr>
        <w:t>万元。</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（三）机关运行经费情况说明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color w:val="auto"/>
          <w:kern w:val="0"/>
          <w:sz w:val="32"/>
          <w:szCs w:val="32"/>
        </w:rPr>
      </w:pPr>
      <w:r>
        <w:rPr>
          <w:rFonts w:hint="eastAsia" w:ascii="仿宋_GB2312" w:hAnsi="宋体" w:eastAsia="仿宋_GB2312" w:cs="宋体"/>
          <w:kern w:val="0"/>
          <w:sz w:val="32"/>
          <w:szCs w:val="32"/>
        </w:rPr>
        <w:t>2025年</w:t>
      </w:r>
      <w:r>
        <w:rPr>
          <w:rFonts w:hint="eastAsia" w:ascii="仿宋_GB2312" w:hAnsi="宋体" w:eastAsia="仿宋_GB2312" w:cs="宋体"/>
          <w:color w:val="auto"/>
          <w:kern w:val="0"/>
          <w:sz w:val="32"/>
          <w:szCs w:val="32"/>
          <w:lang w:val="en-US" w:eastAsia="zh-CN" w:bidi="ar-SA"/>
        </w:rPr>
        <w:t>北京市门头沟区农业农村综合服务中心0家行政单位以及0家参公管理事业单位的机关运行经费财政拨款预算</w:t>
      </w:r>
      <w:r>
        <w:rPr>
          <w:rFonts w:hint="eastAsia" w:ascii="仿宋_GB2312" w:hAnsi="宋体" w:eastAsia="仿宋_GB2312" w:cs="宋体"/>
          <w:kern w:val="0"/>
          <w:sz w:val="32"/>
          <w:szCs w:val="32"/>
          <w:lang w:val="en-US" w:eastAsia="zh-CN" w:bidi="ar-SA"/>
        </w:rPr>
        <w:t>0.00</w:t>
      </w:r>
      <w:r>
        <w:rPr>
          <w:rFonts w:hint="eastAsia" w:ascii="仿宋_GB2312" w:hAnsi="宋体" w:eastAsia="仿宋_GB2312" w:cs="宋体"/>
          <w:color w:val="auto"/>
          <w:kern w:val="0"/>
          <w:sz w:val="32"/>
          <w:szCs w:val="32"/>
          <w:lang w:val="en-US" w:eastAsia="zh-CN" w:bidi="ar-SA"/>
        </w:rPr>
        <w:t>万元。</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机关运行经费：是指行政单位（含参照公务员法管理事业单位）使用一般公共预算财政拨款安排的基本支出中的日常公用经费支出，包括办公费、邮电费、差旅费、会议费、福利费、维修费、办公用房水电费、办公用房取暖费、办公用房物业管理费、公务用车运行维护费以及其他费用。</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 xml:space="preserve">（四）项目支出绩效目标情况说明  </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w:t>
      </w:r>
      <w:r>
        <w:rPr>
          <w:rFonts w:hint="eastAsia" w:ascii="仿宋_GB2312" w:hAnsi="宋体" w:eastAsia="仿宋_GB2312" w:cs="宋体"/>
          <w:color w:val="auto"/>
          <w:kern w:val="0"/>
          <w:sz w:val="32"/>
          <w:szCs w:val="32"/>
          <w:lang w:val="en-US" w:eastAsia="zh-CN" w:bidi="ar-SA"/>
        </w:rPr>
        <w:t>北京市门头沟区农业农村综合服务中心</w:t>
      </w:r>
      <w:r>
        <w:rPr>
          <w:rFonts w:hint="eastAsia" w:ascii="仿宋_GB2312" w:hAnsi="宋体" w:eastAsia="仿宋_GB2312" w:cs="宋体"/>
          <w:kern w:val="0"/>
          <w:sz w:val="32"/>
          <w:szCs w:val="32"/>
        </w:rPr>
        <w:t>填报绩效目标的预算项目</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个，占全部预算项目</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个的</w:t>
      </w:r>
      <w:r>
        <w:rPr>
          <w:rFonts w:hint="eastAsia" w:ascii="仿宋_GB2312" w:hAnsi="宋体" w:eastAsia="仿宋_GB2312" w:cs="宋体"/>
          <w:kern w:val="0"/>
          <w:sz w:val="32"/>
          <w:szCs w:val="32"/>
          <w:lang w:val="en-US" w:eastAsia="zh-CN"/>
        </w:rPr>
        <w:t>100.0</w:t>
      </w:r>
      <w:r>
        <w:rPr>
          <w:rFonts w:hint="eastAsia" w:ascii="仿宋_GB2312" w:hAnsi="宋体" w:eastAsia="仿宋_GB2312" w:cs="宋体"/>
          <w:kern w:val="0"/>
          <w:sz w:val="32"/>
          <w:szCs w:val="32"/>
        </w:rPr>
        <w:t>%。填报绩效目标的项目支出预算</w:t>
      </w:r>
      <w:r>
        <w:rPr>
          <w:rFonts w:hint="eastAsia" w:ascii="仿宋_GB2312" w:hAnsi="宋体" w:eastAsia="仿宋_GB2312" w:cs="宋体"/>
          <w:kern w:val="0"/>
          <w:sz w:val="32"/>
          <w:szCs w:val="32"/>
          <w:lang w:val="en-US" w:eastAsia="zh-CN"/>
        </w:rPr>
        <w:t>61.88</w:t>
      </w:r>
      <w:r>
        <w:rPr>
          <w:rFonts w:hint="eastAsia" w:ascii="仿宋_GB2312" w:hAnsi="宋体" w:eastAsia="仿宋_GB2312" w:cs="宋体"/>
          <w:kern w:val="0"/>
          <w:sz w:val="32"/>
          <w:szCs w:val="32"/>
        </w:rPr>
        <w:t>万元，占本部门全部项目支出预算的</w:t>
      </w:r>
      <w:r>
        <w:rPr>
          <w:rFonts w:hint="eastAsia" w:ascii="仿宋_GB2312" w:hAnsi="宋体" w:eastAsia="仿宋_GB2312" w:cs="宋体"/>
          <w:kern w:val="0"/>
          <w:sz w:val="32"/>
          <w:szCs w:val="32"/>
          <w:lang w:val="en-US" w:eastAsia="zh-CN"/>
        </w:rPr>
        <w:t>100.0</w:t>
      </w:r>
      <w:r>
        <w:rPr>
          <w:rFonts w:hint="eastAsia" w:ascii="仿宋_GB2312" w:hAnsi="宋体" w:eastAsia="仿宋_GB2312" w:cs="宋体"/>
          <w:kern w:val="0"/>
          <w:sz w:val="32"/>
          <w:szCs w:val="32"/>
        </w:rPr>
        <w:t>%。</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（五）财政拨款重点项目情况</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1.农产品质量安全监测及实验室运行经费项目</w:t>
      </w:r>
      <w:r>
        <w:rPr>
          <w:rFonts w:hint="eastAsia" w:ascii="仿宋_GB2312" w:hAnsi="宋体" w:eastAsia="仿宋_GB2312" w:cs="宋体"/>
          <w:kern w:val="0"/>
          <w:sz w:val="32"/>
          <w:szCs w:val="32"/>
          <w:lang w:val="en-US" w:eastAsia="zh-CN"/>
        </w:rPr>
        <w:t>61.88</w:t>
      </w:r>
      <w:r>
        <w:rPr>
          <w:rFonts w:hint="eastAsia" w:ascii="仿宋_GB2312" w:hAnsi="宋体" w:eastAsia="仿宋_GB2312" w:cs="宋体"/>
          <w:kern w:val="0"/>
          <w:sz w:val="32"/>
          <w:szCs w:val="32"/>
        </w:rPr>
        <w:t>万元：用于安排农产品质量安全监测及实验室运行支出。</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（六）重点行政事业性收费情况说明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本部门202</w:t>
      </w: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年无重点行政事业性收费。</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（七）国有资产占用情况</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截至2024年底，固定资产总额</w:t>
      </w:r>
      <w:r>
        <w:rPr>
          <w:rFonts w:hint="eastAsia" w:ascii="仿宋_GB2312" w:hAnsi="仿宋" w:eastAsia="仿宋_GB2312"/>
          <w:sz w:val="32"/>
          <w:szCs w:val="32"/>
          <w:highlight w:val="none"/>
          <w:lang w:val="en-US" w:eastAsia="zh-CN"/>
        </w:rPr>
        <w:t>567.78</w:t>
      </w:r>
      <w:r>
        <w:rPr>
          <w:rFonts w:hint="eastAsia" w:ascii="仿宋_GB2312" w:hAnsi="宋体" w:eastAsia="仿宋_GB2312" w:cs="宋体"/>
          <w:kern w:val="0"/>
          <w:sz w:val="32"/>
          <w:szCs w:val="32"/>
        </w:rPr>
        <w:t>万元，其中：房屋面积</w:t>
      </w:r>
      <w:r>
        <w:rPr>
          <w:rFonts w:hint="eastAsia" w:ascii="仿宋_GB2312" w:hAnsi="宋体" w:eastAsia="仿宋_GB2312" w:cs="宋体"/>
          <w:kern w:val="0"/>
          <w:sz w:val="32"/>
          <w:szCs w:val="32"/>
          <w:lang w:val="en-US" w:eastAsia="zh-CN"/>
        </w:rPr>
        <w:t>390</w:t>
      </w:r>
      <w:r>
        <w:rPr>
          <w:rFonts w:hint="eastAsia" w:ascii="仿宋_GB2312" w:hAnsi="宋体" w:eastAsia="仿宋_GB2312" w:cs="宋体"/>
          <w:kern w:val="0"/>
          <w:sz w:val="32"/>
          <w:szCs w:val="32"/>
        </w:rPr>
        <w:t>平方米，</w:t>
      </w:r>
      <w:r>
        <w:rPr>
          <w:rFonts w:hint="eastAsia" w:ascii="仿宋_GB2312" w:hAnsi="宋体" w:eastAsia="仿宋_GB2312" w:cs="宋体"/>
          <w:kern w:val="0"/>
          <w:sz w:val="32"/>
          <w:szCs w:val="32"/>
          <w:lang w:val="en-US" w:eastAsia="zh-CN"/>
        </w:rPr>
        <w:t>39.05</w:t>
      </w:r>
      <w:r>
        <w:rPr>
          <w:rFonts w:hint="eastAsia" w:ascii="仿宋_GB2312" w:hAnsi="宋体" w:eastAsia="仿宋_GB2312" w:cs="宋体"/>
          <w:kern w:val="0"/>
          <w:sz w:val="32"/>
          <w:szCs w:val="32"/>
        </w:rPr>
        <w:t>万元；汽车</w:t>
      </w:r>
      <w:r>
        <w:rPr>
          <w:rFonts w:hint="eastAsia" w:ascii="仿宋_GB2312" w:hAnsi="宋体" w:eastAsia="仿宋_GB2312" w:cs="宋体"/>
          <w:kern w:val="0"/>
          <w:sz w:val="32"/>
          <w:szCs w:val="32"/>
          <w:lang w:val="en-US" w:eastAsia="zh-CN"/>
        </w:rPr>
        <w:t>6</w:t>
      </w:r>
      <w:r>
        <w:rPr>
          <w:rFonts w:hint="eastAsia" w:ascii="仿宋_GB2312" w:hAnsi="宋体" w:eastAsia="仿宋_GB2312" w:cs="宋体"/>
          <w:kern w:val="0"/>
          <w:sz w:val="32"/>
          <w:szCs w:val="32"/>
        </w:rPr>
        <w:t>辆，</w:t>
      </w:r>
      <w:r>
        <w:rPr>
          <w:rFonts w:hint="eastAsia" w:ascii="仿宋_GB2312" w:hAnsi="宋体" w:eastAsia="仿宋_GB2312" w:cs="宋体"/>
          <w:kern w:val="0"/>
          <w:sz w:val="32"/>
          <w:szCs w:val="32"/>
          <w:lang w:val="en-US" w:eastAsia="zh-CN"/>
        </w:rPr>
        <w:t>85.96</w:t>
      </w:r>
      <w:r>
        <w:rPr>
          <w:rFonts w:hint="eastAsia" w:ascii="仿宋_GB2312" w:hAnsi="宋体" w:eastAsia="仿宋_GB2312" w:cs="宋体"/>
          <w:kern w:val="0"/>
          <w:sz w:val="32"/>
          <w:szCs w:val="32"/>
        </w:rPr>
        <w:t>万元；单价50万元以上的设备</w:t>
      </w:r>
      <w:r>
        <w:rPr>
          <w:rFonts w:hint="eastAsia" w:ascii="仿宋_GB2312" w:hAnsi="宋体" w:eastAsia="仿宋_GB2312" w:cs="宋体"/>
          <w:color w:val="auto"/>
          <w:kern w:val="0"/>
          <w:sz w:val="32"/>
          <w:szCs w:val="32"/>
          <w:lang w:val="en-US" w:eastAsia="zh-CN"/>
        </w:rPr>
        <w:t>1</w:t>
      </w:r>
      <w:r>
        <w:rPr>
          <w:rFonts w:hint="eastAsia" w:ascii="仿宋_GB2312" w:hAnsi="宋体" w:eastAsia="仿宋_GB2312" w:cs="宋体"/>
          <w:color w:val="auto"/>
          <w:kern w:val="0"/>
          <w:sz w:val="32"/>
          <w:szCs w:val="32"/>
        </w:rPr>
        <w:t>台（套），</w:t>
      </w:r>
      <w:r>
        <w:rPr>
          <w:rFonts w:hint="eastAsia" w:ascii="仿宋_GB2312" w:eastAsia="仿宋_GB2312"/>
          <w:color w:val="auto"/>
          <w:sz w:val="32"/>
          <w:szCs w:val="32"/>
          <w:lang w:val="en-US" w:eastAsia="zh-CN"/>
        </w:rPr>
        <w:t>114.80</w:t>
      </w:r>
      <w:r>
        <w:rPr>
          <w:rFonts w:hint="eastAsia" w:ascii="仿宋_GB2312" w:hAnsi="宋体" w:eastAsia="仿宋_GB2312" w:cs="宋体"/>
          <w:color w:val="auto"/>
          <w:kern w:val="0"/>
          <w:sz w:val="32"/>
          <w:szCs w:val="32"/>
        </w:rPr>
        <w:t>万元。</w:t>
      </w:r>
    </w:p>
    <w:p>
      <w:pPr>
        <w:spacing w:line="560" w:lineRule="exact"/>
        <w:ind w:firstLine="630"/>
        <w:rPr>
          <w:rFonts w:hint="eastAsia" w:ascii="楷体_GB2312" w:eastAsia="楷体_GB2312"/>
          <w:sz w:val="32"/>
          <w:szCs w:val="32"/>
        </w:rPr>
      </w:pPr>
      <w:r>
        <w:rPr>
          <w:rFonts w:hint="eastAsia" w:ascii="楷体_GB2312" w:hAnsi="宋体" w:eastAsia="楷体_GB2312" w:cs="宋体"/>
          <w:kern w:val="0"/>
          <w:sz w:val="32"/>
          <w:szCs w:val="32"/>
        </w:rPr>
        <w:t>（八）</w:t>
      </w:r>
      <w:r>
        <w:rPr>
          <w:rFonts w:hint="eastAsia" w:ascii="楷体_GB2312" w:eastAsia="楷体_GB2312"/>
          <w:sz w:val="32"/>
          <w:szCs w:val="32"/>
        </w:rPr>
        <w:t>专业名词解释</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1.基本支出：指为保障机构正常运转、完成日常工作任务而发生的人员支出和公用支出。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2.项目支出：指在基本支出之外为完成特定行政任务或事业发展目标所发生的支出。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三公”经费：是指单位通过一般公共预算财政拨款资金安排的因公出国（境）费、公务用车购置及运行维护费和公务接待费。其中，因公出国（境）费指单位公务出国（境）的国际旅费、国外城市间交通费、住宿费、伙食费、培训费、公杂费等支出；公务用车购置及运行维护费指单位公务用车车辆购置支出（含车辆购置税）及公务用车燃料费、维修费、过路过桥费、保险费等支出；公务接待费指单位按规定开支的各类公务接待（含外宾接待）支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4.机关运行经费：指为本部门行政单位（含参照公务员法管理事业单位）使用一般公共预算财政拨款安排的基本支出中的日常公用经费。</w:t>
      </w:r>
      <w:r>
        <w:rPr>
          <w:rFonts w:hint="eastAsia" w:ascii="仿宋_GB2312" w:hAnsi="宋体" w:eastAsia="仿宋_GB2312" w:cs="宋体"/>
          <w:kern w:val="0"/>
          <w:sz w:val="32"/>
          <w:szCs w:val="32"/>
        </w:rPr>
        <w:t>包括办公费、邮电费、差旅费、会议费、福利费、维修费、办公用房水电费、办公用房取暖费、办公用房物业管理费、公务用车运行维护费以及其他费用。</w:t>
      </w:r>
      <w:r>
        <w:rPr>
          <w:rFonts w:hint="eastAsia" w:ascii="仿宋_GB2312" w:eastAsia="仿宋_GB2312"/>
          <w:sz w:val="32"/>
          <w:szCs w:val="32"/>
        </w:rPr>
        <w:t xml:space="preserve">  </w:t>
      </w:r>
      <w:r>
        <w:rPr>
          <w:rFonts w:ascii="仿宋_GB2312" w:eastAsia="仿宋_GB2312"/>
          <w:sz w:val="32"/>
          <w:szCs w:val="32"/>
        </w:rPr>
        <w:t xml:space="preserve">  </w:t>
      </w:r>
    </w:p>
    <w:p>
      <w:p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rPr>
        <w:t>5.农产品质量安全风险监测</w:t>
      </w:r>
      <w:r>
        <w:rPr>
          <w:rFonts w:hint="eastAsia" w:ascii="仿宋_GB2312" w:eastAsia="仿宋_GB2312"/>
          <w:sz w:val="32"/>
          <w:szCs w:val="32"/>
          <w:lang w:eastAsia="zh-CN"/>
        </w:rPr>
        <w:t>：</w:t>
      </w:r>
      <w:r>
        <w:rPr>
          <w:rFonts w:hint="eastAsia" w:ascii="仿宋_GB2312" w:eastAsia="仿宋_GB2312"/>
          <w:sz w:val="32"/>
          <w:szCs w:val="32"/>
        </w:rPr>
        <w:t>是指为了掌握农产品质量安全状况和开展农产品质量安全风险评估，系统和持续地对影响农产品质量安全的有害因素进行检验、分析和评价的活动，包括农产品质量安全例行监测、普查和专项监测等内容。</w:t>
      </w:r>
      <w:r>
        <w:rPr>
          <w:rFonts w:hint="eastAsia" w:ascii="仿宋_GB2312" w:eastAsia="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仿宋_GB2312" w:eastAsia="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3609" w:leftChars="342" w:right="0" w:rightChars="0" w:hanging="2891" w:hangingChars="800"/>
        <w:jc w:val="both"/>
        <w:textAlignment w:val="auto"/>
        <w:outlineLvl w:val="9"/>
        <w:rPr>
          <w:rFonts w:hint="eastAsia" w:ascii="华文中宋" w:hAnsi="华文中宋" w:eastAsia="华文中宋"/>
          <w:b/>
          <w:sz w:val="36"/>
          <w:szCs w:val="36"/>
          <w:lang w:eastAsia="zh-CN"/>
        </w:rPr>
      </w:pPr>
      <w:r>
        <w:rPr>
          <w:rFonts w:hint="eastAsia" w:ascii="华文中宋" w:hAnsi="华文中宋" w:eastAsia="华文中宋"/>
          <w:b/>
          <w:sz w:val="36"/>
          <w:szCs w:val="36"/>
        </w:rPr>
        <w:t>第二部分  2</w:t>
      </w:r>
      <w:r>
        <w:rPr>
          <w:rFonts w:hint="eastAsia" w:ascii="华文中宋" w:hAnsi="华文中宋" w:eastAsia="华文中宋"/>
          <w:b/>
          <w:sz w:val="36"/>
          <w:szCs w:val="36"/>
        </w:rPr>
        <w:t>025年度门头沟区</w:t>
      </w:r>
      <w:r>
        <w:rPr>
          <w:rFonts w:hint="eastAsia" w:ascii="华文中宋" w:hAnsi="华文中宋" w:eastAsia="华文中宋"/>
          <w:b/>
          <w:sz w:val="36"/>
          <w:szCs w:val="36"/>
          <w:lang w:eastAsia="zh-CN"/>
        </w:rPr>
        <w:t>农业农村综合</w:t>
      </w:r>
    </w:p>
    <w:p>
      <w:pPr>
        <w:keepNext w:val="0"/>
        <w:keepLines w:val="0"/>
        <w:pageBreakBefore w:val="0"/>
        <w:widowControl w:val="0"/>
        <w:kinsoku/>
        <w:wordWrap/>
        <w:overflowPunct/>
        <w:topLinePunct w:val="0"/>
        <w:autoSpaceDE/>
        <w:autoSpaceDN/>
        <w:bidi w:val="0"/>
        <w:adjustRightInd/>
        <w:snapToGrid/>
        <w:spacing w:line="500" w:lineRule="exact"/>
        <w:ind w:left="3593" w:leftChars="1539" w:right="0" w:rightChars="0" w:hanging="361" w:hangingChars="100"/>
        <w:jc w:val="both"/>
        <w:textAlignment w:val="auto"/>
        <w:outlineLvl w:val="9"/>
        <w:rPr>
          <w:rFonts w:hint="eastAsia" w:ascii="华文中宋" w:hAnsi="华文中宋" w:eastAsia="华文中宋"/>
          <w:b/>
          <w:sz w:val="36"/>
          <w:szCs w:val="36"/>
        </w:rPr>
      </w:pPr>
      <w:r>
        <w:rPr>
          <w:rFonts w:hint="eastAsia" w:ascii="华文中宋" w:hAnsi="华文中宋" w:eastAsia="华文中宋"/>
          <w:b/>
          <w:sz w:val="36"/>
          <w:szCs w:val="36"/>
          <w:lang w:eastAsia="zh-CN"/>
        </w:rPr>
        <w:t>服务中心</w:t>
      </w:r>
      <w:r>
        <w:rPr>
          <w:rFonts w:hint="eastAsia" w:ascii="华文中宋" w:hAnsi="华文中宋" w:eastAsia="华文中宋"/>
          <w:b/>
          <w:sz w:val="36"/>
          <w:szCs w:val="36"/>
        </w:rPr>
        <w:t>部门预算报表</w:t>
      </w:r>
    </w:p>
    <w:p>
      <w:pPr>
        <w:spacing w:line="500" w:lineRule="exact"/>
        <w:jc w:val="center"/>
        <w:rPr>
          <w:rFonts w:ascii="仿宋_GB2312" w:eastAsia="仿宋_GB2312"/>
          <w:sz w:val="28"/>
          <w:szCs w:val="32"/>
        </w:rPr>
      </w:pPr>
    </w:p>
    <w:p>
      <w:pPr>
        <w:spacing w:line="500" w:lineRule="exact"/>
        <w:ind w:firstLine="560" w:firstLineChars="200"/>
        <w:rPr>
          <w:rFonts w:hint="eastAsia" w:ascii="仿宋_GB2312" w:eastAsia="仿宋_GB2312"/>
          <w:sz w:val="28"/>
          <w:szCs w:val="32"/>
        </w:rPr>
      </w:pPr>
      <w:r>
        <w:rPr>
          <w:rFonts w:hint="eastAsia" w:ascii="仿宋_GB2312" w:eastAsia="仿宋_GB2312"/>
          <w:sz w:val="28"/>
          <w:szCs w:val="32"/>
        </w:rPr>
        <w:t>附件：2025年度门头沟区</w:t>
      </w:r>
      <w:r>
        <w:rPr>
          <w:rFonts w:hint="eastAsia" w:ascii="仿宋_GB2312" w:eastAsia="仿宋_GB2312"/>
          <w:sz w:val="28"/>
          <w:szCs w:val="32"/>
          <w:lang w:eastAsia="zh-CN"/>
        </w:rPr>
        <w:t>农业农村综合服务中心</w:t>
      </w:r>
      <w:r>
        <w:rPr>
          <w:rFonts w:ascii="仿宋_GB2312" w:eastAsia="仿宋_GB2312"/>
          <w:sz w:val="28"/>
          <w:szCs w:val="32"/>
        </w:rPr>
        <w:t>部门</w:t>
      </w:r>
      <w:bookmarkStart w:id="0" w:name="_Hlt61896700"/>
      <w:bookmarkStart w:id="1" w:name="_Hlt61896701"/>
      <w:r>
        <w:rPr>
          <w:rFonts w:hint="eastAsia" w:ascii="仿宋_GB2312" w:eastAsia="仿宋_GB2312"/>
          <w:sz w:val="28"/>
          <w:szCs w:val="32"/>
        </w:rPr>
        <w:t>预</w:t>
      </w:r>
      <w:bookmarkEnd w:id="0"/>
      <w:bookmarkEnd w:id="1"/>
      <w:r>
        <w:rPr>
          <w:rFonts w:hint="eastAsia" w:ascii="仿宋_GB2312" w:eastAsia="仿宋_GB2312"/>
          <w:sz w:val="28"/>
          <w:szCs w:val="32"/>
        </w:rPr>
        <w:t>算报表</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287" w:usb1="080F0000" w:usb2="00000010" w:usb3="00000000" w:csb0="0004009F" w:csb1="00000000"/>
  </w:font>
  <w:font w:name="仿宋_GB2312">
    <w:altName w:val="仿宋"/>
    <w:panose1 w:val="02010609030101010101"/>
    <w:charset w:val="86"/>
    <w:family w:val="modern"/>
    <w:pitch w:val="default"/>
    <w:sig w:usb0="00000001" w:usb1="080E0000" w:usb2="00000010" w:usb3="00000000" w:csb0="00040000" w:csb1="00000000"/>
  </w:font>
  <w:font w:name="楷体_GB2312">
    <w:altName w:val="楷体"/>
    <w:panose1 w:val="02010609030101010101"/>
    <w:charset w:val="86"/>
    <w:family w:val="modern"/>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fldChar w:fldCharType="begin"/>
    </w:r>
    <w:r>
      <w:rPr>
        <w:rStyle w:val="8"/>
      </w:rPr>
      <w:instrText xml:space="preserve">PAGE  </w:instrText>
    </w:r>
    <w:r>
      <w:fldChar w:fldCharType="separate"/>
    </w:r>
    <w:r>
      <w:rPr>
        <w:rStyle w:val="8"/>
        <w:lang/>
      </w:rPr>
      <w:t>6</w:t>
    </w:r>
    <w:r>
      <w:fldChar w:fldCharType="end"/>
    </w:r>
  </w:p>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fldChar w:fldCharType="begin"/>
    </w:r>
    <w:r>
      <w:rPr>
        <w:rStyle w:val="8"/>
      </w:rPr>
      <w:instrText xml:space="preserve">PAGE  </w:instrText>
    </w:r>
    <w:r>
      <w:fldChar w:fldCharType="separate"/>
    </w:r>
    <w:r>
      <w:rPr>
        <w:rStyle w:val="8"/>
        <w:lang/>
      </w:rPr>
      <w:t>1</w:t>
    </w:r>
    <w: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99D"/>
    <w:rsid w:val="00010198"/>
    <w:rsid w:val="0001209E"/>
    <w:rsid w:val="00014A90"/>
    <w:rsid w:val="00022010"/>
    <w:rsid w:val="000226F4"/>
    <w:rsid w:val="0002435B"/>
    <w:rsid w:val="00050E6E"/>
    <w:rsid w:val="000549D5"/>
    <w:rsid w:val="0005765D"/>
    <w:rsid w:val="00063B0E"/>
    <w:rsid w:val="00082B23"/>
    <w:rsid w:val="00096CD7"/>
    <w:rsid w:val="000B04F2"/>
    <w:rsid w:val="000B12C4"/>
    <w:rsid w:val="000B193C"/>
    <w:rsid w:val="000B689A"/>
    <w:rsid w:val="000C4A61"/>
    <w:rsid w:val="000C4C3F"/>
    <w:rsid w:val="000C5CDB"/>
    <w:rsid w:val="000C6D0D"/>
    <w:rsid w:val="000D1ACF"/>
    <w:rsid w:val="000D2B42"/>
    <w:rsid w:val="000D46EA"/>
    <w:rsid w:val="000D51B7"/>
    <w:rsid w:val="000D69F4"/>
    <w:rsid w:val="000E6C41"/>
    <w:rsid w:val="000F751D"/>
    <w:rsid w:val="0010592C"/>
    <w:rsid w:val="00111571"/>
    <w:rsid w:val="00114903"/>
    <w:rsid w:val="00120AD8"/>
    <w:rsid w:val="001345A9"/>
    <w:rsid w:val="00134E89"/>
    <w:rsid w:val="0014042F"/>
    <w:rsid w:val="00153961"/>
    <w:rsid w:val="00165F6C"/>
    <w:rsid w:val="00171A1E"/>
    <w:rsid w:val="00180810"/>
    <w:rsid w:val="00186665"/>
    <w:rsid w:val="001869BC"/>
    <w:rsid w:val="00187942"/>
    <w:rsid w:val="001A5084"/>
    <w:rsid w:val="001B1D88"/>
    <w:rsid w:val="001B5D60"/>
    <w:rsid w:val="001B6BCA"/>
    <w:rsid w:val="001D270B"/>
    <w:rsid w:val="001D5AA8"/>
    <w:rsid w:val="001F6B07"/>
    <w:rsid w:val="00202B82"/>
    <w:rsid w:val="0021570C"/>
    <w:rsid w:val="00216449"/>
    <w:rsid w:val="002200CB"/>
    <w:rsid w:val="002309DA"/>
    <w:rsid w:val="00240BEB"/>
    <w:rsid w:val="00242984"/>
    <w:rsid w:val="00244F6A"/>
    <w:rsid w:val="0025290E"/>
    <w:rsid w:val="00270E0F"/>
    <w:rsid w:val="0027525E"/>
    <w:rsid w:val="002B5951"/>
    <w:rsid w:val="002F7DF4"/>
    <w:rsid w:val="003067DB"/>
    <w:rsid w:val="00311990"/>
    <w:rsid w:val="00326CA9"/>
    <w:rsid w:val="0033728C"/>
    <w:rsid w:val="00354CDE"/>
    <w:rsid w:val="00360946"/>
    <w:rsid w:val="00372D10"/>
    <w:rsid w:val="00373E99"/>
    <w:rsid w:val="00381798"/>
    <w:rsid w:val="00386DDD"/>
    <w:rsid w:val="003907DD"/>
    <w:rsid w:val="00395536"/>
    <w:rsid w:val="0039788E"/>
    <w:rsid w:val="003A51BE"/>
    <w:rsid w:val="003B2107"/>
    <w:rsid w:val="003D04C6"/>
    <w:rsid w:val="003D16CD"/>
    <w:rsid w:val="003D43CC"/>
    <w:rsid w:val="003E4135"/>
    <w:rsid w:val="003E6219"/>
    <w:rsid w:val="003F1E43"/>
    <w:rsid w:val="004018BE"/>
    <w:rsid w:val="00402B00"/>
    <w:rsid w:val="004035F0"/>
    <w:rsid w:val="00404103"/>
    <w:rsid w:val="00412A3B"/>
    <w:rsid w:val="004213E7"/>
    <w:rsid w:val="00421AE2"/>
    <w:rsid w:val="00424E85"/>
    <w:rsid w:val="0042599D"/>
    <w:rsid w:val="0044276B"/>
    <w:rsid w:val="0044548D"/>
    <w:rsid w:val="00451B2C"/>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A40F0"/>
    <w:rsid w:val="004A68D5"/>
    <w:rsid w:val="004B0DE2"/>
    <w:rsid w:val="004F20AF"/>
    <w:rsid w:val="005001E3"/>
    <w:rsid w:val="00502EF4"/>
    <w:rsid w:val="00503188"/>
    <w:rsid w:val="00504BE7"/>
    <w:rsid w:val="00515D11"/>
    <w:rsid w:val="00520724"/>
    <w:rsid w:val="00530700"/>
    <w:rsid w:val="00533C9C"/>
    <w:rsid w:val="00540278"/>
    <w:rsid w:val="005528F0"/>
    <w:rsid w:val="0055485D"/>
    <w:rsid w:val="00555610"/>
    <w:rsid w:val="00555AC1"/>
    <w:rsid w:val="0056308D"/>
    <w:rsid w:val="00565422"/>
    <w:rsid w:val="00566322"/>
    <w:rsid w:val="00572AC5"/>
    <w:rsid w:val="00580869"/>
    <w:rsid w:val="00581627"/>
    <w:rsid w:val="00583717"/>
    <w:rsid w:val="0058441F"/>
    <w:rsid w:val="0058535D"/>
    <w:rsid w:val="005A2B0F"/>
    <w:rsid w:val="005A2FA7"/>
    <w:rsid w:val="005B7249"/>
    <w:rsid w:val="005E25A7"/>
    <w:rsid w:val="005E388C"/>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823D7"/>
    <w:rsid w:val="0069083E"/>
    <w:rsid w:val="0069590C"/>
    <w:rsid w:val="006A02FF"/>
    <w:rsid w:val="006A7BEA"/>
    <w:rsid w:val="006B4F78"/>
    <w:rsid w:val="006C1D0A"/>
    <w:rsid w:val="006D109D"/>
    <w:rsid w:val="006D1FCB"/>
    <w:rsid w:val="006D3E08"/>
    <w:rsid w:val="006E359E"/>
    <w:rsid w:val="006E48F6"/>
    <w:rsid w:val="006F6FCC"/>
    <w:rsid w:val="007024EB"/>
    <w:rsid w:val="00704603"/>
    <w:rsid w:val="0070717A"/>
    <w:rsid w:val="007112F4"/>
    <w:rsid w:val="007212BE"/>
    <w:rsid w:val="00722993"/>
    <w:rsid w:val="007233E2"/>
    <w:rsid w:val="00731988"/>
    <w:rsid w:val="0073670C"/>
    <w:rsid w:val="00744C06"/>
    <w:rsid w:val="00745DD9"/>
    <w:rsid w:val="00747CDB"/>
    <w:rsid w:val="007554DC"/>
    <w:rsid w:val="00777AEF"/>
    <w:rsid w:val="00783B23"/>
    <w:rsid w:val="00784B57"/>
    <w:rsid w:val="007964CB"/>
    <w:rsid w:val="00797C9F"/>
    <w:rsid w:val="007A0BE9"/>
    <w:rsid w:val="007A21BC"/>
    <w:rsid w:val="007A39B1"/>
    <w:rsid w:val="007B306B"/>
    <w:rsid w:val="007B4DD1"/>
    <w:rsid w:val="007C3E71"/>
    <w:rsid w:val="007C7017"/>
    <w:rsid w:val="007D3A8A"/>
    <w:rsid w:val="007E58FE"/>
    <w:rsid w:val="007F331F"/>
    <w:rsid w:val="008066C3"/>
    <w:rsid w:val="00810E5C"/>
    <w:rsid w:val="008113FF"/>
    <w:rsid w:val="00811C75"/>
    <w:rsid w:val="00813BBC"/>
    <w:rsid w:val="008227B1"/>
    <w:rsid w:val="00830DB2"/>
    <w:rsid w:val="00835CA7"/>
    <w:rsid w:val="00836D84"/>
    <w:rsid w:val="00851DCD"/>
    <w:rsid w:val="00864AA1"/>
    <w:rsid w:val="008720A5"/>
    <w:rsid w:val="008721A8"/>
    <w:rsid w:val="0089181D"/>
    <w:rsid w:val="00894B51"/>
    <w:rsid w:val="008A6867"/>
    <w:rsid w:val="008A73B2"/>
    <w:rsid w:val="008A7D0C"/>
    <w:rsid w:val="008B1C9E"/>
    <w:rsid w:val="008B5539"/>
    <w:rsid w:val="008C009D"/>
    <w:rsid w:val="008C63B9"/>
    <w:rsid w:val="008C7FBD"/>
    <w:rsid w:val="008C7FE4"/>
    <w:rsid w:val="008D62F3"/>
    <w:rsid w:val="008E1E72"/>
    <w:rsid w:val="008E3376"/>
    <w:rsid w:val="008E3AF6"/>
    <w:rsid w:val="00901201"/>
    <w:rsid w:val="0090553E"/>
    <w:rsid w:val="00905B40"/>
    <w:rsid w:val="00906BF2"/>
    <w:rsid w:val="00906D51"/>
    <w:rsid w:val="009075FC"/>
    <w:rsid w:val="00925D3F"/>
    <w:rsid w:val="00934F5B"/>
    <w:rsid w:val="009500F7"/>
    <w:rsid w:val="0095111B"/>
    <w:rsid w:val="00953377"/>
    <w:rsid w:val="00954E2B"/>
    <w:rsid w:val="00955BAB"/>
    <w:rsid w:val="009603F8"/>
    <w:rsid w:val="009612FE"/>
    <w:rsid w:val="009642B1"/>
    <w:rsid w:val="00966C21"/>
    <w:rsid w:val="009677FD"/>
    <w:rsid w:val="009766C2"/>
    <w:rsid w:val="009866D4"/>
    <w:rsid w:val="00987C2D"/>
    <w:rsid w:val="009941D6"/>
    <w:rsid w:val="00996383"/>
    <w:rsid w:val="009A10C9"/>
    <w:rsid w:val="009A29D0"/>
    <w:rsid w:val="009B2717"/>
    <w:rsid w:val="009B307D"/>
    <w:rsid w:val="009C2AE1"/>
    <w:rsid w:val="009C5C7F"/>
    <w:rsid w:val="009D2D56"/>
    <w:rsid w:val="009D5FD5"/>
    <w:rsid w:val="009E406F"/>
    <w:rsid w:val="00A22380"/>
    <w:rsid w:val="00A25FFD"/>
    <w:rsid w:val="00A33B78"/>
    <w:rsid w:val="00A63B62"/>
    <w:rsid w:val="00A640D2"/>
    <w:rsid w:val="00A67872"/>
    <w:rsid w:val="00A71D9E"/>
    <w:rsid w:val="00A7725D"/>
    <w:rsid w:val="00A82B7D"/>
    <w:rsid w:val="00A92CD7"/>
    <w:rsid w:val="00AA3EC4"/>
    <w:rsid w:val="00AB54A9"/>
    <w:rsid w:val="00AB54E9"/>
    <w:rsid w:val="00AB5EBD"/>
    <w:rsid w:val="00AB6CE9"/>
    <w:rsid w:val="00AC7ADF"/>
    <w:rsid w:val="00AD03A5"/>
    <w:rsid w:val="00AD5A1B"/>
    <w:rsid w:val="00AF60C1"/>
    <w:rsid w:val="00B062D8"/>
    <w:rsid w:val="00B1496A"/>
    <w:rsid w:val="00B33752"/>
    <w:rsid w:val="00B5643A"/>
    <w:rsid w:val="00B570D6"/>
    <w:rsid w:val="00B62B47"/>
    <w:rsid w:val="00B66A6D"/>
    <w:rsid w:val="00B67800"/>
    <w:rsid w:val="00B71F10"/>
    <w:rsid w:val="00B73C25"/>
    <w:rsid w:val="00B77AC4"/>
    <w:rsid w:val="00B81E19"/>
    <w:rsid w:val="00B85EC9"/>
    <w:rsid w:val="00B90ADA"/>
    <w:rsid w:val="00B91E2D"/>
    <w:rsid w:val="00B94564"/>
    <w:rsid w:val="00B94F84"/>
    <w:rsid w:val="00BA0695"/>
    <w:rsid w:val="00BA4B11"/>
    <w:rsid w:val="00BA7057"/>
    <w:rsid w:val="00BA754C"/>
    <w:rsid w:val="00BB247D"/>
    <w:rsid w:val="00BB6B7E"/>
    <w:rsid w:val="00BD0512"/>
    <w:rsid w:val="00BD5CE1"/>
    <w:rsid w:val="00BE3304"/>
    <w:rsid w:val="00C03453"/>
    <w:rsid w:val="00C13E3E"/>
    <w:rsid w:val="00C31C79"/>
    <w:rsid w:val="00C42F84"/>
    <w:rsid w:val="00C547AD"/>
    <w:rsid w:val="00C61571"/>
    <w:rsid w:val="00C7209F"/>
    <w:rsid w:val="00C75BF6"/>
    <w:rsid w:val="00C7639C"/>
    <w:rsid w:val="00C84415"/>
    <w:rsid w:val="00C84DFC"/>
    <w:rsid w:val="00C90DF3"/>
    <w:rsid w:val="00C95B57"/>
    <w:rsid w:val="00C974BA"/>
    <w:rsid w:val="00CA2719"/>
    <w:rsid w:val="00CB4D9F"/>
    <w:rsid w:val="00CC288B"/>
    <w:rsid w:val="00CC72EC"/>
    <w:rsid w:val="00CC7584"/>
    <w:rsid w:val="00CD71AA"/>
    <w:rsid w:val="00CF1618"/>
    <w:rsid w:val="00CF290D"/>
    <w:rsid w:val="00CF41E1"/>
    <w:rsid w:val="00CF60A3"/>
    <w:rsid w:val="00D05FBC"/>
    <w:rsid w:val="00D17B3B"/>
    <w:rsid w:val="00D2257F"/>
    <w:rsid w:val="00D25D07"/>
    <w:rsid w:val="00D26D27"/>
    <w:rsid w:val="00D31BB2"/>
    <w:rsid w:val="00D36563"/>
    <w:rsid w:val="00D45FCD"/>
    <w:rsid w:val="00D469A5"/>
    <w:rsid w:val="00D53652"/>
    <w:rsid w:val="00D53A29"/>
    <w:rsid w:val="00D67552"/>
    <w:rsid w:val="00D70F66"/>
    <w:rsid w:val="00D76C49"/>
    <w:rsid w:val="00D81899"/>
    <w:rsid w:val="00D83217"/>
    <w:rsid w:val="00D8702A"/>
    <w:rsid w:val="00D911EE"/>
    <w:rsid w:val="00D97BF4"/>
    <w:rsid w:val="00DC318E"/>
    <w:rsid w:val="00DC41B3"/>
    <w:rsid w:val="00DD1A27"/>
    <w:rsid w:val="00DD7E3D"/>
    <w:rsid w:val="00DE3D2D"/>
    <w:rsid w:val="00DE4342"/>
    <w:rsid w:val="00DF0BF6"/>
    <w:rsid w:val="00DF6E9C"/>
    <w:rsid w:val="00E34AA1"/>
    <w:rsid w:val="00E40E4B"/>
    <w:rsid w:val="00E4129D"/>
    <w:rsid w:val="00E507D9"/>
    <w:rsid w:val="00E606DB"/>
    <w:rsid w:val="00E60EE8"/>
    <w:rsid w:val="00E61875"/>
    <w:rsid w:val="00E64422"/>
    <w:rsid w:val="00E728DC"/>
    <w:rsid w:val="00E8183A"/>
    <w:rsid w:val="00E84745"/>
    <w:rsid w:val="00E84E26"/>
    <w:rsid w:val="00E95DC4"/>
    <w:rsid w:val="00ED3BEC"/>
    <w:rsid w:val="00F00355"/>
    <w:rsid w:val="00F00C46"/>
    <w:rsid w:val="00F029AF"/>
    <w:rsid w:val="00F03665"/>
    <w:rsid w:val="00F064DF"/>
    <w:rsid w:val="00F12FB6"/>
    <w:rsid w:val="00F22A04"/>
    <w:rsid w:val="00F248CB"/>
    <w:rsid w:val="00F31028"/>
    <w:rsid w:val="00F4027B"/>
    <w:rsid w:val="00F41058"/>
    <w:rsid w:val="00F44327"/>
    <w:rsid w:val="00F4792A"/>
    <w:rsid w:val="00F57E5E"/>
    <w:rsid w:val="00F6585A"/>
    <w:rsid w:val="00F871CF"/>
    <w:rsid w:val="00F908D1"/>
    <w:rsid w:val="00FB3DBF"/>
    <w:rsid w:val="00FB416D"/>
    <w:rsid w:val="00FB6419"/>
    <w:rsid w:val="00FC5B38"/>
    <w:rsid w:val="00FC6D7F"/>
    <w:rsid w:val="00FD067E"/>
    <w:rsid w:val="00FD22DB"/>
    <w:rsid w:val="00FD7EDD"/>
    <w:rsid w:val="00FE3A71"/>
    <w:rsid w:val="00FE43E3"/>
    <w:rsid w:val="03BE7196"/>
    <w:rsid w:val="040F11DE"/>
    <w:rsid w:val="04CA11CD"/>
    <w:rsid w:val="0C3A070F"/>
    <w:rsid w:val="14F10358"/>
    <w:rsid w:val="1B7D2E65"/>
    <w:rsid w:val="1E4F795C"/>
    <w:rsid w:val="207E1ACD"/>
    <w:rsid w:val="24627391"/>
    <w:rsid w:val="2C226F6D"/>
    <w:rsid w:val="301850FB"/>
    <w:rsid w:val="30D36907"/>
    <w:rsid w:val="37F102DD"/>
    <w:rsid w:val="3D131764"/>
    <w:rsid w:val="46DA465A"/>
    <w:rsid w:val="5E743B9F"/>
    <w:rsid w:val="695F5CB6"/>
    <w:rsid w:val="70E216F0"/>
    <w:rsid w:val="73D7022E"/>
    <w:rsid w:val="75376B6F"/>
    <w:rsid w:val="794E6CEF"/>
    <w:rsid w:val="7F313A5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character" w:default="1" w:styleId="7">
    <w:name w:val="Default Paragraph Font"/>
    <w:semiHidden/>
    <w:uiPriority w:val="0"/>
  </w:style>
  <w:style w:type="table" w:default="1" w:styleId="10">
    <w:name w:val="Normal Table"/>
    <w:semiHidden/>
    <w:uiPriority w:val="0"/>
    <w:tblPr>
      <w:tblStyle w:val="10"/>
      <w:tblLayout w:type="fixed"/>
      <w:tblCellMar>
        <w:top w:w="0" w:type="dxa"/>
        <w:left w:w="108" w:type="dxa"/>
        <w:bottom w:w="0" w:type="dxa"/>
        <w:right w:w="108" w:type="dxa"/>
      </w:tblCellMar>
    </w:tblPr>
  </w:style>
  <w:style w:type="paragraph" w:styleId="2">
    <w:name w:val="Block Text"/>
    <w:basedOn w:val="1"/>
    <w:uiPriority w:val="0"/>
    <w:pPr>
      <w:spacing w:after="120"/>
      <w:ind w:left="1440" w:leftChars="700" w:right="1440" w:rightChars="700"/>
    </w:pPr>
  </w:style>
  <w:style w:type="paragraph" w:styleId="3">
    <w:name w:val="Balloon Text"/>
    <w:basedOn w:val="1"/>
    <w:semiHidden/>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jc w:val="left"/>
    </w:pPr>
    <w:rPr>
      <w:rFonts w:ascii="Calibri" w:hAnsi="Calibri" w:eastAsia="宋体"/>
      <w:kern w:val="0"/>
      <w:sz w:val="24"/>
    </w:rPr>
  </w:style>
  <w:style w:type="character" w:styleId="8">
    <w:name w:val="page number"/>
    <w:basedOn w:val="7"/>
    <w:uiPriority w:val="0"/>
  </w:style>
  <w:style w:type="character" w:styleId="9">
    <w:name w:val="Hyperlink"/>
    <w:uiPriority w:val="0"/>
    <w:rPr>
      <w:color w:val="000000"/>
      <w:u w:val="none"/>
    </w:rPr>
  </w:style>
  <w:style w:type="paragraph" w:customStyle="1" w:styleId="11">
    <w:name w:val="Default"/>
    <w:qFormat/>
    <w:uiPriority w:val="0"/>
    <w:pPr>
      <w:widowControl w:val="0"/>
      <w:autoSpaceDE w:val="0"/>
      <w:autoSpaceDN w:val="0"/>
      <w:adjustRightInd w:val="0"/>
    </w:pPr>
    <w:rPr>
      <w:rFonts w:ascii="黑体" w:hAnsi="黑体" w:eastAsia="宋体" w:cs="黑体"/>
      <w:color w:val="000000"/>
      <w:sz w:val="24"/>
      <w:szCs w:val="24"/>
      <w:lang w:val="en-US" w:eastAsia="zh-CN" w:bidi="ar-SA"/>
    </w:rPr>
  </w:style>
  <w:style w:type="character" w:customStyle="1" w:styleId="12">
    <w:name w:val="页眉 Char"/>
    <w:link w:val="5"/>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402</Words>
  <Characters>2296</Characters>
  <Lines>19</Lines>
  <Paragraphs>5</Paragraphs>
  <ScaleCrop>false</ScaleCrop>
  <LinksUpToDate>false</LinksUpToDate>
  <CharactersWithSpaces>2693</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2017-11-23T08:10:00Z</dcterms:created>
  <dc:creator>高山</dc:creator>
  <cp:lastModifiedBy>NYNCJ-ZYJ</cp:lastModifiedBy>
  <cp:lastPrinted>2015-03-16T01:56:00Z</cp:lastPrinted>
  <dcterms:modified xsi:type="dcterms:W3CDTF">2025-02-11T03:02:12Z</dcterms:modified>
  <dc:title>门头沟区民防局2012年预算情况说明</dc:title>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