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ascii="华文中宋" w:hAnsi="华文中宋" w:eastAsia="华文中宋"/>
          <w:b/>
          <w:sz w:val="36"/>
          <w:szCs w:val="36"/>
        </w:rPr>
      </w:pPr>
      <w:bookmarkStart w:id="2" w:name="_GoBack"/>
      <w:bookmarkEnd w:id="2"/>
      <w:r>
        <w:rPr>
          <w:rFonts w:hint="eastAsia" w:ascii="华文中宋" w:hAnsi="华文中宋" w:eastAsia="华文中宋"/>
          <w:b/>
          <w:sz w:val="36"/>
          <w:szCs w:val="36"/>
        </w:rPr>
        <w:t>目   录</w:t>
      </w:r>
    </w:p>
    <w:p>
      <w:pPr>
        <w:spacing w:line="460" w:lineRule="exact"/>
        <w:jc w:val="center"/>
        <w:rPr>
          <w:rFonts w:hint="eastAsia" w:ascii="华文中宋" w:hAnsi="华文中宋" w:eastAsia="华文中宋"/>
          <w:b/>
          <w:sz w:val="36"/>
          <w:szCs w:val="36"/>
        </w:rPr>
      </w:pPr>
    </w:p>
    <w:p>
      <w:pPr>
        <w:spacing w:line="460" w:lineRule="exact"/>
        <w:ind w:firstLine="420" w:firstLineChars="150"/>
        <w:jc w:val="left"/>
        <w:rPr>
          <w:rFonts w:ascii="黑体" w:hAnsi="黑体" w:eastAsia="黑体"/>
          <w:sz w:val="28"/>
          <w:szCs w:val="32"/>
        </w:rPr>
      </w:pPr>
      <w:r>
        <w:rPr>
          <w:rFonts w:hint="eastAsia" w:ascii="黑体" w:hAnsi="黑体" w:eastAsia="黑体"/>
          <w:sz w:val="28"/>
          <w:szCs w:val="32"/>
        </w:rPr>
        <w:t>第一部分 2025年度部门预算情况说明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一、部门情况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二、收入预算说明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三、支出预算说明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四</w:t>
      </w:r>
      <w:r>
        <w:rPr>
          <w:rFonts w:ascii="仿宋_GB2312" w:eastAsia="仿宋_GB2312"/>
          <w:sz w:val="28"/>
          <w:szCs w:val="32"/>
        </w:rPr>
        <w:t>、</w:t>
      </w:r>
      <w:r>
        <w:rPr>
          <w:rFonts w:hint="eastAsia" w:ascii="仿宋_GB2312" w:eastAsia="仿宋_GB2312"/>
          <w:sz w:val="28"/>
          <w:szCs w:val="32"/>
        </w:rPr>
        <w:t>部门"三公"经费财政拨款预算说明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五</w:t>
      </w:r>
      <w:r>
        <w:rPr>
          <w:rFonts w:ascii="仿宋_GB2312" w:eastAsia="仿宋_GB2312"/>
          <w:sz w:val="28"/>
          <w:szCs w:val="32"/>
        </w:rPr>
        <w:t>、</w:t>
      </w:r>
      <w:r>
        <w:rPr>
          <w:rFonts w:hint="eastAsia" w:ascii="仿宋_GB2312" w:eastAsia="仿宋_GB2312"/>
          <w:sz w:val="28"/>
          <w:szCs w:val="32"/>
        </w:rPr>
        <w:t>其他情况说明</w:t>
      </w:r>
    </w:p>
    <w:p>
      <w:pPr>
        <w:spacing w:line="460" w:lineRule="exact"/>
        <w:ind w:firstLine="420" w:firstLineChars="150"/>
        <w:jc w:val="left"/>
        <w:rPr>
          <w:rFonts w:ascii="黑体" w:hAnsi="黑体" w:eastAsia="黑体"/>
          <w:sz w:val="28"/>
          <w:szCs w:val="32"/>
        </w:rPr>
      </w:pPr>
    </w:p>
    <w:p>
      <w:pPr>
        <w:spacing w:line="460" w:lineRule="exact"/>
        <w:ind w:firstLine="420" w:firstLineChars="150"/>
        <w:jc w:val="left"/>
        <w:rPr>
          <w:rFonts w:hint="eastAsia" w:ascii="黑体" w:hAnsi="黑体" w:eastAsia="黑体"/>
          <w:sz w:val="28"/>
          <w:szCs w:val="32"/>
        </w:rPr>
      </w:pPr>
      <w:r>
        <w:rPr>
          <w:rFonts w:hint="eastAsia" w:ascii="黑体" w:hAnsi="黑体" w:eastAsia="黑体"/>
          <w:sz w:val="28"/>
          <w:szCs w:val="32"/>
        </w:rPr>
        <w:t>第二部分 2025年度部门预算报表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1.收支总表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2.收入总表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3.本年支出预算总表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4.项目支出表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5.政府采购预算明细表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6.财政拨款</w:t>
      </w:r>
      <w:r>
        <w:rPr>
          <w:rFonts w:ascii="仿宋_GB2312" w:eastAsia="仿宋_GB2312"/>
          <w:sz w:val="28"/>
          <w:szCs w:val="32"/>
        </w:rPr>
        <w:t>收支预算</w:t>
      </w:r>
      <w:r>
        <w:rPr>
          <w:rFonts w:hint="eastAsia" w:ascii="仿宋_GB2312" w:eastAsia="仿宋_GB2312"/>
          <w:sz w:val="28"/>
          <w:szCs w:val="32"/>
        </w:rPr>
        <w:t>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7.一般公共预算财政拨款支出表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8.一般公共预算财政拨款基本支出表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9.政府性基金预算财政拨款支出表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10.国有资本经营预算财政拨款支出表</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11.财政拨款“三公”经费支出表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12.政府购买服务预算财政拨款明细表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13.部门</w:t>
      </w:r>
      <w:r>
        <w:rPr>
          <w:rFonts w:ascii="仿宋_GB2312" w:eastAsia="仿宋_GB2312"/>
          <w:sz w:val="28"/>
          <w:szCs w:val="32"/>
        </w:rPr>
        <w:t>（</w:t>
      </w:r>
      <w:r>
        <w:rPr>
          <w:rFonts w:hint="eastAsia" w:ascii="仿宋_GB2312" w:eastAsia="仿宋_GB2312"/>
          <w:sz w:val="28"/>
          <w:szCs w:val="32"/>
        </w:rPr>
        <w:t>单位</w:t>
      </w:r>
      <w:r>
        <w:rPr>
          <w:rFonts w:ascii="仿宋_GB2312" w:eastAsia="仿宋_GB2312"/>
          <w:sz w:val="28"/>
          <w:szCs w:val="32"/>
        </w:rPr>
        <w:t>）</w:t>
      </w:r>
      <w:r>
        <w:rPr>
          <w:rFonts w:hint="eastAsia" w:ascii="仿宋_GB2312" w:eastAsia="仿宋_GB2312"/>
          <w:sz w:val="28"/>
          <w:szCs w:val="32"/>
        </w:rPr>
        <w:t>整体支出绩效目标申报表</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14.项目支出绩效表</w:t>
      </w:r>
    </w:p>
    <w:tbl>
      <w:tblPr>
        <w:tblStyle w:val="9"/>
        <w:tblW w:w="11320" w:type="dxa"/>
        <w:tblInd w:w="108" w:type="dxa"/>
        <w:tblLayout w:type="fixed"/>
        <w:tblCellMar>
          <w:top w:w="0" w:type="dxa"/>
          <w:left w:w="108" w:type="dxa"/>
          <w:bottom w:w="0" w:type="dxa"/>
          <w:right w:w="108" w:type="dxa"/>
        </w:tblCellMar>
      </w:tblPr>
      <w:tblGrid>
        <w:gridCol w:w="11320"/>
      </w:tblGrid>
      <w:tr>
        <w:tblPrEx>
          <w:tblLayout w:type="fixed"/>
          <w:tblCellMar>
            <w:top w:w="0" w:type="dxa"/>
            <w:left w:w="108" w:type="dxa"/>
            <w:bottom w:w="0" w:type="dxa"/>
            <w:right w:w="108" w:type="dxa"/>
          </w:tblCellMar>
        </w:tblPrEx>
        <w:trPr>
          <w:trHeight w:val="327" w:hRule="atLeast"/>
        </w:trPr>
        <w:tc>
          <w:tcPr>
            <w:tcW w:w="11320" w:type="dxa"/>
            <w:tcBorders>
              <w:top w:val="nil"/>
              <w:left w:val="nil"/>
              <w:bottom w:val="nil"/>
              <w:right w:val="nil"/>
            </w:tcBorders>
            <w:vAlign w:val="center"/>
          </w:tcPr>
          <w:p>
            <w:pPr>
              <w:widowControl/>
              <w:jc w:val="left"/>
              <w:rPr>
                <w:rFonts w:hint="eastAsia" w:ascii="仿宋_GB2312" w:eastAsia="仿宋_GB2312"/>
                <w:sz w:val="28"/>
                <w:szCs w:val="32"/>
              </w:rPr>
            </w:pPr>
          </w:p>
        </w:tc>
      </w:tr>
      <w:tr>
        <w:tblPrEx>
          <w:tblLayout w:type="fixed"/>
          <w:tblCellMar>
            <w:top w:w="0" w:type="dxa"/>
            <w:left w:w="108" w:type="dxa"/>
            <w:bottom w:w="0" w:type="dxa"/>
            <w:right w:w="108" w:type="dxa"/>
          </w:tblCellMar>
        </w:tblPrEx>
        <w:trPr>
          <w:trHeight w:val="327" w:hRule="atLeast"/>
        </w:trPr>
        <w:tc>
          <w:tcPr>
            <w:tcW w:w="11320" w:type="dxa"/>
            <w:tcBorders>
              <w:top w:val="nil"/>
              <w:left w:val="nil"/>
              <w:bottom w:val="nil"/>
              <w:right w:val="nil"/>
            </w:tcBorders>
            <w:vAlign w:val="center"/>
          </w:tcPr>
          <w:p>
            <w:pPr>
              <w:spacing w:line="460" w:lineRule="exact"/>
              <w:ind w:firstLine="420" w:firstLineChars="150"/>
              <w:jc w:val="left"/>
              <w:rPr>
                <w:rFonts w:hint="eastAsia" w:ascii="仿宋_GB2312" w:eastAsia="仿宋_GB2312"/>
                <w:sz w:val="28"/>
                <w:szCs w:val="32"/>
              </w:rPr>
            </w:pPr>
          </w:p>
        </w:tc>
      </w:tr>
    </w:tbl>
    <w:p>
      <w:pPr>
        <w:jc w:val="center"/>
        <w:rPr>
          <w:rFonts w:ascii="仿宋_GB2312" w:eastAsia="仿宋_GB2312"/>
          <w:b/>
          <w:sz w:val="28"/>
          <w:szCs w:val="32"/>
        </w:rPr>
      </w:pPr>
    </w:p>
    <w:p>
      <w:pPr>
        <w:jc w:val="center"/>
        <w:rPr>
          <w:rFonts w:ascii="仿宋_GB2312" w:eastAsia="仿宋_GB2312"/>
          <w:b/>
          <w:sz w:val="28"/>
          <w:szCs w:val="32"/>
        </w:rPr>
      </w:pPr>
    </w:p>
    <w:p>
      <w:pPr>
        <w:jc w:val="center"/>
        <w:rPr>
          <w:rFonts w:hint="eastAsia" w:ascii="仿宋_GB2312" w:eastAsia="仿宋_GB2312"/>
          <w:b/>
          <w:sz w:val="28"/>
          <w:szCs w:val="32"/>
        </w:rPr>
      </w:pPr>
    </w:p>
    <w:p>
      <w:pPr>
        <w:spacing w:line="500" w:lineRule="exact"/>
        <w:jc w:val="center"/>
        <w:rPr>
          <w:rFonts w:ascii="华文中宋" w:hAnsi="华文中宋" w:eastAsia="华文中宋"/>
          <w:b/>
          <w:sz w:val="36"/>
          <w:szCs w:val="36"/>
        </w:rPr>
      </w:pPr>
      <w:r>
        <w:rPr>
          <w:rFonts w:hint="eastAsia" w:ascii="华文中宋" w:hAnsi="华文中宋" w:eastAsia="华文中宋"/>
          <w:b/>
          <w:sz w:val="36"/>
          <w:szCs w:val="36"/>
        </w:rPr>
        <w:t>第一</w:t>
      </w:r>
      <w:r>
        <w:rPr>
          <w:rFonts w:ascii="华文中宋" w:hAnsi="华文中宋" w:eastAsia="华文中宋"/>
          <w:b/>
          <w:sz w:val="36"/>
          <w:szCs w:val="36"/>
        </w:rPr>
        <w:t>部分</w:t>
      </w:r>
      <w:r>
        <w:rPr>
          <w:rFonts w:hint="eastAsia" w:ascii="华文中宋" w:hAnsi="华文中宋" w:eastAsia="华文中宋"/>
          <w:b/>
          <w:sz w:val="36"/>
          <w:szCs w:val="36"/>
        </w:rPr>
        <w:t xml:space="preserve"> 2025年度门头沟区农业综合执法大队单位预算情况说明</w:t>
      </w:r>
    </w:p>
    <w:p>
      <w:pPr>
        <w:widowControl/>
        <w:spacing w:line="560" w:lineRule="exact"/>
        <w:ind w:firstLine="560" w:firstLineChars="200"/>
        <w:rPr>
          <w:rFonts w:ascii="宋体" w:hAnsi="宋体"/>
          <w:sz w:val="28"/>
          <w:szCs w:val="32"/>
        </w:rPr>
      </w:pP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一、部门情况</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（一）部门机构设置、职责</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北京市门头沟区农业综合执法大队设下列内设机构、派出机构:</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1、综合科（执法监督科）。负责大队政务工作。负责文电、会务、信息、议案、建议、提案和信访、档案、保密工作。负责大队装备财务、资产管理、罚没物资管理和后勤保障工作。负责大队组织人事、党群、党风廉政建设等工作。承担农业综合执法重大问题调查研究工作。</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负责本区农业综合执法的协调调度。负责统筹协调农业专项整治和联合执法工作。负责大队行政执法监督工作。负责执法文书的规范和执法统计工作。负责执法案卷的评查工作。负责组织开展执法业务培训。负责行政处罚案件的审核工作。协助机关承办涉及大队的有关行政复议、行政赔偿案件和行政诉讼的应诉代理工作，组织行政处罚听证工作。</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2、执法一分队。承担龙泉镇、大峪街道、城子街道、东辛房街道的农业行政执法工作。</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3、执法二分队。承担潭柘寺镇、永定镇的农业行政执法工作。</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4、执法三分队。承担军庄镇、妙峰山镇、王平镇、大台街道的农业行政执法工作。</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5、执法四分队。承担雁翅镇、斋堂镇、清水镇的农业行政执法工作。</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6、北京市芹峪口公路动物防疫监督检查站。为区农业执法大队的派出机构，负责经北京市芹峪口公路动物防疫监督检查站进京的动物及动物产品检疫、查证、验物、消毒和监督执法，承担动物及动物产品的检疫申报工作。</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区农业综合执法大队主要职责：</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1、负责集中行使法律、法规、规章规定的应由本区区级农业农村主管部门行使的动物卫生、兽医兽药、种子、化肥、渔政、农药、农机、农产品质量安全等领域行政执法职责。</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宋体" w:eastAsia="楷体_GB2312" w:cs="宋体"/>
          <w:kern w:val="0"/>
          <w:sz w:val="32"/>
          <w:szCs w:val="32"/>
        </w:rPr>
      </w:pPr>
      <w:r>
        <w:rPr>
          <w:rFonts w:hint="eastAsia" w:ascii="仿宋_GB2312" w:hAnsi="宋体" w:eastAsia="仿宋_GB2312" w:cs="宋体"/>
          <w:kern w:val="0"/>
          <w:sz w:val="32"/>
          <w:szCs w:val="32"/>
          <w:lang w:val="en-US" w:eastAsia="zh-CN"/>
        </w:rPr>
        <w:t>2、完成区委、区政府和区委农工委、区农业农村局交办的其他任务。</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（二）人员构成情况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北京市门头沟区农业综合执法大队行政编制</w:t>
      </w:r>
      <w:r>
        <w:rPr>
          <w:rFonts w:hint="eastAsia" w:ascii="仿宋_GB2312" w:hAnsi="宋体" w:eastAsia="仿宋_GB2312" w:cs="宋体"/>
          <w:kern w:val="0"/>
          <w:sz w:val="32"/>
          <w:szCs w:val="32"/>
          <w:lang w:val="en-US" w:eastAsia="zh-CN"/>
        </w:rPr>
        <w:t>40</w:t>
      </w:r>
      <w:r>
        <w:rPr>
          <w:rFonts w:hint="eastAsia" w:ascii="仿宋_GB2312" w:hAnsi="宋体" w:eastAsia="仿宋_GB2312" w:cs="宋体"/>
          <w:kern w:val="0"/>
          <w:sz w:val="32"/>
          <w:szCs w:val="32"/>
        </w:rPr>
        <w:t>人，实际</w:t>
      </w:r>
      <w:r>
        <w:rPr>
          <w:rFonts w:hint="eastAsia" w:ascii="仿宋_GB2312" w:hAnsi="宋体" w:eastAsia="仿宋_GB2312" w:cs="宋体"/>
          <w:kern w:val="0"/>
          <w:sz w:val="32"/>
          <w:szCs w:val="32"/>
          <w:lang w:val="en-US" w:eastAsia="zh-CN"/>
        </w:rPr>
        <w:t>36</w:t>
      </w:r>
      <w:r>
        <w:rPr>
          <w:rFonts w:hint="eastAsia" w:ascii="仿宋_GB2312" w:hAnsi="宋体" w:eastAsia="仿宋_GB2312" w:cs="宋体"/>
          <w:kern w:val="0"/>
          <w:sz w:val="32"/>
          <w:szCs w:val="32"/>
        </w:rPr>
        <w:t>人；事业编制</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人，实际</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人；聘用人员（公安系统文职人员、公安系统辅警人员、公安系统交通协管员、法院聘任书记员、聘用制司法警察、其他聘用人员--临时工）</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人。</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（三）本预算年度的主要工作任务</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二、收入预算说明</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2025年收入预算1,248.40万元，比2024年1,322.83万元减少</w:t>
      </w:r>
      <w:r>
        <w:rPr>
          <w:rFonts w:hint="eastAsia" w:ascii="仿宋_GB2312" w:hAnsi="宋体" w:eastAsia="仿宋_GB2312" w:cs="宋体"/>
          <w:kern w:val="0"/>
          <w:sz w:val="32"/>
          <w:szCs w:val="32"/>
          <w:lang w:val="en-US" w:eastAsia="zh-CN"/>
        </w:rPr>
        <w:t>74.43</w:t>
      </w:r>
      <w:r>
        <w:rPr>
          <w:rFonts w:hint="eastAsia" w:ascii="仿宋_GB2312" w:hAnsi="宋体" w:eastAsia="仿宋_GB2312" w:cs="宋体"/>
          <w:kern w:val="0"/>
          <w:sz w:val="32"/>
          <w:szCs w:val="32"/>
        </w:rPr>
        <w:t>万元，下降</w:t>
      </w:r>
      <w:r>
        <w:rPr>
          <w:rFonts w:hint="eastAsia" w:ascii="仿宋_GB2312" w:hAnsi="宋体" w:eastAsia="仿宋_GB2312" w:cs="宋体"/>
          <w:kern w:val="0"/>
          <w:sz w:val="32"/>
          <w:szCs w:val="32"/>
          <w:lang w:val="en-US" w:eastAsia="zh-CN"/>
        </w:rPr>
        <w:t>5.6</w:t>
      </w:r>
      <w:r>
        <w:rPr>
          <w:rFonts w:hint="eastAsia" w:ascii="仿宋_GB2312" w:hAnsi="宋体" w:eastAsia="仿宋_GB2312" w:cs="宋体"/>
          <w:kern w:val="0"/>
          <w:sz w:val="32"/>
          <w:szCs w:val="32"/>
        </w:rPr>
        <w:t>%。其中：本年财政拨款收入1,248.40万元,比2024年1,322.83万元减少</w:t>
      </w:r>
      <w:r>
        <w:rPr>
          <w:rFonts w:hint="eastAsia" w:ascii="仿宋_GB2312" w:hAnsi="宋体" w:eastAsia="仿宋_GB2312" w:cs="宋体"/>
          <w:kern w:val="0"/>
          <w:sz w:val="32"/>
          <w:szCs w:val="32"/>
          <w:lang w:val="en-US" w:eastAsia="zh-CN"/>
        </w:rPr>
        <w:t>74.43</w:t>
      </w:r>
      <w:r>
        <w:rPr>
          <w:rFonts w:hint="eastAsia" w:ascii="仿宋_GB2312" w:hAnsi="宋体" w:eastAsia="仿宋_GB2312" w:cs="宋体"/>
          <w:kern w:val="0"/>
          <w:sz w:val="32"/>
          <w:szCs w:val="32"/>
        </w:rPr>
        <w:t>万元；本年非财政拨款收入</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万元,比2024年</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万元增加/减少</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三、支出预算说明</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（一）基本支出预算1,237.65万元，占总支出预算</w:t>
      </w:r>
      <w:r>
        <w:rPr>
          <w:rFonts w:hint="eastAsia" w:ascii="仿宋_GB2312" w:hAnsi="宋体" w:eastAsia="仿宋_GB2312" w:cs="宋体"/>
          <w:kern w:val="0"/>
          <w:sz w:val="32"/>
          <w:szCs w:val="32"/>
          <w:lang w:val="en-US" w:eastAsia="zh-CN"/>
        </w:rPr>
        <w:t>99.1</w:t>
      </w:r>
      <w:r>
        <w:rPr>
          <w:rFonts w:hint="eastAsia" w:ascii="仿宋_GB2312" w:hAnsi="宋体" w:eastAsia="仿宋_GB2312" w:cs="宋体"/>
          <w:kern w:val="0"/>
          <w:sz w:val="32"/>
          <w:szCs w:val="32"/>
        </w:rPr>
        <w:t>%，比2024年1,316.03万元</w:t>
      </w:r>
      <w:r>
        <w:rPr>
          <w:rFonts w:hint="eastAsia" w:ascii="仿宋_GB2312" w:hAnsi="宋体" w:eastAsia="仿宋_GB2312" w:cs="宋体"/>
          <w:kern w:val="0"/>
          <w:sz w:val="32"/>
          <w:szCs w:val="32"/>
          <w:lang w:eastAsia="zh-CN"/>
        </w:rPr>
        <w:t>减少</w:t>
      </w:r>
      <w:r>
        <w:rPr>
          <w:rFonts w:hint="eastAsia" w:ascii="仿宋_GB2312" w:hAnsi="宋体" w:eastAsia="仿宋_GB2312" w:cs="宋体"/>
          <w:kern w:val="0"/>
          <w:sz w:val="32"/>
          <w:szCs w:val="32"/>
          <w:lang w:val="en-US" w:eastAsia="zh-CN"/>
        </w:rPr>
        <w:t>78.38</w:t>
      </w:r>
      <w:r>
        <w:rPr>
          <w:rFonts w:hint="eastAsia" w:ascii="仿宋_GB2312" w:hAnsi="宋体" w:eastAsia="仿宋_GB2312" w:cs="宋体"/>
          <w:kern w:val="0"/>
          <w:sz w:val="32"/>
          <w:szCs w:val="32"/>
        </w:rPr>
        <w:t>万元，下降</w:t>
      </w:r>
      <w:r>
        <w:rPr>
          <w:rFonts w:hint="eastAsia" w:ascii="仿宋_GB2312" w:hAnsi="宋体" w:eastAsia="仿宋_GB2312" w:cs="宋体"/>
          <w:kern w:val="0"/>
          <w:sz w:val="32"/>
          <w:szCs w:val="32"/>
          <w:lang w:val="en-US" w:eastAsia="zh-CN"/>
        </w:rPr>
        <w:t>6.0</w:t>
      </w:r>
      <w:r>
        <w:rPr>
          <w:rFonts w:hint="eastAsia" w:ascii="仿宋_GB2312" w:hAnsi="宋体" w:eastAsia="仿宋_GB2312" w:cs="宋体"/>
          <w:kern w:val="0"/>
          <w:sz w:val="32"/>
          <w:szCs w:val="32"/>
        </w:rPr>
        <w:t>%。</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（二）项目支出预算10.75万元，比2024年6.80万元增加</w:t>
      </w:r>
      <w:r>
        <w:rPr>
          <w:rFonts w:hint="eastAsia" w:ascii="仿宋_GB2312" w:hAnsi="宋体" w:eastAsia="仿宋_GB2312" w:cs="宋体"/>
          <w:kern w:val="0"/>
          <w:sz w:val="32"/>
          <w:szCs w:val="32"/>
          <w:lang w:val="en-US" w:eastAsia="zh-CN"/>
        </w:rPr>
        <w:t>3.95</w:t>
      </w:r>
      <w:r>
        <w:rPr>
          <w:rFonts w:hint="eastAsia" w:ascii="仿宋_GB2312" w:hAnsi="宋体" w:eastAsia="仿宋_GB2312" w:cs="宋体"/>
          <w:kern w:val="0"/>
          <w:sz w:val="32"/>
          <w:szCs w:val="32"/>
        </w:rPr>
        <w:t>万元，增长</w:t>
      </w:r>
      <w:r>
        <w:rPr>
          <w:rFonts w:hint="eastAsia" w:ascii="仿宋_GB2312" w:hAnsi="宋体" w:eastAsia="仿宋_GB2312" w:cs="宋体"/>
          <w:kern w:val="0"/>
          <w:sz w:val="32"/>
          <w:szCs w:val="32"/>
          <w:lang w:val="en-US" w:eastAsia="zh-CN"/>
        </w:rPr>
        <w:t>58.1</w:t>
      </w:r>
      <w:r>
        <w:rPr>
          <w:rFonts w:hint="eastAsia" w:ascii="仿宋_GB2312" w:hAnsi="宋体" w:eastAsia="仿宋_GB2312" w:cs="宋体"/>
          <w:kern w:val="0"/>
          <w:sz w:val="32"/>
          <w:szCs w:val="32"/>
        </w:rPr>
        <w:t>%，增加原因</w:t>
      </w:r>
      <w:r>
        <w:rPr>
          <w:rFonts w:hint="eastAsia" w:ascii="仿宋_GB2312" w:hAnsi="宋体" w:eastAsia="仿宋_GB2312" w:cs="宋体"/>
          <w:kern w:val="0"/>
          <w:sz w:val="32"/>
          <w:szCs w:val="32"/>
          <w:lang w:eastAsia="zh-CN"/>
        </w:rPr>
        <w:t>为本年度新增综合行政执法制式服装和标志集中采购项目</w:t>
      </w:r>
      <w:r>
        <w:rPr>
          <w:rFonts w:hint="eastAsia" w:ascii="仿宋_GB2312" w:hAnsi="宋体" w:eastAsia="仿宋_GB2312" w:cs="宋体"/>
          <w:kern w:val="0"/>
          <w:sz w:val="32"/>
          <w:szCs w:val="32"/>
        </w:rPr>
        <w:t>。部门预算项目主要为农业执法业务经费</w:t>
      </w:r>
      <w:r>
        <w:rPr>
          <w:rFonts w:hint="eastAsia" w:ascii="仿宋_GB2312" w:hAnsi="宋体" w:eastAsia="仿宋_GB2312" w:cs="宋体"/>
          <w:kern w:val="0"/>
          <w:sz w:val="32"/>
          <w:szCs w:val="32"/>
          <w:lang w:eastAsia="zh-CN"/>
        </w:rPr>
        <w:t>、综合行政执法制式服装和标志集中采购项目经费</w:t>
      </w:r>
      <w:r>
        <w:rPr>
          <w:rFonts w:hint="eastAsia" w:ascii="仿宋_GB2312" w:hAnsi="宋体" w:eastAsia="仿宋_GB2312" w:cs="宋体"/>
          <w:kern w:val="0"/>
          <w:sz w:val="32"/>
          <w:szCs w:val="32"/>
        </w:rPr>
        <w:t>。</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（三）事业单位经营支出</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（四）上缴上级支出</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（五）对附属单位补助支出</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四、部门“三公”经费财政拨款预算说明</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（一）“三公”经费的单位范围</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北京市门头沟区农业综合执法大队因公出国（境）费用、公务接待费、公务用车购置和运行维护费开支单位包括</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个所属单位。</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（二）“三公”经费财政拨款情况说明</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2025年“三公”经费财政拨款预算9.10万元，比2024年“三公”经费财政拨款预算减少</w:t>
      </w:r>
      <w:r>
        <w:rPr>
          <w:rFonts w:hint="eastAsia" w:ascii="仿宋_GB2312" w:hAnsi="宋体" w:eastAsia="仿宋_GB2312" w:cs="宋体"/>
          <w:kern w:val="0"/>
          <w:sz w:val="32"/>
          <w:szCs w:val="32"/>
          <w:lang w:val="en-US" w:eastAsia="zh-CN"/>
        </w:rPr>
        <w:t>0.01</w:t>
      </w:r>
      <w:r>
        <w:rPr>
          <w:rFonts w:hint="eastAsia" w:ascii="仿宋_GB2312" w:hAnsi="宋体" w:eastAsia="仿宋_GB2312" w:cs="宋体"/>
          <w:kern w:val="0"/>
          <w:sz w:val="32"/>
          <w:szCs w:val="32"/>
        </w:rPr>
        <w:t>万元。其中：</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1.因公出国（境）费用。2025年预算数</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万元，比2024年预算数</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万元减少</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万元，主要原因：此项为区级预留资金,年中根据各单位实际需求另行安排。</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2.公务接待费。2025年预算数</w:t>
      </w:r>
      <w:r>
        <w:rPr>
          <w:rFonts w:hint="eastAsia" w:ascii="仿宋_GB2312" w:hAnsi="宋体" w:eastAsia="仿宋_GB2312" w:cs="宋体"/>
          <w:kern w:val="0"/>
          <w:sz w:val="32"/>
          <w:szCs w:val="32"/>
          <w:lang w:val="en-US" w:eastAsia="zh-CN"/>
        </w:rPr>
        <w:t>0.10</w:t>
      </w:r>
      <w:r>
        <w:rPr>
          <w:rFonts w:hint="eastAsia" w:ascii="仿宋_GB2312" w:hAnsi="宋体" w:eastAsia="仿宋_GB2312" w:cs="宋体"/>
          <w:kern w:val="0"/>
          <w:sz w:val="32"/>
          <w:szCs w:val="32"/>
        </w:rPr>
        <w:t>万元，比2024年预算数</w:t>
      </w:r>
      <w:r>
        <w:rPr>
          <w:rFonts w:hint="eastAsia" w:ascii="仿宋_GB2312" w:hAnsi="宋体" w:eastAsia="仿宋_GB2312" w:cs="宋体"/>
          <w:kern w:val="0"/>
          <w:sz w:val="32"/>
          <w:szCs w:val="32"/>
          <w:lang w:val="en-US" w:eastAsia="zh-CN"/>
        </w:rPr>
        <w:t>0.11</w:t>
      </w:r>
      <w:r>
        <w:rPr>
          <w:rFonts w:hint="eastAsia" w:ascii="仿宋_GB2312" w:hAnsi="宋体" w:eastAsia="仿宋_GB2312" w:cs="宋体"/>
          <w:kern w:val="0"/>
          <w:sz w:val="32"/>
          <w:szCs w:val="32"/>
        </w:rPr>
        <w:t>万元减少</w:t>
      </w:r>
      <w:r>
        <w:rPr>
          <w:rFonts w:hint="eastAsia" w:ascii="仿宋_GB2312" w:hAnsi="宋体" w:eastAsia="仿宋_GB2312" w:cs="宋体"/>
          <w:kern w:val="0"/>
          <w:sz w:val="32"/>
          <w:szCs w:val="32"/>
          <w:lang w:val="en-US" w:eastAsia="zh-CN"/>
        </w:rPr>
        <w:t>0.01</w:t>
      </w:r>
      <w:r>
        <w:rPr>
          <w:rFonts w:hint="eastAsia" w:ascii="仿宋_GB2312" w:hAnsi="宋体" w:eastAsia="仿宋_GB2312" w:cs="宋体"/>
          <w:kern w:val="0"/>
          <w:sz w:val="32"/>
          <w:szCs w:val="32"/>
        </w:rPr>
        <w:t>万元，主要原因：</w:t>
      </w:r>
      <w:r>
        <w:rPr>
          <w:rFonts w:hint="eastAsia" w:ascii="仿宋_GB2312" w:hAnsi="宋体" w:eastAsia="仿宋_GB2312" w:cs="宋体"/>
          <w:kern w:val="0"/>
          <w:sz w:val="32"/>
          <w:szCs w:val="32"/>
          <w:lang w:eastAsia="zh-CN"/>
        </w:rPr>
        <w:t>人员减少</w:t>
      </w:r>
      <w:r>
        <w:rPr>
          <w:rFonts w:hint="eastAsia" w:ascii="仿宋_GB2312" w:hAnsi="宋体" w:eastAsia="仿宋_GB2312" w:cs="宋体"/>
          <w:kern w:val="0"/>
          <w:sz w:val="32"/>
          <w:szCs w:val="32"/>
        </w:rPr>
        <w:t>。2025年公务接待费主要用于因公发生的接待费支出等方面。</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3.公务用车购置及运行维护费。2025年预算数9.00万元，其中，公务用车购置费2025年预算数</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万元，比2024年预算数</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万元减少</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万元，主要原因：此项目为区级预留资金，年中根据各单位实际需求另行安排；公务用车运行维护费2025年预算数</w:t>
      </w:r>
      <w:r>
        <w:rPr>
          <w:rFonts w:hint="eastAsia" w:ascii="仿宋_GB2312" w:hAnsi="宋体" w:eastAsia="仿宋_GB2312" w:cs="宋体"/>
          <w:kern w:val="0"/>
          <w:sz w:val="32"/>
          <w:szCs w:val="32"/>
          <w:lang w:val="en-US" w:eastAsia="zh-CN"/>
        </w:rPr>
        <w:t>9.00</w:t>
      </w:r>
      <w:r>
        <w:rPr>
          <w:rFonts w:hint="eastAsia" w:ascii="仿宋_GB2312" w:hAnsi="宋体" w:eastAsia="仿宋_GB2312" w:cs="宋体"/>
          <w:kern w:val="0"/>
          <w:sz w:val="32"/>
          <w:szCs w:val="32"/>
        </w:rPr>
        <w:t>万元，比2024年预算数</w:t>
      </w:r>
      <w:r>
        <w:rPr>
          <w:rFonts w:hint="eastAsia" w:ascii="仿宋_GB2312" w:hAnsi="宋体" w:eastAsia="仿宋_GB2312" w:cs="宋体"/>
          <w:kern w:val="0"/>
          <w:sz w:val="32"/>
          <w:szCs w:val="32"/>
          <w:lang w:val="en-US" w:eastAsia="zh-CN"/>
        </w:rPr>
        <w:t>9.00</w:t>
      </w:r>
      <w:r>
        <w:rPr>
          <w:rFonts w:hint="eastAsia" w:ascii="仿宋_GB2312" w:hAnsi="宋体" w:eastAsia="仿宋_GB2312" w:cs="宋体"/>
          <w:kern w:val="0"/>
          <w:sz w:val="32"/>
          <w:szCs w:val="32"/>
        </w:rPr>
        <w:t>万元减少</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万元，主要原因：</w:t>
      </w:r>
      <w:r>
        <w:rPr>
          <w:rFonts w:hint="eastAsia" w:ascii="仿宋_GB2312" w:hAnsi="宋体" w:eastAsia="仿宋_GB2312" w:cs="宋体"/>
          <w:kern w:val="0"/>
          <w:sz w:val="32"/>
          <w:szCs w:val="32"/>
          <w:highlight w:val="none"/>
          <w:lang w:eastAsia="zh-CN"/>
        </w:rPr>
        <w:t>本年度公务用车数量无变化</w:t>
      </w:r>
      <w:r>
        <w:rPr>
          <w:rFonts w:hint="eastAsia" w:ascii="仿宋_GB2312" w:hAnsi="宋体" w:eastAsia="仿宋_GB2312" w:cs="宋体"/>
          <w:kern w:val="0"/>
          <w:sz w:val="32"/>
          <w:szCs w:val="32"/>
        </w:rPr>
        <w:t>。</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五、其他情况说明</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（一）部门政府采购预算说明</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2025年北京市门头沟区农业综合执法大队政府采购预算总额</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（二）政府购买服务预算说明</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2025年北京市门头沟区农业综合执法大队政府购买服务预算总额</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（三）机关运行经费情况说明</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2025年北京市门头沟区农业综合执法大队</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家行政单位以及</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家参公管理事业单位的机关运行经费财政拨款预算49.87万元。</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机关运行经费：是指行政单位（含参照公务员法管理事业单位）使用一般公共预算财政拨款安排的基本支出中的日常公用经费支出，包括办公费、邮电费、差旅费、会议费、福利费、维修费、办公用房水电费、办公用房取暖费、办公用房物业管理费、公务用车运行维护费以及其他费用。</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 xml:space="preserve">（四）项目支出绩效目标情况说明  </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2025年，北京市门头沟区农业综合执法大队填报绩效目标的预算项目</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个，占全部预算项目</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个的</w:t>
      </w:r>
      <w:r>
        <w:rPr>
          <w:rFonts w:hint="eastAsia" w:ascii="仿宋_GB2312" w:hAnsi="宋体" w:eastAsia="仿宋_GB2312" w:cs="宋体"/>
          <w:kern w:val="0"/>
          <w:sz w:val="32"/>
          <w:szCs w:val="32"/>
          <w:lang w:val="en-US" w:eastAsia="zh-CN"/>
        </w:rPr>
        <w:t>100.0</w:t>
      </w:r>
      <w:r>
        <w:rPr>
          <w:rFonts w:hint="eastAsia" w:ascii="仿宋_GB2312" w:hAnsi="宋体" w:eastAsia="仿宋_GB2312" w:cs="宋体"/>
          <w:kern w:val="0"/>
          <w:sz w:val="32"/>
          <w:szCs w:val="32"/>
        </w:rPr>
        <w:t>%。填报绩效目标的项目支出预算10.75万元，占本部门全部项目支出预算的</w:t>
      </w:r>
      <w:r>
        <w:rPr>
          <w:rFonts w:hint="eastAsia" w:ascii="仿宋_GB2312" w:hAnsi="宋体" w:eastAsia="仿宋_GB2312" w:cs="宋体"/>
          <w:kern w:val="0"/>
          <w:sz w:val="32"/>
          <w:szCs w:val="32"/>
          <w:lang w:val="en-US" w:eastAsia="zh-CN"/>
        </w:rPr>
        <w:t>100.0</w:t>
      </w:r>
      <w:r>
        <w:rPr>
          <w:rFonts w:hint="eastAsia" w:ascii="仿宋_GB2312" w:hAnsi="宋体" w:eastAsia="仿宋_GB2312" w:cs="宋体"/>
          <w:kern w:val="0"/>
          <w:sz w:val="32"/>
          <w:szCs w:val="32"/>
        </w:rPr>
        <w:t>%。</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（五）财政拨款重点项目情况</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1.农业执法业务经费项目5.76万元：用于安排年度各项执法任务、检疫、普法宣传和确保执法人员健康检查</w:t>
      </w:r>
      <w:r>
        <w:rPr>
          <w:rFonts w:hint="eastAsia" w:ascii="仿宋_GB2312" w:hAnsi="宋体" w:eastAsia="仿宋_GB2312" w:cs="宋体"/>
          <w:kern w:val="0"/>
          <w:sz w:val="32"/>
          <w:szCs w:val="32"/>
          <w:lang w:eastAsia="zh-CN"/>
        </w:rPr>
        <w:t>工作</w:t>
      </w:r>
      <w:r>
        <w:rPr>
          <w:rFonts w:hint="eastAsia" w:ascii="仿宋_GB2312" w:hAnsi="宋体" w:eastAsia="仿宋_GB2312" w:cs="宋体"/>
          <w:kern w:val="0"/>
          <w:sz w:val="32"/>
          <w:szCs w:val="32"/>
        </w:rPr>
        <w:t>支出。</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2.综合行政执法制式服装和标志集中采购项目4.99万元：用于安排为新进人员新购和为原有执法人员到期更换综合行政执法制式服装和标志，满足执法工作需要支出。</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（六）重点行政事业性收费情况说明</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本部门2025年无重点行政事业性收费。</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（七）国有资产占用情况</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截至2024年底，固定资产总额</w:t>
      </w:r>
      <w:r>
        <w:rPr>
          <w:rFonts w:hint="eastAsia" w:ascii="仿宋_GB2312" w:hAnsi="宋体" w:eastAsia="仿宋_GB2312" w:cs="宋体"/>
          <w:kern w:val="0"/>
          <w:sz w:val="32"/>
          <w:szCs w:val="32"/>
          <w:lang w:val="en-US" w:eastAsia="zh-CN"/>
        </w:rPr>
        <w:t>328.91</w:t>
      </w:r>
      <w:r>
        <w:rPr>
          <w:rFonts w:hint="eastAsia" w:ascii="仿宋_GB2312" w:hAnsi="宋体" w:eastAsia="仿宋_GB2312" w:cs="宋体"/>
          <w:kern w:val="0"/>
          <w:sz w:val="32"/>
          <w:szCs w:val="32"/>
        </w:rPr>
        <w:t>万元，其中：房屋面积</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平方米，</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万元；汽车</w:t>
      </w:r>
      <w:r>
        <w:rPr>
          <w:rFonts w:hint="eastAsia" w:ascii="仿宋_GB2312" w:hAnsi="宋体" w:eastAsia="仿宋_GB2312" w:cs="宋体"/>
          <w:kern w:val="0"/>
          <w:sz w:val="32"/>
          <w:szCs w:val="32"/>
          <w:lang w:val="en-US" w:eastAsia="zh-CN"/>
        </w:rPr>
        <w:t>5</w:t>
      </w:r>
      <w:r>
        <w:rPr>
          <w:rFonts w:hint="eastAsia" w:ascii="仿宋_GB2312" w:hAnsi="宋体" w:eastAsia="仿宋_GB2312" w:cs="宋体"/>
          <w:kern w:val="0"/>
          <w:sz w:val="32"/>
          <w:szCs w:val="32"/>
        </w:rPr>
        <w:t>辆，95.31万元；单价50万元以上的设备</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台（套），</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spacing w:line="560" w:lineRule="exact"/>
        <w:ind w:firstLine="630"/>
        <w:rPr>
          <w:rFonts w:hint="eastAsia" w:ascii="楷体_GB2312" w:eastAsia="楷体_GB2312"/>
          <w:sz w:val="32"/>
          <w:szCs w:val="32"/>
        </w:rPr>
      </w:pPr>
      <w:r>
        <w:rPr>
          <w:rFonts w:hint="eastAsia" w:ascii="楷体_GB2312" w:hAnsi="宋体" w:eastAsia="楷体_GB2312" w:cs="宋体"/>
          <w:kern w:val="0"/>
          <w:sz w:val="32"/>
          <w:szCs w:val="32"/>
        </w:rPr>
        <w:t>（八）</w:t>
      </w:r>
      <w:r>
        <w:rPr>
          <w:rFonts w:hint="eastAsia" w:ascii="楷体_GB2312" w:eastAsia="楷体_GB2312"/>
          <w:sz w:val="32"/>
          <w:szCs w:val="32"/>
        </w:rPr>
        <w:t>专业名词解释</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1.基本支出：指为保障机构正常运转、完成日常工作任务而发生的人员支出和公用支出。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2.项目支出：指在基本支出之外为完成特定行政任务或事业发展目标所发生的支出。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三公”经费：是指单位通过一般公共预算财政拨款资金安排的因公出国（境）费、公务用车购置及运行维护费和公务接待费。其中，因公出国（境）费指单位公务出国（境）的国际旅费、国外城市间交通费、住宿费、伙食费、培训费、公杂费等支出；公务用车购置及运行维护费指单位公务用车车辆购置支出（含车辆购置税）及公务用车燃料费、维修费、过路过桥费、保险费等支出；公务接待费指单位按规定开支的各类公务接待（含外宾接待）支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4.机关运行经费：指为本部门行政单位（含参照公务员法管理事业单位）使用一般公共预算财政拨款安排的基本支出中的日常公用经费。</w:t>
      </w:r>
      <w:r>
        <w:rPr>
          <w:rFonts w:hint="eastAsia" w:ascii="仿宋_GB2312" w:hAnsi="宋体" w:eastAsia="仿宋_GB2312" w:cs="宋体"/>
          <w:kern w:val="0"/>
          <w:sz w:val="32"/>
          <w:szCs w:val="32"/>
        </w:rPr>
        <w:t>包括办公费、邮电费、差旅费、会议费、福利费、维修费、办公用房水电费、办公用房取暖费、办公用房物业管理费、公务用车运行维护费以及其他费用。</w:t>
      </w:r>
      <w:r>
        <w:rPr>
          <w:rFonts w:hint="eastAsia" w:ascii="仿宋_GB2312" w:eastAsia="仿宋_GB2312"/>
          <w:sz w:val="32"/>
          <w:szCs w:val="32"/>
        </w:rPr>
        <w:t xml:space="preserve">  </w:t>
      </w:r>
      <w:r>
        <w:rPr>
          <w:rFonts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农资打假：是针对农资价格大幅上涨，假劣农资充斥市场的状况，国家在全国范围内组织开展的护农维权专项治理行动，严厉打击非法制售假劣农资的违法犯罪活动。</w:t>
      </w:r>
    </w:p>
    <w:p>
      <w:pPr>
        <w:spacing w:line="500" w:lineRule="exact"/>
        <w:ind w:firstLine="480" w:firstLineChars="150"/>
        <w:rPr>
          <w:rFonts w:hint="eastAsia" w:ascii="仿宋_GB2312" w:hAnsi="宋体" w:eastAsia="仿宋_GB2312" w:cs="宋体"/>
          <w:color w:val="FF0000"/>
          <w:sz w:val="32"/>
          <w:szCs w:val="32"/>
        </w:rPr>
      </w:pPr>
    </w:p>
    <w:p>
      <w:pPr>
        <w:spacing w:line="500" w:lineRule="exact"/>
        <w:jc w:val="center"/>
        <w:rPr>
          <w:rFonts w:ascii="华文中宋" w:hAnsi="华文中宋" w:eastAsia="华文中宋"/>
          <w:b/>
          <w:sz w:val="36"/>
          <w:szCs w:val="36"/>
        </w:rPr>
      </w:pPr>
      <w:r>
        <w:rPr>
          <w:rFonts w:hint="eastAsia" w:ascii="华文中宋" w:hAnsi="华文中宋" w:eastAsia="华文中宋"/>
          <w:b/>
          <w:sz w:val="36"/>
          <w:szCs w:val="36"/>
        </w:rPr>
        <w:t>　第二部分  2025年度北京市门头沟区农业综合执法大队单位预算报表</w:t>
      </w:r>
    </w:p>
    <w:p>
      <w:pPr>
        <w:spacing w:line="500" w:lineRule="exact"/>
        <w:jc w:val="center"/>
        <w:rPr>
          <w:rFonts w:ascii="仿宋_GB2312" w:eastAsia="仿宋_GB2312"/>
          <w:sz w:val="28"/>
          <w:szCs w:val="32"/>
        </w:rPr>
      </w:pP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附件：2025年度</w:t>
      </w:r>
      <w:bookmarkStart w:id="0" w:name="_Hlt61896700"/>
      <w:bookmarkStart w:id="1" w:name="_Hlt61896701"/>
      <w:r>
        <w:rPr>
          <w:rFonts w:hint="eastAsia" w:ascii="仿宋_GB2312" w:eastAsia="仿宋_GB2312"/>
          <w:sz w:val="32"/>
          <w:szCs w:val="32"/>
        </w:rPr>
        <w:t>北京市门头沟区农业综合执法大队单位预</w:t>
      </w:r>
      <w:bookmarkEnd w:id="0"/>
      <w:bookmarkEnd w:id="1"/>
      <w:r>
        <w:rPr>
          <w:rFonts w:hint="eastAsia" w:ascii="仿宋_GB2312" w:eastAsia="仿宋_GB2312"/>
          <w:sz w:val="32"/>
          <w:szCs w:val="32"/>
        </w:rPr>
        <w:t>算报表</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287" w:usb1="080F0000" w:usb2="00000010" w:usb3="00000000" w:csb0="0004009F" w:csb1="00000000"/>
  </w:font>
  <w:font w:name="仿宋_GB2312">
    <w:altName w:val="仿宋"/>
    <w:panose1 w:val="02010609030101010101"/>
    <w:charset w:val="86"/>
    <w:family w:val="modern"/>
    <w:pitch w:val="default"/>
    <w:sig w:usb0="00000001" w:usb1="080E0000" w:usb2="00000010" w:usb3="00000000" w:csb0="00040000" w:csb1="00000000"/>
  </w:font>
  <w:font w:name="楷体_GB2312">
    <w:altName w:val="楷体"/>
    <w:panose1 w:val="02010609030101010101"/>
    <w:charset w:val="86"/>
    <w:family w:val="modern"/>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fldChar w:fldCharType="begin"/>
    </w:r>
    <w:r>
      <w:rPr>
        <w:rStyle w:val="7"/>
      </w:rPr>
      <w:instrText xml:space="preserve">PAGE  </w:instrText>
    </w:r>
    <w:r>
      <w:fldChar w:fldCharType="separate"/>
    </w:r>
    <w:r>
      <w:rPr>
        <w:rStyle w:val="7"/>
        <w:lang/>
      </w:rPr>
      <w:t>6</w:t>
    </w:r>
    <w: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fldChar w:fldCharType="begin"/>
    </w:r>
    <w:r>
      <w:rPr>
        <w:rStyle w:val="7"/>
      </w:rPr>
      <w:instrText xml:space="preserve">PAGE  </w:instrText>
    </w:r>
    <w:r>
      <w:fldChar w:fldCharType="separate"/>
    </w:r>
    <w:r>
      <w:rPr>
        <w:rStyle w:val="7"/>
        <w:lang/>
      </w:rPr>
      <w:t>1</w:t>
    </w:r>
    <w: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99D"/>
    <w:rsid w:val="00010198"/>
    <w:rsid w:val="0001209E"/>
    <w:rsid w:val="00014A90"/>
    <w:rsid w:val="00022010"/>
    <w:rsid w:val="000226F4"/>
    <w:rsid w:val="0002435B"/>
    <w:rsid w:val="00050E6E"/>
    <w:rsid w:val="000549D5"/>
    <w:rsid w:val="0005765D"/>
    <w:rsid w:val="00063B0E"/>
    <w:rsid w:val="00082B23"/>
    <w:rsid w:val="00096CD7"/>
    <w:rsid w:val="000B04F2"/>
    <w:rsid w:val="000B12C4"/>
    <w:rsid w:val="000B193C"/>
    <w:rsid w:val="000B689A"/>
    <w:rsid w:val="000C4A61"/>
    <w:rsid w:val="000C4C3F"/>
    <w:rsid w:val="000C5CDB"/>
    <w:rsid w:val="000C6D0D"/>
    <w:rsid w:val="000D1ACF"/>
    <w:rsid w:val="000D2B42"/>
    <w:rsid w:val="000D46EA"/>
    <w:rsid w:val="000D51B7"/>
    <w:rsid w:val="000D69F4"/>
    <w:rsid w:val="000E6C41"/>
    <w:rsid w:val="000F751D"/>
    <w:rsid w:val="0010592C"/>
    <w:rsid w:val="00111571"/>
    <w:rsid w:val="00114903"/>
    <w:rsid w:val="00120AD8"/>
    <w:rsid w:val="001345A9"/>
    <w:rsid w:val="00134E89"/>
    <w:rsid w:val="0014042F"/>
    <w:rsid w:val="00153961"/>
    <w:rsid w:val="00165F6C"/>
    <w:rsid w:val="00171A1E"/>
    <w:rsid w:val="00180810"/>
    <w:rsid w:val="00186665"/>
    <w:rsid w:val="001869BC"/>
    <w:rsid w:val="00187942"/>
    <w:rsid w:val="001A5084"/>
    <w:rsid w:val="001B1D88"/>
    <w:rsid w:val="001B5D60"/>
    <w:rsid w:val="001B6BCA"/>
    <w:rsid w:val="001D270B"/>
    <w:rsid w:val="001D5AA8"/>
    <w:rsid w:val="001F6B07"/>
    <w:rsid w:val="00202B82"/>
    <w:rsid w:val="0021570C"/>
    <w:rsid w:val="00216449"/>
    <w:rsid w:val="002200CB"/>
    <w:rsid w:val="002309DA"/>
    <w:rsid w:val="00240BEB"/>
    <w:rsid w:val="00242984"/>
    <w:rsid w:val="00244F6A"/>
    <w:rsid w:val="0025290E"/>
    <w:rsid w:val="00270E0F"/>
    <w:rsid w:val="0027525E"/>
    <w:rsid w:val="002B5951"/>
    <w:rsid w:val="002F7DF4"/>
    <w:rsid w:val="003067DB"/>
    <w:rsid w:val="00311990"/>
    <w:rsid w:val="00326CA9"/>
    <w:rsid w:val="0033728C"/>
    <w:rsid w:val="00354CDE"/>
    <w:rsid w:val="00360946"/>
    <w:rsid w:val="00372D10"/>
    <w:rsid w:val="00373E99"/>
    <w:rsid w:val="00381798"/>
    <w:rsid w:val="00386DDD"/>
    <w:rsid w:val="003907DD"/>
    <w:rsid w:val="00395536"/>
    <w:rsid w:val="0039788E"/>
    <w:rsid w:val="003A51BE"/>
    <w:rsid w:val="003B2107"/>
    <w:rsid w:val="003D04C6"/>
    <w:rsid w:val="003D16CD"/>
    <w:rsid w:val="003D43CC"/>
    <w:rsid w:val="003E4135"/>
    <w:rsid w:val="003E6219"/>
    <w:rsid w:val="003F1E43"/>
    <w:rsid w:val="004018BE"/>
    <w:rsid w:val="00402B00"/>
    <w:rsid w:val="004035F0"/>
    <w:rsid w:val="00404103"/>
    <w:rsid w:val="00412A3B"/>
    <w:rsid w:val="004213E7"/>
    <w:rsid w:val="00421AE2"/>
    <w:rsid w:val="00424E85"/>
    <w:rsid w:val="0042599D"/>
    <w:rsid w:val="0044276B"/>
    <w:rsid w:val="0044548D"/>
    <w:rsid w:val="00451B2C"/>
    <w:rsid w:val="00455FFC"/>
    <w:rsid w:val="004615B8"/>
    <w:rsid w:val="00465EC0"/>
    <w:rsid w:val="00466271"/>
    <w:rsid w:val="00467168"/>
    <w:rsid w:val="0047359C"/>
    <w:rsid w:val="00477190"/>
    <w:rsid w:val="0048015A"/>
    <w:rsid w:val="004829A7"/>
    <w:rsid w:val="00484739"/>
    <w:rsid w:val="00487CE0"/>
    <w:rsid w:val="00491E0C"/>
    <w:rsid w:val="00494106"/>
    <w:rsid w:val="00495576"/>
    <w:rsid w:val="004A40F0"/>
    <w:rsid w:val="004A68D5"/>
    <w:rsid w:val="004B0DE2"/>
    <w:rsid w:val="004F20AF"/>
    <w:rsid w:val="005001E3"/>
    <w:rsid w:val="00502EF4"/>
    <w:rsid w:val="00503188"/>
    <w:rsid w:val="00504BE7"/>
    <w:rsid w:val="00515D11"/>
    <w:rsid w:val="00520724"/>
    <w:rsid w:val="00530700"/>
    <w:rsid w:val="00533C9C"/>
    <w:rsid w:val="00540278"/>
    <w:rsid w:val="005528F0"/>
    <w:rsid w:val="0055485D"/>
    <w:rsid w:val="00555610"/>
    <w:rsid w:val="00555AC1"/>
    <w:rsid w:val="0056308D"/>
    <w:rsid w:val="00565422"/>
    <w:rsid w:val="00566322"/>
    <w:rsid w:val="00572AC5"/>
    <w:rsid w:val="00580869"/>
    <w:rsid w:val="00581627"/>
    <w:rsid w:val="00583717"/>
    <w:rsid w:val="0058441F"/>
    <w:rsid w:val="0058535D"/>
    <w:rsid w:val="005A2B0F"/>
    <w:rsid w:val="005A2FA7"/>
    <w:rsid w:val="005B7249"/>
    <w:rsid w:val="005E25A7"/>
    <w:rsid w:val="005E388C"/>
    <w:rsid w:val="005E3DE9"/>
    <w:rsid w:val="005E6F67"/>
    <w:rsid w:val="005E77EA"/>
    <w:rsid w:val="005F0DE6"/>
    <w:rsid w:val="00611FAB"/>
    <w:rsid w:val="006122FF"/>
    <w:rsid w:val="006146EE"/>
    <w:rsid w:val="006239CE"/>
    <w:rsid w:val="00623A0C"/>
    <w:rsid w:val="00627867"/>
    <w:rsid w:val="00631399"/>
    <w:rsid w:val="00634372"/>
    <w:rsid w:val="006468D7"/>
    <w:rsid w:val="00652CDE"/>
    <w:rsid w:val="0065420B"/>
    <w:rsid w:val="00654F14"/>
    <w:rsid w:val="00674EB5"/>
    <w:rsid w:val="006823D7"/>
    <w:rsid w:val="0069083E"/>
    <w:rsid w:val="0069590C"/>
    <w:rsid w:val="006A02FF"/>
    <w:rsid w:val="006A7BEA"/>
    <w:rsid w:val="006B4F78"/>
    <w:rsid w:val="006C1D0A"/>
    <w:rsid w:val="006D109D"/>
    <w:rsid w:val="006D1FCB"/>
    <w:rsid w:val="006D3E08"/>
    <w:rsid w:val="006E359E"/>
    <w:rsid w:val="006E48F6"/>
    <w:rsid w:val="006F6FCC"/>
    <w:rsid w:val="007024EB"/>
    <w:rsid w:val="00704603"/>
    <w:rsid w:val="0070717A"/>
    <w:rsid w:val="007112F4"/>
    <w:rsid w:val="007212BE"/>
    <w:rsid w:val="00722993"/>
    <w:rsid w:val="007233E2"/>
    <w:rsid w:val="00731988"/>
    <w:rsid w:val="0073670C"/>
    <w:rsid w:val="00744C06"/>
    <w:rsid w:val="00745DD9"/>
    <w:rsid w:val="00747CDB"/>
    <w:rsid w:val="007554DC"/>
    <w:rsid w:val="00777AEF"/>
    <w:rsid w:val="00783B23"/>
    <w:rsid w:val="00784B57"/>
    <w:rsid w:val="007964CB"/>
    <w:rsid w:val="00797C9F"/>
    <w:rsid w:val="007A0BE9"/>
    <w:rsid w:val="007A21BC"/>
    <w:rsid w:val="007A39B1"/>
    <w:rsid w:val="007B306B"/>
    <w:rsid w:val="007B4DD1"/>
    <w:rsid w:val="007C3E71"/>
    <w:rsid w:val="007C7017"/>
    <w:rsid w:val="007D3A8A"/>
    <w:rsid w:val="007E58FE"/>
    <w:rsid w:val="007F331F"/>
    <w:rsid w:val="008066C3"/>
    <w:rsid w:val="00810E5C"/>
    <w:rsid w:val="008113FF"/>
    <w:rsid w:val="00811C75"/>
    <w:rsid w:val="00813BBC"/>
    <w:rsid w:val="008227B1"/>
    <w:rsid w:val="00830DB2"/>
    <w:rsid w:val="00835CA7"/>
    <w:rsid w:val="00836D84"/>
    <w:rsid w:val="00851DCD"/>
    <w:rsid w:val="00864AA1"/>
    <w:rsid w:val="008720A5"/>
    <w:rsid w:val="008721A8"/>
    <w:rsid w:val="0089181D"/>
    <w:rsid w:val="00894B51"/>
    <w:rsid w:val="008A6867"/>
    <w:rsid w:val="008A73B2"/>
    <w:rsid w:val="008A7D0C"/>
    <w:rsid w:val="008B1C9E"/>
    <w:rsid w:val="008B5539"/>
    <w:rsid w:val="008C009D"/>
    <w:rsid w:val="008C63B9"/>
    <w:rsid w:val="008C7FBD"/>
    <w:rsid w:val="008C7FE4"/>
    <w:rsid w:val="008D62F3"/>
    <w:rsid w:val="008E1E72"/>
    <w:rsid w:val="008E3376"/>
    <w:rsid w:val="008E3AF6"/>
    <w:rsid w:val="00901201"/>
    <w:rsid w:val="0090553E"/>
    <w:rsid w:val="00905B40"/>
    <w:rsid w:val="00906BF2"/>
    <w:rsid w:val="00906D51"/>
    <w:rsid w:val="009075FC"/>
    <w:rsid w:val="00925D3F"/>
    <w:rsid w:val="00934F5B"/>
    <w:rsid w:val="009500F7"/>
    <w:rsid w:val="0095111B"/>
    <w:rsid w:val="00953377"/>
    <w:rsid w:val="00954E2B"/>
    <w:rsid w:val="00955BAB"/>
    <w:rsid w:val="009603F8"/>
    <w:rsid w:val="009612FE"/>
    <w:rsid w:val="009642B1"/>
    <w:rsid w:val="00966C21"/>
    <w:rsid w:val="009677FD"/>
    <w:rsid w:val="009766C2"/>
    <w:rsid w:val="009866D4"/>
    <w:rsid w:val="00987C2D"/>
    <w:rsid w:val="009941D6"/>
    <w:rsid w:val="00996383"/>
    <w:rsid w:val="009A10C9"/>
    <w:rsid w:val="009A29D0"/>
    <w:rsid w:val="009B2717"/>
    <w:rsid w:val="009B307D"/>
    <w:rsid w:val="009C2AE1"/>
    <w:rsid w:val="009C5C7F"/>
    <w:rsid w:val="009D2D56"/>
    <w:rsid w:val="009D5FD5"/>
    <w:rsid w:val="009E406F"/>
    <w:rsid w:val="00A22380"/>
    <w:rsid w:val="00A25FFD"/>
    <w:rsid w:val="00A33B78"/>
    <w:rsid w:val="00A63B62"/>
    <w:rsid w:val="00A640D2"/>
    <w:rsid w:val="00A67872"/>
    <w:rsid w:val="00A71D9E"/>
    <w:rsid w:val="00A7725D"/>
    <w:rsid w:val="00A82B7D"/>
    <w:rsid w:val="00A92CD7"/>
    <w:rsid w:val="00AA3EC4"/>
    <w:rsid w:val="00AB54A9"/>
    <w:rsid w:val="00AB54E9"/>
    <w:rsid w:val="00AB5EBD"/>
    <w:rsid w:val="00AB6CE9"/>
    <w:rsid w:val="00AC7ADF"/>
    <w:rsid w:val="00AD03A5"/>
    <w:rsid w:val="00AD5A1B"/>
    <w:rsid w:val="00AF60C1"/>
    <w:rsid w:val="00B062D8"/>
    <w:rsid w:val="00B1496A"/>
    <w:rsid w:val="00B33752"/>
    <w:rsid w:val="00B5643A"/>
    <w:rsid w:val="00B570D6"/>
    <w:rsid w:val="00B62B47"/>
    <w:rsid w:val="00B66A6D"/>
    <w:rsid w:val="00B67800"/>
    <w:rsid w:val="00B71F10"/>
    <w:rsid w:val="00B73C25"/>
    <w:rsid w:val="00B77AC4"/>
    <w:rsid w:val="00B81E19"/>
    <w:rsid w:val="00B85EC9"/>
    <w:rsid w:val="00B90ADA"/>
    <w:rsid w:val="00B91E2D"/>
    <w:rsid w:val="00B94564"/>
    <w:rsid w:val="00B94F84"/>
    <w:rsid w:val="00BA0695"/>
    <w:rsid w:val="00BA4B11"/>
    <w:rsid w:val="00BA7057"/>
    <w:rsid w:val="00BA754C"/>
    <w:rsid w:val="00BB247D"/>
    <w:rsid w:val="00BB6B7E"/>
    <w:rsid w:val="00BD0512"/>
    <w:rsid w:val="00BD5CE1"/>
    <w:rsid w:val="00BE3304"/>
    <w:rsid w:val="00C03453"/>
    <w:rsid w:val="00C13E3E"/>
    <w:rsid w:val="00C31C79"/>
    <w:rsid w:val="00C42F84"/>
    <w:rsid w:val="00C547AD"/>
    <w:rsid w:val="00C61571"/>
    <w:rsid w:val="00C7209F"/>
    <w:rsid w:val="00C75BF6"/>
    <w:rsid w:val="00C7639C"/>
    <w:rsid w:val="00C84415"/>
    <w:rsid w:val="00C84DFC"/>
    <w:rsid w:val="00C90DF3"/>
    <w:rsid w:val="00C95B57"/>
    <w:rsid w:val="00C974BA"/>
    <w:rsid w:val="00CA2719"/>
    <w:rsid w:val="00CB4D9F"/>
    <w:rsid w:val="00CC288B"/>
    <w:rsid w:val="00CC72EC"/>
    <w:rsid w:val="00CC7584"/>
    <w:rsid w:val="00CD71AA"/>
    <w:rsid w:val="00CF1618"/>
    <w:rsid w:val="00CF290D"/>
    <w:rsid w:val="00CF41E1"/>
    <w:rsid w:val="00CF60A3"/>
    <w:rsid w:val="00D05FBC"/>
    <w:rsid w:val="00D17B3B"/>
    <w:rsid w:val="00D2257F"/>
    <w:rsid w:val="00D25D07"/>
    <w:rsid w:val="00D26D27"/>
    <w:rsid w:val="00D31BB2"/>
    <w:rsid w:val="00D36563"/>
    <w:rsid w:val="00D45FCD"/>
    <w:rsid w:val="00D469A5"/>
    <w:rsid w:val="00D53652"/>
    <w:rsid w:val="00D53A29"/>
    <w:rsid w:val="00D67552"/>
    <w:rsid w:val="00D70F66"/>
    <w:rsid w:val="00D76C49"/>
    <w:rsid w:val="00D81899"/>
    <w:rsid w:val="00D83217"/>
    <w:rsid w:val="00D8702A"/>
    <w:rsid w:val="00D911EE"/>
    <w:rsid w:val="00D97BF4"/>
    <w:rsid w:val="00DC318E"/>
    <w:rsid w:val="00DC41B3"/>
    <w:rsid w:val="00DD1A27"/>
    <w:rsid w:val="00DD7E3D"/>
    <w:rsid w:val="00DE3D2D"/>
    <w:rsid w:val="00DE4342"/>
    <w:rsid w:val="00DF0BF6"/>
    <w:rsid w:val="00DF6E9C"/>
    <w:rsid w:val="00E34AA1"/>
    <w:rsid w:val="00E40E4B"/>
    <w:rsid w:val="00E4129D"/>
    <w:rsid w:val="00E507D9"/>
    <w:rsid w:val="00E606DB"/>
    <w:rsid w:val="00E60EE8"/>
    <w:rsid w:val="00E61875"/>
    <w:rsid w:val="00E64422"/>
    <w:rsid w:val="00E728DC"/>
    <w:rsid w:val="00E8183A"/>
    <w:rsid w:val="00E84745"/>
    <w:rsid w:val="00E84E26"/>
    <w:rsid w:val="00E95DC4"/>
    <w:rsid w:val="00ED3BEC"/>
    <w:rsid w:val="00F00355"/>
    <w:rsid w:val="00F00C46"/>
    <w:rsid w:val="00F029AF"/>
    <w:rsid w:val="00F03665"/>
    <w:rsid w:val="00F064DF"/>
    <w:rsid w:val="00F12FB6"/>
    <w:rsid w:val="00F22A04"/>
    <w:rsid w:val="00F248CB"/>
    <w:rsid w:val="00F31028"/>
    <w:rsid w:val="00F4027B"/>
    <w:rsid w:val="00F41058"/>
    <w:rsid w:val="00F44327"/>
    <w:rsid w:val="00F4792A"/>
    <w:rsid w:val="00F57E5E"/>
    <w:rsid w:val="00F6585A"/>
    <w:rsid w:val="00F871CF"/>
    <w:rsid w:val="00F908D1"/>
    <w:rsid w:val="00FB3DBF"/>
    <w:rsid w:val="00FB416D"/>
    <w:rsid w:val="00FB6419"/>
    <w:rsid w:val="00FC5B38"/>
    <w:rsid w:val="00FC6D7F"/>
    <w:rsid w:val="00FD067E"/>
    <w:rsid w:val="00FD22DB"/>
    <w:rsid w:val="00FD7EDD"/>
    <w:rsid w:val="00FE3A71"/>
    <w:rsid w:val="00FE43E3"/>
    <w:rsid w:val="03252B96"/>
    <w:rsid w:val="03A941F6"/>
    <w:rsid w:val="03F65F06"/>
    <w:rsid w:val="1C584AB9"/>
    <w:rsid w:val="29C70478"/>
    <w:rsid w:val="2AF4308A"/>
    <w:rsid w:val="3AE26292"/>
    <w:rsid w:val="3C7B7B81"/>
    <w:rsid w:val="44482E95"/>
    <w:rsid w:val="4C042C47"/>
    <w:rsid w:val="4CD2604C"/>
    <w:rsid w:val="53423F34"/>
    <w:rsid w:val="591A6A6D"/>
    <w:rsid w:val="5CDC7301"/>
    <w:rsid w:val="682E7381"/>
    <w:rsid w:val="6A12468C"/>
    <w:rsid w:val="6A7638BA"/>
    <w:rsid w:val="740358C1"/>
    <w:rsid w:val="78E15EE6"/>
    <w:rsid w:val="79C425AD"/>
    <w:rsid w:val="7E12706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6">
    <w:name w:val="Default Paragraph Font"/>
    <w:semiHidden/>
    <w:uiPriority w:val="0"/>
  </w:style>
  <w:style w:type="table" w:default="1" w:styleId="9">
    <w:name w:val="Normal Table"/>
    <w:semiHidden/>
    <w:uiPriority w:val="0"/>
    <w:tblPr>
      <w:tblStyle w:val="9"/>
      <w:tblLayout w:type="fixed"/>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jc w:val="left"/>
    </w:pPr>
    <w:rPr>
      <w:rFonts w:ascii="Calibri" w:hAnsi="Calibri" w:eastAsia="宋体"/>
      <w:kern w:val="0"/>
      <w:sz w:val="24"/>
    </w:rPr>
  </w:style>
  <w:style w:type="character" w:styleId="7">
    <w:name w:val="page number"/>
    <w:basedOn w:val="6"/>
    <w:uiPriority w:val="0"/>
  </w:style>
  <w:style w:type="character" w:styleId="8">
    <w:name w:val="Hyperlink"/>
    <w:uiPriority w:val="0"/>
    <w:rPr>
      <w:color w:val="000000"/>
      <w:u w:val="none"/>
    </w:rPr>
  </w:style>
  <w:style w:type="character" w:customStyle="1" w:styleId="10">
    <w:name w:val="页眉 Char"/>
    <w:link w:val="4"/>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402</Words>
  <Characters>2296</Characters>
  <Lines>19</Lines>
  <Paragraphs>5</Paragraphs>
  <ScaleCrop>false</ScaleCrop>
  <LinksUpToDate>false</LinksUpToDate>
  <CharactersWithSpaces>2693</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2017-11-23T08:10:00Z</dcterms:created>
  <dc:creator>高山</dc:creator>
  <cp:lastModifiedBy>NYNCJ-ZYJ</cp:lastModifiedBy>
  <cp:lastPrinted>2015-03-16T01:56:00Z</cp:lastPrinted>
  <dcterms:modified xsi:type="dcterms:W3CDTF">2025-02-11T03:02:51Z</dcterms:modified>
  <dc:title>门头沟区民防局2012年预算情况说明</dc:title>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