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bookmarkStart w:id="2" w:name="_GoBack"/>
      <w:bookmarkEnd w:id="2"/>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80" w:firstLineChars="150"/>
        <w:jc w:val="left"/>
        <w:rPr>
          <w:rFonts w:ascii="黑体" w:hAnsi="黑体" w:eastAsia="黑体"/>
          <w:sz w:val="32"/>
          <w:szCs w:val="32"/>
        </w:rPr>
      </w:pPr>
      <w:r>
        <w:rPr>
          <w:rFonts w:hint="eastAsia" w:ascii="黑体" w:hAnsi="黑体" w:eastAsia="黑体"/>
          <w:sz w:val="32"/>
          <w:szCs w:val="32"/>
        </w:rPr>
        <w:t>第一部分 2025年度部门预算情况说明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一、部门情况</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二、收入预算说明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三、支出预算说明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四</w:t>
      </w:r>
      <w:r>
        <w:rPr>
          <w:rFonts w:ascii="仿宋_GB2312" w:eastAsia="仿宋_GB2312"/>
          <w:sz w:val="32"/>
          <w:szCs w:val="32"/>
        </w:rPr>
        <w:t>、</w:t>
      </w:r>
      <w:r>
        <w:rPr>
          <w:rFonts w:hint="eastAsia" w:ascii="仿宋_GB2312" w:eastAsia="仿宋_GB2312"/>
          <w:sz w:val="32"/>
          <w:szCs w:val="32"/>
        </w:rPr>
        <w:t>部门"三公"经费财政拨款预算说明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五</w:t>
      </w:r>
      <w:r>
        <w:rPr>
          <w:rFonts w:ascii="仿宋_GB2312" w:eastAsia="仿宋_GB2312"/>
          <w:sz w:val="32"/>
          <w:szCs w:val="32"/>
        </w:rPr>
        <w:t>、</w:t>
      </w:r>
      <w:r>
        <w:rPr>
          <w:rFonts w:hint="eastAsia" w:ascii="仿宋_GB2312" w:eastAsia="仿宋_GB2312"/>
          <w:sz w:val="32"/>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80" w:firstLineChars="150"/>
        <w:jc w:val="left"/>
        <w:rPr>
          <w:rFonts w:hint="eastAsia" w:ascii="黑体" w:hAnsi="黑体" w:eastAsia="黑体"/>
          <w:b w:val="0"/>
          <w:bCs w:val="0"/>
          <w:sz w:val="32"/>
          <w:szCs w:val="32"/>
        </w:rPr>
      </w:pPr>
      <w:r>
        <w:rPr>
          <w:rFonts w:hint="eastAsia" w:ascii="黑体" w:hAnsi="黑体" w:eastAsia="黑体"/>
          <w:b w:val="0"/>
          <w:bCs w:val="0"/>
          <w:sz w:val="32"/>
          <w:szCs w:val="32"/>
        </w:rPr>
        <w:t>第二部分 2025年度部门预算报表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1.收支总表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2.收入总表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3.本年支出预算总表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4.项目支出表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5.政府采购预算明细表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6.财政拨款</w:t>
      </w:r>
      <w:r>
        <w:rPr>
          <w:rFonts w:ascii="仿宋_GB2312" w:eastAsia="仿宋_GB2312"/>
          <w:sz w:val="32"/>
          <w:szCs w:val="32"/>
        </w:rPr>
        <w:t>收支预算</w:t>
      </w:r>
      <w:r>
        <w:rPr>
          <w:rFonts w:hint="eastAsia" w:ascii="仿宋_GB2312" w:eastAsia="仿宋_GB2312"/>
          <w:sz w:val="32"/>
          <w:szCs w:val="32"/>
        </w:rPr>
        <w:t>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7.一般公共预算财政拨款支出表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8.一般公共预算财政拨款基本支出表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9.政府性基金预算财政拨款支出表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10.国有资本经营预算财政拨款支出表</w:t>
      </w:r>
    </w:p>
    <w:p>
      <w:pPr>
        <w:spacing w:line="460" w:lineRule="exact"/>
        <w:ind w:firstLine="480" w:firstLineChars="150"/>
        <w:jc w:val="left"/>
        <w:rPr>
          <w:rFonts w:hint="eastAsia" w:ascii="仿宋_GB2312" w:eastAsia="仿宋_GB2312"/>
          <w:sz w:val="32"/>
          <w:szCs w:val="32"/>
        </w:rPr>
      </w:pPr>
      <w:r>
        <w:rPr>
          <w:rFonts w:hint="eastAsia" w:ascii="仿宋_GB2312" w:eastAsia="仿宋_GB2312"/>
          <w:sz w:val="32"/>
          <w:szCs w:val="32"/>
        </w:rPr>
        <w:t>11.财政拨款“三公”经费支出表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12.政府购买服务预算财政拨款明细表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13.部门</w:t>
      </w:r>
      <w:r>
        <w:rPr>
          <w:rFonts w:ascii="仿宋_GB2312" w:eastAsia="仿宋_GB2312"/>
          <w:sz w:val="32"/>
          <w:szCs w:val="32"/>
        </w:rPr>
        <w:t>（</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整体支出绩效目标申报表</w:t>
      </w:r>
    </w:p>
    <w:p>
      <w:pPr>
        <w:spacing w:line="460" w:lineRule="exact"/>
        <w:ind w:firstLine="480" w:firstLineChars="150"/>
        <w:jc w:val="left"/>
        <w:rPr>
          <w:rFonts w:hint="eastAsia" w:ascii="仿宋_GB2312" w:eastAsia="仿宋_GB2312"/>
          <w:sz w:val="32"/>
          <w:szCs w:val="32"/>
        </w:rPr>
      </w:pPr>
      <w:r>
        <w:rPr>
          <w:rFonts w:hint="eastAsia" w:ascii="仿宋_GB2312" w:eastAsia="仿宋_GB2312"/>
          <w:sz w:val="32"/>
          <w:szCs w:val="32"/>
        </w:rPr>
        <w:t>14.项目支出绩效表</w:t>
      </w:r>
    </w:p>
    <w:tbl>
      <w:tblPr>
        <w:tblStyle w:val="12"/>
        <w:tblW w:w="11320" w:type="dxa"/>
        <w:tblInd w:w="108" w:type="dxa"/>
        <w:tblLayout w:type="fixed"/>
        <w:tblCellMar>
          <w:top w:w="0" w:type="dxa"/>
          <w:left w:w="108" w:type="dxa"/>
          <w:bottom w:w="0" w:type="dxa"/>
          <w:right w:w="108" w:type="dxa"/>
        </w:tblCellMar>
      </w:tblPr>
      <w:tblGrid>
        <w:gridCol w:w="11320"/>
      </w:tblGrid>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widowControl/>
              <w:jc w:val="left"/>
              <w:rPr>
                <w:rFonts w:hint="eastAsia" w:ascii="仿宋_GB2312" w:eastAsia="仿宋_GB2312"/>
                <w:sz w:val="28"/>
                <w:szCs w:val="32"/>
              </w:rPr>
            </w:pPr>
          </w:p>
        </w:tc>
      </w:tr>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spacing w:line="460" w:lineRule="exact"/>
              <w:ind w:firstLine="420" w:firstLineChars="150"/>
              <w:jc w:val="left"/>
              <w:rPr>
                <w:rFonts w:hint="eastAsia"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hint="eastAsia"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2025年度门头沟</w:t>
      </w:r>
      <w:r>
        <w:rPr>
          <w:rFonts w:hint="eastAsia" w:ascii="华文中宋" w:hAnsi="华文中宋" w:eastAsia="华文中宋"/>
          <w:b/>
          <w:sz w:val="36"/>
          <w:szCs w:val="36"/>
        </w:rPr>
        <w:t>区</w:t>
      </w:r>
      <w:r>
        <w:rPr>
          <w:rFonts w:hint="eastAsia" w:ascii="华文中宋" w:hAnsi="华文中宋" w:eastAsia="华文中宋"/>
          <w:b/>
          <w:sz w:val="36"/>
          <w:szCs w:val="36"/>
          <w:lang w:eastAsia="zh-CN"/>
        </w:rPr>
        <w:t>农业农村局（本级）单位</w:t>
      </w:r>
      <w:r>
        <w:rPr>
          <w:rFonts w:hint="eastAsia" w:ascii="华文中宋" w:hAnsi="华文中宋" w:eastAsia="华文中宋"/>
          <w:b/>
          <w:sz w:val="36"/>
          <w:szCs w:val="36"/>
        </w:rPr>
        <w:t>预算情况说明</w:t>
      </w:r>
    </w:p>
    <w:p>
      <w:pPr>
        <w:widowControl/>
        <w:spacing w:line="560" w:lineRule="exact"/>
        <w:ind w:firstLine="560" w:firstLineChars="200"/>
        <w:rPr>
          <w:rFonts w:ascii="宋体" w:hAnsi="宋体"/>
          <w:sz w:val="28"/>
          <w:szCs w:val="32"/>
        </w:rPr>
      </w:pP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一、部门情况</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（一）部门机构设置、职责</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eastAsia="zh-CN"/>
        </w:rPr>
        <w:t>北京市门头沟区农业农村局（本级）</w:t>
      </w:r>
      <w:r>
        <w:rPr>
          <w:rFonts w:hint="eastAsia" w:ascii="仿宋_GB2312" w:hAnsi="宋体" w:eastAsia="仿宋_GB2312" w:cs="宋体"/>
          <w:kern w:val="0"/>
          <w:sz w:val="32"/>
          <w:szCs w:val="32"/>
          <w:lang w:val="en-US" w:eastAsia="zh-CN" w:bidi="ar-SA"/>
        </w:rPr>
        <w:t>本部门共设1个行政单位，下设0个事业单位。</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北京市门头沟区农业农村局（本级）部门职责：</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贯彻执行国家关于“三农”工作的发展战略、中长期规划、重大政策及有关法律法规、规章。</w:t>
      </w:r>
      <w:r>
        <w:rPr>
          <w:rFonts w:hint="eastAsia" w:ascii="仿宋_GB2312" w:eastAsia="仿宋_GB2312"/>
          <w:sz w:val="32"/>
          <w:szCs w:val="32"/>
          <w:lang w:eastAsia="zh-CN"/>
        </w:rPr>
        <w:t>贯彻</w:t>
      </w:r>
      <w:r>
        <w:rPr>
          <w:rFonts w:hint="eastAsia" w:ascii="仿宋_GB2312" w:eastAsia="仿宋_GB2312"/>
          <w:sz w:val="32"/>
          <w:szCs w:val="32"/>
        </w:rPr>
        <w:t>落实北京市涉农的价格、收储、金融保险等政策。组织制定本区农业农村相关政策，并协调落实。指导农业综合执法工作。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统筹推动发展本区农村社会事业、农村公共服务、农村文化、农村基础设施。牵头组织改善农村人居环境相关工作。参与编制、修订村镇建设规划，协调推进村镇建设。指导传统村落保护发展工作。统筹协调农民增收和低收入农户帮扶工作。组织农业资源区划工作，指导农业区域协调发展。</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负责指导本区农村合作经济经营管理工作。贯彻落实深化农村经济体制改革和巩固完善农村基本经营制度的政策。负责农民承包地、农村宅基地改革并指导相关管理工作。负责农村集体产权制度改革，指导农村集体经济组织发展和集体资产管理工作。指导农民合作经济组织、农业社会化服务体系、新型农业经营主体建设与发展。</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指导本区多村特色产业、农产品加工业和休闲农业发展工作。会同有关部门，统筹推进农业一二三产业融合发展，推动农村产业结构转型优化升级。负责农业产业化的组织协调工作。组织指导农产品流通工作，研究提出相关政策建议。培育、保护农业品牌。承担主要农产品市场供应信息和价格信息的采集、分析等工作。负责农村经济统计和农业农村信息化有关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组织构建本区现代农业产业体系、生产体系、经营体系。负责推动种植业、畜牧业、渔业、农业机械化等农业各行业发展和监督管理。指导农产品生产。依法负责农业行业安全生产工作。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负责本区食用农产品从种植养殖环节到进入批发、零售市场或者生产加工企业前的质量安全监督管理。组织开展农产品质量安全监测、追溯。指导农业检验检测体系建设。负责本区农业产业、农产品质量安全等方面的标准化工作，组织实施相关地方标准并监督检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指导本区基本农田、渔业水域以及农业生物物种资源保护与管理工作，负责水生野生动植物保护、耕地及永久基本农田质量保护工作。指导农产品产地环境管理和农业清洁生产。指导设施农业，生态循环农业、节水农业发展以及农村可再生能源综合开发利用。承担湿地保护相关管理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8、</w:t>
      </w:r>
      <w:r>
        <w:rPr>
          <w:rFonts w:hint="eastAsia" w:ascii="仿宋_GB2312" w:eastAsia="仿宋_GB2312"/>
          <w:sz w:val="32"/>
          <w:szCs w:val="32"/>
        </w:rPr>
        <w:t>负责本区有关农业生产资料和农业投入品的监督管理。组织实施农业生产资料、兽药质量、兽药残留限量和残留检测方法等方面的国家标准。组织兽医医政、兽药药政药检工作。负责动物诊疗和畜禽屠宰行业管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负责本区农业防灾减灾、农作物重大病虫害防治工作。负责动植物疫病防控的管理工作，承担北京市门头沟区重大动植物疫情应急指挥部的具体工作。监测、发布农业灾情，组织种子、化肥等救灾物资储备和调拨，提出生产救灾资金安排建议，指导紧急救灾和灾后生产恢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10、</w:t>
      </w:r>
      <w:r>
        <w:rPr>
          <w:rFonts w:hint="eastAsia" w:ascii="仿宋_GB2312" w:eastAsia="仿宋_GB2312"/>
          <w:sz w:val="32"/>
          <w:szCs w:val="32"/>
        </w:rPr>
        <w:t>负责本区农业投资管理。提出农业投融资体制机制改革建议，编制区级投资安排的农业投资项目建设规划，提出农业投资规模和方向、扶持农业农村发展财政项目的建议，按照权限审批农业投资项目，负责农业投资项目资金安排和监督管理。负责农业综合开发项目、农田整治项目、农田水利建设项目管理。组织拟订财政支农资金计划安排，并协调相关政策的落实。协调推进政策性农业保险工作。协调指导农村金融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11、</w:t>
      </w:r>
      <w:r>
        <w:rPr>
          <w:rFonts w:hint="eastAsia" w:ascii="仿宋_GB2312" w:eastAsia="仿宋_GB2312"/>
          <w:sz w:val="32"/>
          <w:szCs w:val="32"/>
        </w:rPr>
        <w:t>推动本区农业科技体制改革和农业科技创新体系建设。推进农业产业技术体系、农技推广体系和新型职业农民培育体系建设，组织开展农业领域的高新技术和应用技术研究、科技成果转化和技术推广。负责农业转基因生物安全监督管理和农业植物新品种保护。承担农业农村对外交流与合作相关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12、</w:t>
      </w:r>
      <w:r>
        <w:rPr>
          <w:rFonts w:hint="eastAsia" w:ascii="仿宋_GB2312" w:eastAsia="仿宋_GB2312"/>
          <w:sz w:val="32"/>
          <w:szCs w:val="32"/>
        </w:rPr>
        <w:t>研究拟订本区山区发展规划和年度指导性计划。配合有关部门组织山区建设项目的实施。指导山区农民搬迁、生态沟域建设等工作。配合相关部门研究制定本区生态涵养区保护、发展规划和生态补偿机制。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13、</w:t>
      </w:r>
      <w:r>
        <w:rPr>
          <w:rFonts w:hint="eastAsia" w:ascii="仿宋_GB2312" w:eastAsia="仿宋_GB2312"/>
          <w:sz w:val="32"/>
          <w:szCs w:val="32"/>
        </w:rPr>
        <w:t>区农村合作经济经营管理站归口区农业农村局管理。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eastAsia="仿宋_GB2312"/>
          <w:sz w:val="32"/>
          <w:szCs w:val="32"/>
          <w:lang w:val="en-US" w:eastAsia="zh-CN"/>
        </w:rPr>
        <w:t>14、</w:t>
      </w:r>
      <w:r>
        <w:rPr>
          <w:rFonts w:hint="eastAsia" w:ascii="仿宋_GB2312" w:eastAsia="仿宋_GB2312"/>
          <w:sz w:val="32"/>
          <w:szCs w:val="32"/>
        </w:rPr>
        <w:t>完成区委、区政府交办的其他任务。</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（二）人员构成情况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北京市门头沟区农业农村局（本级）单位</w:t>
      </w:r>
      <w:r>
        <w:rPr>
          <w:rFonts w:hint="eastAsia" w:ascii="仿宋_GB2312" w:hAnsi="宋体" w:eastAsia="仿宋_GB2312" w:cs="宋体"/>
          <w:kern w:val="0"/>
          <w:sz w:val="32"/>
          <w:szCs w:val="32"/>
        </w:rPr>
        <w:t>行政编制</w:t>
      </w:r>
      <w:r>
        <w:rPr>
          <w:rFonts w:hint="eastAsia" w:ascii="仿宋_GB2312" w:hAnsi="宋体" w:eastAsia="仿宋_GB2312" w:cs="宋体"/>
          <w:kern w:val="0"/>
          <w:sz w:val="32"/>
          <w:szCs w:val="32"/>
          <w:lang w:val="en-US" w:eastAsia="zh-CN"/>
        </w:rPr>
        <w:t>31</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highlight w:val="none"/>
          <w:lang w:val="en-US" w:eastAsia="zh-CN"/>
        </w:rPr>
        <w:t>31</w:t>
      </w:r>
      <w:r>
        <w:rPr>
          <w:rFonts w:hint="eastAsia" w:ascii="仿宋_GB2312" w:hAnsi="宋体" w:eastAsia="仿宋_GB2312" w:cs="宋体"/>
          <w:kern w:val="0"/>
          <w:sz w:val="32"/>
          <w:szCs w:val="32"/>
        </w:rPr>
        <w:t>人；事业编制</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人；聘用人员（公安系统文职人员、公安系统辅警人员、公安系统交通协管员、法院聘任书记员、聘用制司法警察、其他聘用人员--临时工）</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w:t>
      </w:r>
    </w:p>
    <w:p>
      <w:pPr>
        <w:widowControl/>
        <w:numPr>
          <w:ilvl w:val="0"/>
          <w:numId w:val="1"/>
        </w:numPr>
        <w:spacing w:line="560" w:lineRule="exact"/>
        <w:ind w:firstLine="640" w:firstLineChars="200"/>
        <w:rPr>
          <w:rFonts w:hint="eastAsia" w:ascii="楷体_GB2312" w:hAnsi="宋体" w:eastAsia="楷体_GB2312" w:cs="宋体"/>
          <w:kern w:val="0"/>
          <w:sz w:val="32"/>
          <w:szCs w:val="32"/>
          <w:highlight w:val="none"/>
        </w:rPr>
      </w:pPr>
      <w:r>
        <w:rPr>
          <w:rFonts w:hint="eastAsia" w:ascii="楷体_GB2312" w:hAnsi="宋体" w:eastAsia="楷体_GB2312" w:cs="宋体"/>
          <w:kern w:val="0"/>
          <w:sz w:val="32"/>
          <w:szCs w:val="32"/>
          <w:highlight w:val="none"/>
        </w:rPr>
        <w:t>本预算年度的主要工作任务</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一是重党建，强核心，实施“固本强基”行动。坚持党对“三农”工作的领导，把“党领乡兴”理念全方位融入“三农”工作，不折不扣落实好区委区政府各项决策部署。依托市级乡村振兴战略实绩考核，充分发挥区委农办牵头抓总、统筹谋划、督促落实作用。继续加强农村基层党组织建设，推广党建联建经验，推动沟域党委发展成为龙头带动型、产业链接型、项目牵引型、资源开发型等具有引领产业发展能力的功能型党组织。围绕建强农村“两委”干部队伍，开展农村带头人示范培训，全面提升“两委”干部推动乡村振兴能力。坚持本土培养和外部引进相结合，把育好用好与有序引导相结合，最大限度激发人才内生动力。持续实施“乡村CEO”培育计划，选培50名政治素质好、懂经营会管理、具有爱农兴农情怀和创新精神的高素质经营管理人才。聚焦换届工作，指导各镇做好村级后备人才储备工作。继续做好“听党话、感党恩、跟党走”百姓宣讲和系列文体活动，持续推动农村移风易俗。</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是抓示范，强引领，实施“转型升级”行动。深化首批市级“百千工程”乡村振兴示范创建成果，高标准推动新一批“京西古道”示范片区以及“五新斋堂”革命老区示范片区建设，积极统筹区级各部门资源向示范创建、“诗画乡村”建设倾斜聚焦，对标“诗画乡村”选树标准及年度重点任务完成情况，总结一批可复制可推广的建设经验，为各镇持续高质量打造“诗画乡村”提供示范样板，有效带动村庄风貌建设、产业发展、乡村治理水平及片区联通能力全面提升。全力做好受灾农房重建工作，确保受灾村民早日迁入新居。同步推进异地安置村庄市政设施建设与公共安全配套，实现村容村貌、功能配套全面提升，努力打造样板工程和精品工程。有序推广“数字京村”平台，努力将数字化运用到乡村建设、乡村治理、产业发展等乡村各项事务中。继续采用政府引导、村民主导的方式，以“统一规划、统一风格、统一监理，村民自建”为总体原则，推动永定镇卧龙岗村农房质量提升试点，努力将卧龙岗村打造成为打通城乡结合部村庄基层治理堵点、实现有机更新的“诗画乡村”样板。全面试行传统村落农房风貌提升引导政策，推动传统建筑与传统民居活化利用。继续做好煤改清洁能源设备后期管护和应急取暖保障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三是育产业，增动能，实施“延链提效”行动。发挥星级园区带动作用，鼓励市级休闲农业星级园区提档升级，打造主题化休闲场景，开发特色休闲产品，拓展休闲农业功能，力争2025年再打造10个左右北京市休闲农业星级园区。围绕优势特色产业，结合各镇建设用地实际，指导各镇差异化发展不同品种的农产品加工项目，打造多个“共享工厂”，不断推动初级农产品向加工食品转型增值。继续挖掘农业非物质文化遗产资源潜力，继续用好“乡约门头沟”“门头沟乡集”等系列活动以及电商助农等渠道，通过线上线下多渠道推广，全面提升休闲农业和特色农产品品牌的知名度和吸引力，逐步推动乡村产业强链条、提品质、扩规模、树品牌、增效益。继续落实“田长制”工作机制，推进水毁耕地修复工作。加强惠农政策引导和技术指导，引进先进水肥一体化管理技术，做好先进种植模式宣传、推广和普及工作，逐步建立现代化粮食蔬菜种植体系，指导农户加强田间管理，有效抑制农业面源污染，严防病虫鼠草害发生风险。加强农业农村领域安全生产管理，推进“平安农机”示范区建设。抓好农产品质量安全监管，强化农业综合执法检查，做好重大动植物疫情防控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val="en-US" w:eastAsia="zh-CN"/>
        </w:rPr>
        <w:t>四是促改革、添活力，实施“赋能增势”行动。巩固前期“三资”集中整治成果，持续加强农村集体“三资”管理，提高监管的效率和精确度，推动认识再深化、整治再发力、成果再扩大。结合市级提级审计发现问题以及纪检监察部门反馈问题，向纵深排查，及时整改。利用警示教育、普法宣教等教育契机，加强对村“两委”、村党员、村民代表及监督小组成员等重点人员培训，使其深入认识、制度运行程序的重要性，不断增强村干部依法办事、规范用权、制度管事的自觉性、主动性。结合第二轮土地承包到期再延长30年试点，积极引导土地经营权规范有序流转，既发展家庭农场，又破解土地碎散小问题；既实现农场经济效益，又提高土地使用效率，打造一批有典型示范作用、健全联农带农机制、作为星级园区储备的示范农场。继续打好“组合拳”，多措并举促进农民就近就业、增产增收。整合政策资源，统筹利用帮扶单位人才、资金、资源、科技等优势，助力村集体经济发展壮大。</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二、收入预算说明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lang w:val="en-US" w:eastAsia="zh-CN"/>
        </w:rPr>
      </w:pPr>
      <w:r>
        <w:rPr>
          <w:rFonts w:hint="eastAsia" w:ascii="仿宋_GB2312" w:hAnsi="宋体" w:eastAsia="仿宋_GB2312" w:cs="宋体"/>
          <w:kern w:val="0"/>
          <w:sz w:val="32"/>
          <w:szCs w:val="32"/>
          <w:highlight w:val="none"/>
          <w:lang w:val="en-US" w:eastAsia="zh-CN"/>
        </w:rPr>
        <w:t>2025年收入预算14,292.84万元，比2024年18,145.96万元减少3,853.12万元，下降21.2%。其中：本年财政拨款收入13,974.39万元,比2024年18,145.96万元减少4,171.57万元；本年非财政拨款收入318.46万元,比2024年0.00万元增加318.46万元。其中非财政拨款收入增加为2018-2020年京津风沙源工程进度款项目。</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三、支出预算说明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（一）基本支出预算1</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rPr>
        <w:t>390.41万元，占总支出预算</w:t>
      </w:r>
      <w:r>
        <w:rPr>
          <w:rFonts w:hint="eastAsia" w:ascii="仿宋_GB2312" w:hAnsi="宋体" w:eastAsia="仿宋_GB2312" w:cs="宋体"/>
          <w:kern w:val="0"/>
          <w:sz w:val="32"/>
          <w:szCs w:val="32"/>
          <w:highlight w:val="none"/>
          <w:lang w:val="en-US" w:eastAsia="zh-CN"/>
        </w:rPr>
        <w:t>9.7</w:t>
      </w:r>
      <w:r>
        <w:rPr>
          <w:rFonts w:hint="eastAsia" w:ascii="仿宋_GB2312" w:hAnsi="宋体" w:eastAsia="仿宋_GB2312" w:cs="宋体"/>
          <w:kern w:val="0"/>
          <w:sz w:val="32"/>
          <w:szCs w:val="32"/>
          <w:highlight w:val="none"/>
        </w:rPr>
        <w:t>%，比2024年</w:t>
      </w:r>
      <w:r>
        <w:rPr>
          <w:rFonts w:hint="eastAsia" w:ascii="仿宋_GB2312" w:hAnsi="宋体" w:eastAsia="仿宋_GB2312" w:cs="宋体"/>
          <w:kern w:val="0"/>
          <w:sz w:val="32"/>
          <w:szCs w:val="32"/>
          <w:highlight w:val="none"/>
          <w:lang w:val="en-US" w:eastAsia="zh-CN"/>
        </w:rPr>
        <w:t>1</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lang w:val="en-US" w:eastAsia="zh-CN"/>
        </w:rPr>
        <w:t>261</w:t>
      </w:r>
      <w:r>
        <w:rPr>
          <w:rFonts w:hint="eastAsia" w:ascii="仿宋_GB2312" w:hAnsi="宋体" w:eastAsia="仿宋_GB2312" w:cs="宋体"/>
          <w:kern w:val="0"/>
          <w:sz w:val="32"/>
          <w:szCs w:val="32"/>
          <w:highlight w:val="none"/>
        </w:rPr>
        <w:t>.1</w:t>
      </w:r>
      <w:r>
        <w:rPr>
          <w:rFonts w:hint="eastAsia" w:ascii="仿宋_GB2312" w:hAnsi="宋体" w:eastAsia="仿宋_GB2312" w:cs="宋体"/>
          <w:kern w:val="0"/>
          <w:sz w:val="32"/>
          <w:szCs w:val="32"/>
          <w:highlight w:val="none"/>
          <w:lang w:val="en-US" w:eastAsia="zh-CN"/>
        </w:rPr>
        <w:t>6</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增加</w:t>
      </w:r>
      <w:r>
        <w:rPr>
          <w:rFonts w:hint="eastAsia" w:ascii="仿宋_GB2312" w:hAnsi="宋体" w:eastAsia="仿宋_GB2312" w:cs="宋体"/>
          <w:kern w:val="0"/>
          <w:sz w:val="32"/>
          <w:szCs w:val="32"/>
          <w:highlight w:val="none"/>
          <w:lang w:val="en-US" w:eastAsia="zh-CN"/>
        </w:rPr>
        <w:t>129.25</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增长</w:t>
      </w:r>
      <w:r>
        <w:rPr>
          <w:rFonts w:hint="eastAsia" w:ascii="仿宋_GB2312" w:hAnsi="宋体" w:eastAsia="仿宋_GB2312" w:cs="宋体"/>
          <w:kern w:val="0"/>
          <w:sz w:val="32"/>
          <w:szCs w:val="32"/>
          <w:highlight w:val="none"/>
          <w:lang w:val="en-US" w:eastAsia="zh-CN"/>
        </w:rPr>
        <w:t>10.2</w:t>
      </w:r>
      <w:r>
        <w:rPr>
          <w:rFonts w:hint="eastAsia" w:ascii="仿宋_GB2312" w:hAnsi="宋体" w:eastAsia="仿宋_GB2312" w:cs="宋体"/>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（二）项目支出预算12</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rPr>
        <w:t>902.44万元，比2024年16</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lang w:val="en-US" w:eastAsia="zh-CN"/>
        </w:rPr>
        <w:t>884</w:t>
      </w:r>
      <w:r>
        <w:rPr>
          <w:rFonts w:hint="eastAsia" w:ascii="仿宋_GB2312" w:hAnsi="宋体" w:eastAsia="仿宋_GB2312" w:cs="宋体"/>
          <w:kern w:val="0"/>
          <w:sz w:val="32"/>
          <w:szCs w:val="32"/>
          <w:highlight w:val="none"/>
        </w:rPr>
        <w:t>.</w:t>
      </w:r>
      <w:r>
        <w:rPr>
          <w:rFonts w:hint="eastAsia" w:ascii="仿宋_GB2312" w:hAnsi="宋体" w:eastAsia="仿宋_GB2312" w:cs="宋体"/>
          <w:kern w:val="0"/>
          <w:sz w:val="32"/>
          <w:szCs w:val="32"/>
          <w:highlight w:val="none"/>
          <w:lang w:val="en-US" w:eastAsia="zh-CN"/>
        </w:rPr>
        <w:t>80</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减少</w:t>
      </w:r>
      <w:r>
        <w:rPr>
          <w:rFonts w:hint="eastAsia" w:ascii="仿宋_GB2312" w:hAnsi="宋体" w:eastAsia="仿宋_GB2312" w:cs="宋体"/>
          <w:kern w:val="0"/>
          <w:sz w:val="32"/>
          <w:szCs w:val="32"/>
          <w:highlight w:val="none"/>
          <w:lang w:val="en-US" w:eastAsia="zh-CN"/>
        </w:rPr>
        <w:t>3</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lang w:val="en-US" w:eastAsia="zh-CN"/>
        </w:rPr>
        <w:t>982.36</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下降</w:t>
      </w:r>
      <w:r>
        <w:rPr>
          <w:rFonts w:hint="eastAsia" w:ascii="仿宋_GB2312" w:hAnsi="宋体" w:eastAsia="仿宋_GB2312" w:cs="宋体"/>
          <w:kern w:val="0"/>
          <w:sz w:val="32"/>
          <w:szCs w:val="32"/>
          <w:highlight w:val="none"/>
          <w:lang w:val="en-US" w:eastAsia="zh-CN"/>
        </w:rPr>
        <w:t>23.6</w:t>
      </w:r>
      <w:r>
        <w:rPr>
          <w:rFonts w:hint="eastAsia" w:ascii="仿宋_GB2312" w:hAnsi="宋体" w:eastAsia="仿宋_GB2312" w:cs="宋体"/>
          <w:kern w:val="0"/>
          <w:sz w:val="32"/>
          <w:szCs w:val="32"/>
          <w:highlight w:val="none"/>
        </w:rPr>
        <w:t>%，减少原因</w:t>
      </w:r>
      <w:r>
        <w:rPr>
          <w:rFonts w:hint="eastAsia" w:ascii="仿宋_GB2312" w:hAnsi="宋体" w:eastAsia="仿宋_GB2312" w:cs="宋体"/>
          <w:kern w:val="0"/>
          <w:sz w:val="32"/>
          <w:szCs w:val="32"/>
          <w:highlight w:val="none"/>
          <w:lang w:eastAsia="zh-CN"/>
        </w:rPr>
        <w:t>：</w:t>
      </w:r>
      <w:r>
        <w:rPr>
          <w:rFonts w:hint="eastAsia" w:ascii="仿宋_GB2312" w:hAnsi="ˎ̥" w:eastAsia="仿宋_GB2312"/>
          <w:sz w:val="32"/>
          <w:szCs w:val="32"/>
          <w:highlight w:val="none"/>
          <w:lang w:eastAsia="zh-CN"/>
        </w:rPr>
        <w:t>根据实际工作需求，部分项目资金在预算阶段分配至各项目实施单位</w:t>
      </w:r>
      <w:r>
        <w:rPr>
          <w:rFonts w:hint="eastAsia" w:ascii="仿宋_GB2312" w:hAnsi="宋体" w:eastAsia="仿宋_GB2312" w:cs="宋体"/>
          <w:kern w:val="0"/>
          <w:sz w:val="32"/>
          <w:szCs w:val="32"/>
          <w:highlight w:val="none"/>
        </w:rPr>
        <w:t>。部门预算项目主要为美丽乡村建设基础设施管护项目</w:t>
      </w:r>
      <w:r>
        <w:rPr>
          <w:rFonts w:hint="eastAsia" w:ascii="仿宋_GB2312" w:hAnsi="宋体" w:eastAsia="仿宋_GB2312" w:cs="宋体"/>
          <w:kern w:val="0"/>
          <w:sz w:val="32"/>
          <w:szCs w:val="32"/>
          <w:highlight w:val="none"/>
          <w:lang w:eastAsia="zh-CN"/>
        </w:rPr>
        <w:t>、产业综合发展项目、2024年电采暖设备奖补项目</w:t>
      </w:r>
      <w:r>
        <w:rPr>
          <w:rFonts w:hint="eastAsia" w:ascii="仿宋_GB2312" w:hAnsi="宋体" w:eastAsia="仿宋_GB2312" w:cs="宋体"/>
          <w:kern w:val="0"/>
          <w:sz w:val="32"/>
          <w:szCs w:val="32"/>
          <w:highlight w:val="none"/>
        </w:rPr>
        <w:t>经费等。</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（三）事业单位经营支出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（四）上缴上级支出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（五）对附属单位补助支出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四、部门“三公”经费财政拨款预算说明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（一）“三公”经费的单位范围</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lang w:eastAsia="zh-CN"/>
        </w:rPr>
        <w:t>北京市门头沟区农业农村局（本级）单位</w:t>
      </w:r>
      <w:r>
        <w:rPr>
          <w:rFonts w:hint="eastAsia" w:ascii="仿宋_GB2312" w:hAnsi="宋体" w:eastAsia="仿宋_GB2312" w:cs="宋体"/>
          <w:kern w:val="0"/>
          <w:sz w:val="32"/>
          <w:szCs w:val="32"/>
          <w:highlight w:val="none"/>
        </w:rPr>
        <w:t>因公出国（境）费用、公务接待费、公务用车购置和运行维护费开支单位包括</w:t>
      </w:r>
      <w:r>
        <w:rPr>
          <w:rFonts w:hint="eastAsia" w:ascii="仿宋_GB2312" w:hAnsi="宋体" w:eastAsia="仿宋_GB2312" w:cs="宋体"/>
          <w:kern w:val="0"/>
          <w:sz w:val="32"/>
          <w:szCs w:val="32"/>
          <w:highlight w:val="none"/>
          <w:lang w:val="en-US" w:eastAsia="zh-CN"/>
        </w:rPr>
        <w:t>1</w:t>
      </w:r>
      <w:r>
        <w:rPr>
          <w:rFonts w:hint="eastAsia" w:ascii="仿宋_GB2312" w:hAnsi="宋体" w:eastAsia="仿宋_GB2312" w:cs="宋体"/>
          <w:kern w:val="0"/>
          <w:sz w:val="32"/>
          <w:szCs w:val="32"/>
          <w:highlight w:val="none"/>
        </w:rPr>
        <w:t>个所属单位。</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（二）“三公”经费财政拨款情况说明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2025年“三公”经费财政拨款预算</w:t>
      </w:r>
      <w:r>
        <w:rPr>
          <w:rFonts w:hint="eastAsia" w:ascii="仿宋_GB2312" w:eastAsia="仿宋_GB2312"/>
          <w:sz w:val="32"/>
          <w:szCs w:val="32"/>
          <w:highlight w:val="none"/>
          <w:lang w:val="en-US" w:eastAsia="zh-CN"/>
        </w:rPr>
        <w:t>5.82</w:t>
      </w:r>
      <w:r>
        <w:rPr>
          <w:rFonts w:hint="eastAsia" w:ascii="仿宋_GB2312" w:hAnsi="宋体" w:eastAsia="仿宋_GB2312" w:cs="宋体"/>
          <w:kern w:val="0"/>
          <w:sz w:val="32"/>
          <w:szCs w:val="32"/>
          <w:highlight w:val="none"/>
        </w:rPr>
        <w:t>万元，比2024年“三公”经费财政拨款预算</w:t>
      </w:r>
      <w:r>
        <w:rPr>
          <w:rFonts w:hint="eastAsia" w:ascii="仿宋_GB2312" w:hAnsi="宋体" w:eastAsia="仿宋_GB2312" w:cs="宋体"/>
          <w:kern w:val="0"/>
          <w:sz w:val="32"/>
          <w:szCs w:val="32"/>
          <w:highlight w:val="none"/>
          <w:lang w:eastAsia="zh-CN"/>
        </w:rPr>
        <w:t>减少</w:t>
      </w:r>
      <w:r>
        <w:rPr>
          <w:rFonts w:hint="eastAsia" w:ascii="仿宋_GB2312" w:hAnsi="宋体" w:eastAsia="仿宋_GB2312" w:cs="宋体"/>
          <w:kern w:val="0"/>
          <w:sz w:val="32"/>
          <w:szCs w:val="32"/>
          <w:highlight w:val="none"/>
          <w:lang w:val="en-US" w:eastAsia="zh-CN"/>
        </w:rPr>
        <w:t>0.94</w:t>
      </w:r>
      <w:r>
        <w:rPr>
          <w:rFonts w:hint="eastAsia" w:ascii="仿宋_GB2312" w:hAnsi="宋体" w:eastAsia="仿宋_GB2312" w:cs="宋体"/>
          <w:kern w:val="0"/>
          <w:sz w:val="32"/>
          <w:szCs w:val="32"/>
          <w:highlight w:val="none"/>
        </w:rPr>
        <w:t>万元。其中：</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1.因公出国（境）费用。2025年预算数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此项目为区级预留资金，年中根据各单位实际需求另行安排</w:t>
      </w:r>
      <w:r>
        <w:rPr>
          <w:rFonts w:hint="eastAsia" w:ascii="仿宋_GB2312" w:hAnsi="宋体" w:eastAsia="仿宋_GB2312" w:cs="宋体"/>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2.公务接待费。2025年预算数</w:t>
      </w:r>
      <w:r>
        <w:rPr>
          <w:rFonts w:hint="eastAsia" w:ascii="仿宋_GB2312" w:hAnsi="宋体" w:eastAsia="仿宋_GB2312" w:cs="宋体"/>
          <w:kern w:val="0"/>
          <w:sz w:val="32"/>
          <w:szCs w:val="32"/>
          <w:highlight w:val="none"/>
          <w:lang w:val="en-US" w:eastAsia="zh-CN"/>
        </w:rPr>
        <w:t>4.02</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4.96</w:t>
      </w:r>
      <w:r>
        <w:rPr>
          <w:rFonts w:hint="eastAsia" w:ascii="仿宋_GB2312" w:hAnsi="宋体" w:eastAsia="仿宋_GB2312" w:cs="宋体"/>
          <w:kern w:val="0"/>
          <w:sz w:val="32"/>
          <w:szCs w:val="32"/>
          <w:highlight w:val="none"/>
        </w:rPr>
        <w:t>万元</w:t>
      </w:r>
      <w:r>
        <w:rPr>
          <w:rFonts w:hint="eastAsia" w:ascii="仿宋_GB2312" w:hAnsi="宋体" w:eastAsia="仿宋_GB2312" w:cs="宋体"/>
          <w:kern w:val="0"/>
          <w:sz w:val="32"/>
          <w:szCs w:val="32"/>
          <w:highlight w:val="none"/>
          <w:lang w:eastAsia="zh-CN"/>
        </w:rPr>
        <w:t>减少</w:t>
      </w:r>
      <w:r>
        <w:rPr>
          <w:rFonts w:hint="eastAsia" w:ascii="仿宋_GB2312" w:hAnsi="宋体" w:eastAsia="仿宋_GB2312" w:cs="宋体"/>
          <w:kern w:val="0"/>
          <w:sz w:val="32"/>
          <w:szCs w:val="32"/>
          <w:highlight w:val="none"/>
          <w:lang w:val="en-US" w:eastAsia="zh-CN"/>
        </w:rPr>
        <w:t>0.94</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人员结构调整导致预算减少</w:t>
      </w:r>
      <w:r>
        <w:rPr>
          <w:rFonts w:hint="eastAsia" w:ascii="仿宋_GB2312" w:hAnsi="宋体" w:eastAsia="仿宋_GB2312" w:cs="宋体"/>
          <w:kern w:val="0"/>
          <w:sz w:val="32"/>
          <w:szCs w:val="32"/>
          <w:highlight w:val="none"/>
        </w:rPr>
        <w:t>。2025年公务接待费主要用于</w:t>
      </w:r>
      <w:r>
        <w:rPr>
          <w:rFonts w:hint="eastAsia" w:ascii="仿宋_GB2312" w:hAnsi="宋体" w:eastAsia="仿宋_GB2312" w:cs="宋体"/>
          <w:kern w:val="0"/>
          <w:sz w:val="32"/>
          <w:szCs w:val="32"/>
          <w:highlight w:val="none"/>
          <w:lang w:eastAsia="zh-CN"/>
        </w:rPr>
        <w:t>公务接待</w:t>
      </w:r>
      <w:r>
        <w:rPr>
          <w:rFonts w:hint="eastAsia" w:ascii="仿宋_GB2312" w:hAnsi="宋体" w:eastAsia="仿宋_GB2312" w:cs="宋体"/>
          <w:kern w:val="0"/>
          <w:sz w:val="32"/>
          <w:szCs w:val="32"/>
          <w:highlight w:val="none"/>
        </w:rPr>
        <w:t>等方面。</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3.公务用车购置及运行维护费。2025年预算数</w:t>
      </w:r>
      <w:r>
        <w:rPr>
          <w:rFonts w:hint="eastAsia" w:ascii="仿宋_GB2312" w:hAnsi="宋体" w:eastAsia="仿宋_GB2312" w:cs="宋体"/>
          <w:kern w:val="0"/>
          <w:sz w:val="32"/>
          <w:szCs w:val="32"/>
          <w:highlight w:val="none"/>
          <w:lang w:val="en-US" w:eastAsia="zh-CN"/>
        </w:rPr>
        <w:t>1.80</w:t>
      </w:r>
      <w:r>
        <w:rPr>
          <w:rFonts w:hint="eastAsia" w:ascii="仿宋_GB2312" w:hAnsi="宋体" w:eastAsia="仿宋_GB2312" w:cs="宋体"/>
          <w:kern w:val="0"/>
          <w:sz w:val="32"/>
          <w:szCs w:val="32"/>
          <w:highlight w:val="none"/>
        </w:rPr>
        <w:t>万元，其中，公务用车购置费2025年预算数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此项目为区级预留资金，年中根据各单位实际需求另行安排</w:t>
      </w:r>
      <w:r>
        <w:rPr>
          <w:rFonts w:hint="eastAsia" w:ascii="仿宋_GB2312" w:hAnsi="宋体" w:eastAsia="仿宋_GB2312" w:cs="宋体"/>
          <w:kern w:val="0"/>
          <w:sz w:val="32"/>
          <w:szCs w:val="32"/>
          <w:highlight w:val="none"/>
        </w:rPr>
        <w:t>；公务用车运行维护费2025年预算数</w:t>
      </w:r>
      <w:r>
        <w:rPr>
          <w:rFonts w:hint="eastAsia" w:ascii="仿宋_GB2312" w:hAnsi="宋体" w:eastAsia="仿宋_GB2312" w:cs="宋体"/>
          <w:kern w:val="0"/>
          <w:sz w:val="32"/>
          <w:szCs w:val="32"/>
          <w:highlight w:val="none"/>
          <w:lang w:val="en-US" w:eastAsia="zh-CN"/>
        </w:rPr>
        <w:t>1.80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1.80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本年公务车数量无变化</w:t>
      </w:r>
      <w:r>
        <w:rPr>
          <w:rFonts w:hint="eastAsia" w:ascii="仿宋_GB2312" w:hAnsi="宋体" w:eastAsia="仿宋_GB2312" w:cs="宋体"/>
          <w:kern w:val="0"/>
          <w:sz w:val="32"/>
          <w:szCs w:val="32"/>
          <w:highlight w:val="none"/>
        </w:rPr>
        <w:t>。</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五、其他情况说明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（一）部门政府采购预算说明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kern w:val="0"/>
          <w:sz w:val="32"/>
          <w:szCs w:val="32"/>
          <w:lang w:eastAsia="zh-CN"/>
        </w:rPr>
        <w:t>北京市门头沟区农业农村局（本级）单位</w:t>
      </w:r>
      <w:r>
        <w:rPr>
          <w:rFonts w:hint="eastAsia" w:ascii="仿宋_GB2312" w:hAnsi="宋体" w:eastAsia="仿宋_GB2312" w:cs="宋体"/>
          <w:kern w:val="0"/>
          <w:sz w:val="32"/>
          <w:szCs w:val="32"/>
        </w:rPr>
        <w:t>政府采购预算总额</w:t>
      </w:r>
      <w:r>
        <w:rPr>
          <w:rFonts w:hint="eastAsia" w:ascii="仿宋_GB2312" w:hAnsi="宋体" w:eastAsia="仿宋_GB2312" w:cs="宋体"/>
          <w:kern w:val="0"/>
          <w:sz w:val="32"/>
          <w:szCs w:val="32"/>
          <w:lang w:eastAsia="zh-CN"/>
        </w:rPr>
        <w:t>565</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lang w:eastAsia="zh-CN"/>
        </w:rPr>
        <w:t>7</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lang w:eastAsia="zh-CN"/>
        </w:rPr>
        <w:t>万</w:t>
      </w:r>
      <w:r>
        <w:rPr>
          <w:rFonts w:hint="eastAsia" w:ascii="仿宋_GB2312" w:hAnsi="宋体" w:eastAsia="仿宋_GB2312" w:cs="宋体"/>
          <w:kern w:val="0"/>
          <w:sz w:val="32"/>
          <w:szCs w:val="32"/>
        </w:rPr>
        <w:t>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（二）政府购买服务预算说明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kern w:val="0"/>
          <w:sz w:val="32"/>
          <w:szCs w:val="32"/>
          <w:lang w:eastAsia="zh-CN"/>
        </w:rPr>
        <w:t>北京市门头沟区农业农村局（本级）单位</w:t>
      </w:r>
      <w:r>
        <w:rPr>
          <w:rFonts w:hint="eastAsia" w:ascii="仿宋_GB2312" w:hAnsi="宋体" w:eastAsia="仿宋_GB2312" w:cs="宋体"/>
          <w:kern w:val="0"/>
          <w:sz w:val="32"/>
          <w:szCs w:val="32"/>
        </w:rPr>
        <w:t>政府购买服务预算总额</w:t>
      </w:r>
      <w:r>
        <w:rPr>
          <w:rFonts w:hint="eastAsia" w:ascii="仿宋_GB2312" w:hAnsi="宋体" w:eastAsia="仿宋_GB2312" w:cs="宋体"/>
          <w:kern w:val="0"/>
          <w:sz w:val="32"/>
          <w:szCs w:val="32"/>
          <w:lang w:eastAsia="zh-CN"/>
        </w:rPr>
        <w:t>806</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lang w:eastAsia="zh-CN"/>
        </w:rPr>
        <w:t>2</w:t>
      </w:r>
      <w:r>
        <w:rPr>
          <w:rFonts w:hint="eastAsia" w:ascii="仿宋_GB2312" w:hAnsi="宋体" w:eastAsia="仿宋_GB2312" w:cs="宋体"/>
          <w:kern w:val="0"/>
          <w:sz w:val="32"/>
          <w:szCs w:val="32"/>
          <w:lang w:val="en-US" w:eastAsia="zh-CN"/>
        </w:rPr>
        <w:t>8</w:t>
      </w:r>
      <w:r>
        <w:rPr>
          <w:rFonts w:hint="eastAsia" w:ascii="仿宋_GB2312" w:hAnsi="宋体" w:eastAsia="仿宋_GB2312" w:cs="宋体"/>
          <w:kern w:val="0"/>
          <w:sz w:val="32"/>
          <w:szCs w:val="32"/>
          <w:lang w:eastAsia="zh-CN"/>
        </w:rPr>
        <w:t>万</w:t>
      </w:r>
      <w:r>
        <w:rPr>
          <w:rFonts w:hint="eastAsia" w:ascii="仿宋_GB2312" w:hAnsi="宋体" w:eastAsia="仿宋_GB2312" w:cs="宋体"/>
          <w:kern w:val="0"/>
          <w:sz w:val="32"/>
          <w:szCs w:val="32"/>
        </w:rPr>
        <w:t>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（三）机关运行经费情况说明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w:t>
      </w:r>
      <w:r>
        <w:rPr>
          <w:rFonts w:hint="eastAsia" w:ascii="仿宋_GB2312" w:hAnsi="宋体" w:eastAsia="仿宋_GB2312" w:cs="宋体"/>
          <w:kern w:val="0"/>
          <w:sz w:val="32"/>
          <w:szCs w:val="32"/>
          <w:highlight w:val="none"/>
          <w:lang w:eastAsia="zh-CN"/>
        </w:rPr>
        <w:t>北京市门头沟区农业农村局（本级）</w:t>
      </w:r>
      <w:r>
        <w:rPr>
          <w:rFonts w:hint="eastAsia" w:ascii="仿宋_GB2312" w:hAnsi="宋体" w:eastAsia="仿宋_GB2312" w:cs="宋体"/>
          <w:kern w:val="0"/>
          <w:sz w:val="32"/>
          <w:szCs w:val="32"/>
          <w:highlight w:val="none"/>
          <w:lang w:val="en-US" w:eastAsia="zh-CN"/>
        </w:rPr>
        <w:t>1</w:t>
      </w:r>
      <w:r>
        <w:rPr>
          <w:rFonts w:hint="eastAsia" w:ascii="仿宋_GB2312" w:hAnsi="宋体" w:eastAsia="仿宋_GB2312" w:cs="宋体"/>
          <w:kern w:val="0"/>
          <w:sz w:val="32"/>
          <w:szCs w:val="32"/>
          <w:highlight w:val="none"/>
        </w:rPr>
        <w:t>家行政单位以及</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highlight w:val="none"/>
        </w:rPr>
        <w:t>家参公管理事业单位的机关运行经费财政拨款预算</w:t>
      </w:r>
      <w:r>
        <w:rPr>
          <w:rFonts w:hint="eastAsia" w:ascii="仿宋_GB2312" w:hAnsi="宋体" w:eastAsia="仿宋_GB2312" w:cs="宋体"/>
          <w:kern w:val="0"/>
          <w:sz w:val="32"/>
          <w:szCs w:val="32"/>
          <w:highlight w:val="none"/>
          <w:lang w:val="en-US" w:eastAsia="zh-CN"/>
        </w:rPr>
        <w:t>299.50</w:t>
      </w:r>
      <w:r>
        <w:rPr>
          <w:rFonts w:hint="eastAsia" w:ascii="仿宋_GB2312" w:hAnsi="宋体" w:eastAsia="仿宋_GB2312" w:cs="宋体"/>
          <w:kern w:val="0"/>
          <w:sz w:val="32"/>
          <w:szCs w:val="32"/>
          <w:highlight w:val="none"/>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机关运行经费：是指行政单位（含参照公务员法管理事业单位）使用一般公共预算财政拨款安排的基本支出中的日常公用经费支出，包括办公费、邮电费、差旅费、会议费、福利费、维修费、办公用房水电费、办公用房取暖费、办公用房物业管理费、公务用车运行维护费以及其他费用。</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 xml:space="preserve">（四）项目支出绩效目标情况说明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w:t>
      </w:r>
      <w:r>
        <w:rPr>
          <w:rFonts w:hint="eastAsia" w:ascii="仿宋_GB2312" w:hAnsi="宋体" w:eastAsia="仿宋_GB2312" w:cs="宋体"/>
          <w:kern w:val="0"/>
          <w:sz w:val="32"/>
          <w:szCs w:val="32"/>
          <w:highlight w:val="none"/>
          <w:lang w:eastAsia="zh-CN"/>
        </w:rPr>
        <w:t>北京市门头沟区农业农村局（本级）</w:t>
      </w:r>
      <w:r>
        <w:rPr>
          <w:rFonts w:hint="eastAsia" w:ascii="仿宋_GB2312" w:hAnsi="宋体" w:eastAsia="仿宋_GB2312" w:cs="宋体"/>
          <w:kern w:val="0"/>
          <w:sz w:val="32"/>
          <w:szCs w:val="32"/>
          <w:highlight w:val="none"/>
        </w:rPr>
        <w:t>填报绩效目标的预算项目</w:t>
      </w:r>
      <w:r>
        <w:rPr>
          <w:rFonts w:hint="eastAsia" w:ascii="仿宋_GB2312" w:hAnsi="宋体" w:eastAsia="仿宋_GB2312" w:cs="宋体"/>
          <w:kern w:val="0"/>
          <w:sz w:val="32"/>
          <w:szCs w:val="32"/>
          <w:highlight w:val="none"/>
          <w:lang w:val="en-US" w:eastAsia="zh-CN"/>
        </w:rPr>
        <w:t>46</w:t>
      </w:r>
      <w:r>
        <w:rPr>
          <w:rFonts w:hint="eastAsia" w:ascii="仿宋_GB2312" w:hAnsi="宋体" w:eastAsia="仿宋_GB2312" w:cs="宋体"/>
          <w:kern w:val="0"/>
          <w:sz w:val="32"/>
          <w:szCs w:val="32"/>
          <w:highlight w:val="none"/>
        </w:rPr>
        <w:t>个，占全部预算项目</w:t>
      </w:r>
      <w:r>
        <w:rPr>
          <w:rFonts w:hint="eastAsia" w:ascii="仿宋_GB2312" w:hAnsi="宋体" w:eastAsia="仿宋_GB2312" w:cs="宋体"/>
          <w:kern w:val="0"/>
          <w:sz w:val="32"/>
          <w:szCs w:val="32"/>
          <w:highlight w:val="none"/>
          <w:lang w:val="en-US" w:eastAsia="zh-CN"/>
        </w:rPr>
        <w:t>46</w:t>
      </w:r>
      <w:r>
        <w:rPr>
          <w:rFonts w:hint="eastAsia" w:ascii="仿宋_GB2312" w:hAnsi="宋体" w:eastAsia="仿宋_GB2312" w:cs="宋体"/>
          <w:kern w:val="0"/>
          <w:sz w:val="32"/>
          <w:szCs w:val="32"/>
          <w:highlight w:val="none"/>
        </w:rPr>
        <w:t>个的</w:t>
      </w:r>
      <w:r>
        <w:rPr>
          <w:rFonts w:hint="eastAsia" w:ascii="仿宋_GB2312" w:hAnsi="宋体" w:eastAsia="仿宋_GB2312" w:cs="宋体"/>
          <w:kern w:val="0"/>
          <w:sz w:val="32"/>
          <w:szCs w:val="32"/>
          <w:highlight w:val="none"/>
          <w:lang w:val="en-US" w:eastAsia="zh-CN"/>
        </w:rPr>
        <w:t>100.0</w:t>
      </w:r>
      <w:r>
        <w:rPr>
          <w:rFonts w:hint="eastAsia" w:ascii="仿宋_GB2312" w:hAnsi="宋体" w:eastAsia="仿宋_GB2312" w:cs="宋体"/>
          <w:kern w:val="0"/>
          <w:sz w:val="32"/>
          <w:szCs w:val="32"/>
          <w:highlight w:val="none"/>
        </w:rPr>
        <w:t>%。填报绩效目标的项目支出预算12</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902.44万元，占本部门全部项目支出预算的</w:t>
      </w:r>
      <w:r>
        <w:rPr>
          <w:rFonts w:hint="eastAsia" w:ascii="仿宋_GB2312" w:hAnsi="宋体" w:eastAsia="仿宋_GB2312" w:cs="宋体"/>
          <w:kern w:val="0"/>
          <w:sz w:val="32"/>
          <w:szCs w:val="32"/>
          <w:highlight w:val="none"/>
          <w:lang w:val="en-US" w:eastAsia="zh-CN"/>
        </w:rPr>
        <w:t>100.0</w:t>
      </w:r>
      <w:r>
        <w:rPr>
          <w:rFonts w:hint="eastAsia" w:ascii="仿宋_GB2312" w:hAnsi="宋体" w:eastAsia="仿宋_GB2312" w:cs="宋体"/>
          <w:kern w:val="0"/>
          <w:sz w:val="32"/>
          <w:szCs w:val="32"/>
          <w:highlight w:val="none"/>
        </w:rPr>
        <w:t>%。（注：取数范围是只提取项目支出，不含基本支出）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（五）财政拨款重点项目情况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w:t>
      </w:r>
      <w:r>
        <w:rPr>
          <w:rFonts w:hint="eastAsia" w:ascii="仿宋_GB2312" w:hAnsi="宋体" w:eastAsia="仿宋_GB2312" w:cs="宋体"/>
          <w:kern w:val="0"/>
          <w:sz w:val="32"/>
          <w:szCs w:val="32"/>
          <w:lang w:eastAsia="zh-CN"/>
        </w:rPr>
        <w:t>产业综合发展</w:t>
      </w:r>
      <w:r>
        <w:rPr>
          <w:rFonts w:hint="eastAsia" w:ascii="仿宋_GB2312" w:hAnsi="宋体" w:eastAsia="仿宋_GB2312" w:cs="宋体"/>
          <w:kern w:val="0"/>
          <w:sz w:val="32"/>
          <w:szCs w:val="32"/>
        </w:rPr>
        <w:t>项目</w:t>
      </w:r>
      <w:r>
        <w:rPr>
          <w:rFonts w:hint="eastAsia" w:ascii="仿宋_GB2312" w:hAnsi="宋体" w:eastAsia="仿宋_GB2312" w:cs="宋体"/>
          <w:kern w:val="0"/>
          <w:sz w:val="32"/>
          <w:szCs w:val="32"/>
          <w:lang w:val="en-US" w:eastAsia="zh-CN"/>
        </w:rPr>
        <w:t>2,300.00</w:t>
      </w:r>
      <w:r>
        <w:rPr>
          <w:rFonts w:hint="eastAsia" w:ascii="仿宋_GB2312" w:hAnsi="宋体" w:eastAsia="仿宋_GB2312" w:cs="宋体"/>
          <w:kern w:val="0"/>
          <w:sz w:val="32"/>
          <w:szCs w:val="32"/>
        </w:rPr>
        <w:t>万元：用于安排</w:t>
      </w:r>
      <w:r>
        <w:rPr>
          <w:rFonts w:hint="eastAsia" w:ascii="仿宋_GB2312" w:hAnsi="宋体" w:eastAsia="仿宋_GB2312" w:cs="宋体"/>
          <w:kern w:val="0"/>
          <w:sz w:val="32"/>
          <w:szCs w:val="32"/>
          <w:lang w:eastAsia="zh-CN"/>
        </w:rPr>
        <w:t>支持相关镇一批产业强镇、新主体发展都市型现代农业等乡村产业综合发展项目</w:t>
      </w:r>
      <w:r>
        <w:rPr>
          <w:rFonts w:hint="eastAsia" w:ascii="仿宋_GB2312" w:hAnsi="宋体" w:eastAsia="仿宋_GB2312" w:cs="宋体"/>
          <w:kern w:val="0"/>
          <w:sz w:val="32"/>
          <w:szCs w:val="32"/>
        </w:rPr>
        <w:t>支出。</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w:t>
      </w:r>
      <w:r>
        <w:rPr>
          <w:rFonts w:hint="eastAsia" w:ascii="仿宋_GB2312" w:hAnsi="宋体" w:eastAsia="仿宋_GB2312" w:cs="宋体"/>
          <w:kern w:val="0"/>
          <w:sz w:val="32"/>
          <w:szCs w:val="32"/>
          <w:lang w:eastAsia="zh-CN"/>
        </w:rPr>
        <w:t>美丽乡村建设基础设施管护</w:t>
      </w:r>
      <w:r>
        <w:rPr>
          <w:rFonts w:hint="eastAsia" w:ascii="仿宋_GB2312" w:hAnsi="宋体" w:eastAsia="仿宋_GB2312" w:cs="宋体"/>
          <w:kern w:val="0"/>
          <w:sz w:val="32"/>
          <w:szCs w:val="32"/>
        </w:rPr>
        <w:t>项目</w:t>
      </w:r>
      <w:r>
        <w:rPr>
          <w:rFonts w:hint="eastAsia" w:ascii="仿宋_GB2312" w:hAnsi="宋体" w:eastAsia="仿宋_GB2312" w:cs="宋体"/>
          <w:kern w:val="0"/>
          <w:sz w:val="32"/>
          <w:szCs w:val="32"/>
          <w:lang w:val="en-US" w:eastAsia="zh-CN"/>
        </w:rPr>
        <w:t>6,171.83</w:t>
      </w:r>
      <w:r>
        <w:rPr>
          <w:rFonts w:hint="eastAsia" w:ascii="仿宋_GB2312" w:hAnsi="宋体" w:eastAsia="仿宋_GB2312" w:cs="宋体"/>
          <w:kern w:val="0"/>
          <w:sz w:val="32"/>
          <w:szCs w:val="32"/>
        </w:rPr>
        <w:t>万元：用于安排</w:t>
      </w:r>
      <w:r>
        <w:rPr>
          <w:rFonts w:hint="eastAsia" w:ascii="仿宋_GB2312" w:hAnsi="宋体" w:eastAsia="仿宋_GB2312" w:cs="宋体"/>
          <w:kern w:val="0"/>
          <w:sz w:val="32"/>
          <w:szCs w:val="32"/>
          <w:lang w:eastAsia="zh-CN"/>
        </w:rPr>
        <w:t>实施美丽乡村建设基础设施运维管护，巩固农村人居环境整治成果，促进村庄长期干净整洁有序</w:t>
      </w:r>
      <w:r>
        <w:rPr>
          <w:rFonts w:hint="eastAsia" w:ascii="仿宋_GB2312" w:hAnsi="宋体" w:eastAsia="仿宋_GB2312" w:cs="宋体"/>
          <w:kern w:val="0"/>
          <w:sz w:val="32"/>
          <w:szCs w:val="32"/>
        </w:rPr>
        <w:t>支出。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（六）重点行政事业性收费情况说明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w:t>
      </w:r>
      <w:r>
        <w:rPr>
          <w:rFonts w:hint="eastAsia" w:ascii="仿宋_GB2312" w:hAnsi="宋体" w:eastAsia="仿宋_GB2312" w:cs="宋体"/>
          <w:kern w:val="0"/>
          <w:sz w:val="32"/>
          <w:szCs w:val="32"/>
          <w:lang w:eastAsia="zh-CN"/>
        </w:rPr>
        <w:t>单位</w:t>
      </w:r>
      <w:r>
        <w:rPr>
          <w:rFonts w:hint="eastAsia" w:ascii="仿宋_GB2312" w:hAnsi="宋体" w:eastAsia="仿宋_GB2312" w:cs="宋体"/>
          <w:kern w:val="0"/>
          <w:sz w:val="32"/>
          <w:szCs w:val="32"/>
        </w:rPr>
        <w:t>2025年无重点行政事业性收费</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（七）国有资产占用情况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截至2024年底，固定资产总额21</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269</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68万元，其中：房屋面积</w:t>
      </w:r>
      <w:r>
        <w:rPr>
          <w:rFonts w:hint="eastAsia" w:ascii="仿宋_GB2312" w:hAnsi="宋体" w:eastAsia="仿宋_GB2312" w:cs="宋体"/>
          <w:kern w:val="0"/>
          <w:sz w:val="32"/>
          <w:szCs w:val="32"/>
          <w:highlight w:val="none"/>
          <w:lang w:val="en-US" w:eastAsia="zh-CN"/>
        </w:rPr>
        <w:t>27,128.00</w:t>
      </w:r>
      <w:r>
        <w:rPr>
          <w:rFonts w:hint="eastAsia" w:ascii="仿宋_GB2312" w:hAnsi="宋体" w:eastAsia="仿宋_GB2312" w:cs="宋体"/>
          <w:kern w:val="0"/>
          <w:sz w:val="32"/>
          <w:szCs w:val="32"/>
          <w:highlight w:val="none"/>
        </w:rPr>
        <w:t>平方米，</w:t>
      </w:r>
      <w:r>
        <w:rPr>
          <w:rFonts w:hint="eastAsia" w:ascii="仿宋_GB2312" w:hAnsi="宋体" w:eastAsia="仿宋_GB2312" w:cs="宋体"/>
          <w:kern w:val="0"/>
          <w:sz w:val="32"/>
          <w:szCs w:val="32"/>
          <w:highlight w:val="none"/>
          <w:lang w:val="en-US" w:eastAsia="zh-CN"/>
        </w:rPr>
        <w:t>20,917.66</w:t>
      </w:r>
      <w:r>
        <w:rPr>
          <w:rFonts w:hint="eastAsia" w:ascii="仿宋_GB2312" w:hAnsi="宋体" w:eastAsia="仿宋_GB2312" w:cs="宋体"/>
          <w:kern w:val="0"/>
          <w:sz w:val="32"/>
          <w:szCs w:val="32"/>
          <w:highlight w:val="none"/>
        </w:rPr>
        <w:t>万元；汽车</w:t>
      </w:r>
      <w:r>
        <w:rPr>
          <w:rFonts w:hint="eastAsia" w:ascii="仿宋_GB2312" w:hAnsi="宋体" w:eastAsia="仿宋_GB2312" w:cs="宋体"/>
          <w:kern w:val="0"/>
          <w:sz w:val="32"/>
          <w:szCs w:val="32"/>
          <w:highlight w:val="none"/>
          <w:lang w:val="en-US" w:eastAsia="zh-CN"/>
        </w:rPr>
        <w:t>1</w:t>
      </w:r>
      <w:r>
        <w:rPr>
          <w:rFonts w:hint="eastAsia" w:ascii="仿宋_GB2312" w:hAnsi="宋体" w:eastAsia="仿宋_GB2312" w:cs="宋体"/>
          <w:kern w:val="0"/>
          <w:sz w:val="32"/>
          <w:szCs w:val="32"/>
          <w:highlight w:val="none"/>
        </w:rPr>
        <w:t>辆，</w:t>
      </w:r>
      <w:r>
        <w:rPr>
          <w:rFonts w:hint="eastAsia" w:ascii="仿宋_GB2312" w:hAnsi="宋体" w:eastAsia="仿宋_GB2312" w:cs="宋体"/>
          <w:kern w:val="0"/>
          <w:sz w:val="32"/>
          <w:szCs w:val="32"/>
          <w:highlight w:val="none"/>
          <w:lang w:val="en-US" w:eastAsia="zh-CN"/>
        </w:rPr>
        <w:t>19.12</w:t>
      </w:r>
      <w:r>
        <w:rPr>
          <w:rFonts w:hint="eastAsia" w:ascii="仿宋_GB2312" w:hAnsi="宋体" w:eastAsia="仿宋_GB2312" w:cs="宋体"/>
          <w:kern w:val="0"/>
          <w:sz w:val="32"/>
          <w:szCs w:val="32"/>
          <w:highlight w:val="none"/>
        </w:rPr>
        <w:t>万元；单价50万元以上的设备</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highlight w:val="none"/>
        </w:rPr>
        <w:t>台（套），</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w:t>
      </w:r>
    </w:p>
    <w:p>
      <w:pPr>
        <w:spacing w:line="560" w:lineRule="exact"/>
        <w:ind w:firstLine="630"/>
        <w:rPr>
          <w:rFonts w:hint="eastAsia" w:ascii="楷体_GB2312" w:eastAsia="楷体_GB2312"/>
          <w:sz w:val="32"/>
          <w:szCs w:val="32"/>
        </w:rPr>
      </w:pPr>
      <w:r>
        <w:rPr>
          <w:rFonts w:hint="eastAsia" w:ascii="楷体_GB2312" w:hAnsi="宋体" w:eastAsia="楷体_GB2312" w:cs="宋体"/>
          <w:kern w:val="0"/>
          <w:sz w:val="32"/>
          <w:szCs w:val="32"/>
        </w:rPr>
        <w:t>（八）</w:t>
      </w:r>
      <w:r>
        <w:rPr>
          <w:rFonts w:hint="eastAsia" w:ascii="楷体_GB2312" w:eastAsia="楷体_GB2312"/>
          <w:sz w:val="32"/>
          <w:szCs w:val="32"/>
        </w:rPr>
        <w:t>专业名词解释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2.项目支出：指在基本支出之外为完成特定行政任务或事业发展目标所发生的支出。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3.“三公”经费：是指单位通过一般公共预算财政拨款资金安排的因公出国（境）费、公务用车购置及运行维护费和公务接待费。其中，因公出国（境）费指单位公务出国（境）的国际旅费、国外城市间交通费、住宿费、伙食费、培训费、公杂费等支出；公务用车购置及运行维护费指单位公务用车车辆购置支出（含车辆购置税）及公务用车燃料费、维修费、过路过桥费、保险费等支出；公务接待费指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4.机关运行经费：指为本部门行政单位（含参照公务员法管理事业单位）使用一般公共预算财政拨款安排的基本支出中的日常公用经费。</w:t>
      </w:r>
      <w:r>
        <w:rPr>
          <w:rFonts w:hint="eastAsia" w:ascii="仿宋_GB2312" w:hAnsi="宋体" w:eastAsia="仿宋_GB2312" w:cs="宋体"/>
          <w:kern w:val="0"/>
          <w:sz w:val="32"/>
          <w:szCs w:val="32"/>
        </w:rPr>
        <w:t>包括办公费、邮电费、差旅费、会议费、福利费、维修费、办公用房水电费、办公用房取暖费、办公用房物业管理费、公务用车运行维护费以及其他费用。</w:t>
      </w:r>
      <w:r>
        <w:rPr>
          <w:rFonts w:hint="eastAsia" w:ascii="仿宋_GB2312" w:eastAsia="仿宋_GB2312"/>
          <w:sz w:val="32"/>
          <w:szCs w:val="32"/>
        </w:rPr>
        <w:t xml:space="preserve">  </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ascii="仿宋_GB2312" w:eastAsia="仿宋_GB2312"/>
          <w:sz w:val="32"/>
          <w:szCs w:val="32"/>
          <w:highlight w:val="none"/>
        </w:rPr>
        <w:t>5.</w:t>
      </w:r>
      <w:r>
        <w:rPr>
          <w:rFonts w:hint="eastAsia" w:ascii="仿宋_GB2312" w:eastAsia="仿宋_GB2312"/>
          <w:sz w:val="32"/>
          <w:szCs w:val="32"/>
        </w:rPr>
        <w:t>政策性农业保险：是以保险公司市场化经营为依托，政府通过保费补贴等政策扶持，对种植业、养殖业因遭受自然灾害和意外事故造成的经济损失提供的直接物化成本保险。政策性农业保险将财政手段与市场机制相对接，可以创新政府救灾方式，提高财政资金使用效益，分散农业风险，促进农民收入可持续增长。</w:t>
      </w:r>
    </w:p>
    <w:p>
      <w:pPr>
        <w:spacing w:line="560" w:lineRule="exact"/>
        <w:ind w:firstLine="640" w:firstLineChars="200"/>
        <w:rPr>
          <w:rFonts w:ascii="仿宋_GB2312" w:eastAsia="仿宋_GB2312"/>
          <w:sz w:val="32"/>
          <w:szCs w:val="32"/>
          <w:highlight w:val="yellow"/>
        </w:rPr>
      </w:pPr>
    </w:p>
    <w:p>
      <w:pPr>
        <w:spacing w:line="500" w:lineRule="exact"/>
        <w:ind w:firstLine="480" w:firstLineChars="150"/>
        <w:rPr>
          <w:rFonts w:hint="eastAsia" w:ascii="仿宋_GB2312" w:hAnsi="宋体" w:eastAsia="仿宋_GB2312" w:cs="宋体"/>
          <w:color w:val="FF0000"/>
          <w:sz w:val="32"/>
          <w:szCs w:val="32"/>
          <w:highlight w:val="none"/>
        </w:rPr>
      </w:pPr>
    </w:p>
    <w:p>
      <w:pPr>
        <w:spacing w:line="500" w:lineRule="exact"/>
        <w:jc w:val="center"/>
        <w:rPr>
          <w:rFonts w:ascii="华文中宋" w:hAnsi="华文中宋" w:eastAsia="华文中宋"/>
          <w:b/>
          <w:sz w:val="36"/>
          <w:szCs w:val="36"/>
          <w:highlight w:val="none"/>
        </w:rPr>
      </w:pPr>
      <w:r>
        <w:rPr>
          <w:rFonts w:hint="eastAsia" w:ascii="华文中宋" w:hAnsi="华文中宋" w:eastAsia="华文中宋"/>
          <w:b/>
          <w:sz w:val="36"/>
          <w:szCs w:val="36"/>
          <w:highlight w:val="none"/>
        </w:rPr>
        <w:t>　第二部分  2025年度</w:t>
      </w:r>
      <w:r>
        <w:rPr>
          <w:rFonts w:hint="eastAsia" w:ascii="华文中宋" w:hAnsi="华文中宋" w:eastAsia="华文中宋"/>
          <w:b/>
          <w:sz w:val="36"/>
          <w:szCs w:val="36"/>
          <w:highlight w:val="none"/>
        </w:rPr>
        <w:t>门头沟区</w:t>
      </w:r>
      <w:r>
        <w:rPr>
          <w:rFonts w:hint="eastAsia" w:ascii="华文中宋" w:hAnsi="华文中宋" w:eastAsia="华文中宋"/>
          <w:b/>
          <w:sz w:val="36"/>
          <w:szCs w:val="36"/>
          <w:highlight w:val="none"/>
          <w:lang w:eastAsia="zh-CN"/>
        </w:rPr>
        <w:t>农业农村局（本级）单位</w:t>
      </w:r>
      <w:r>
        <w:rPr>
          <w:rFonts w:hint="eastAsia" w:ascii="华文中宋" w:hAnsi="华文中宋" w:eastAsia="华文中宋"/>
          <w:b/>
          <w:sz w:val="36"/>
          <w:szCs w:val="36"/>
          <w:highlight w:val="none"/>
        </w:rPr>
        <w:t>预算报表</w:t>
      </w:r>
    </w:p>
    <w:p>
      <w:pPr>
        <w:spacing w:line="500" w:lineRule="exact"/>
        <w:jc w:val="center"/>
        <w:rPr>
          <w:rFonts w:ascii="仿宋_GB2312" w:eastAsia="仿宋_GB2312"/>
          <w:sz w:val="28"/>
          <w:szCs w:val="32"/>
          <w:highlight w:val="none"/>
        </w:rPr>
      </w:pPr>
    </w:p>
    <w:p>
      <w:pPr>
        <w:spacing w:line="50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附件：2025年度门头沟区</w:t>
      </w:r>
      <w:r>
        <w:rPr>
          <w:rFonts w:hint="eastAsia" w:ascii="仿宋_GB2312" w:eastAsia="仿宋_GB2312"/>
          <w:sz w:val="32"/>
          <w:szCs w:val="32"/>
          <w:highlight w:val="none"/>
          <w:lang w:eastAsia="zh-CN"/>
        </w:rPr>
        <w:t>农业农村局（本级）</w:t>
      </w:r>
      <w:bookmarkStart w:id="0" w:name="_Hlt61896700"/>
      <w:bookmarkStart w:id="1" w:name="_Hlt61896701"/>
      <w:r>
        <w:rPr>
          <w:rFonts w:hint="eastAsia" w:ascii="仿宋_GB2312" w:eastAsia="仿宋_GB2312"/>
          <w:sz w:val="32"/>
          <w:szCs w:val="32"/>
          <w:highlight w:val="none"/>
          <w:lang w:eastAsia="zh-CN"/>
        </w:rPr>
        <w:t>单位</w:t>
      </w:r>
      <w:r>
        <w:rPr>
          <w:rFonts w:hint="eastAsia" w:ascii="仿宋_GB2312" w:eastAsia="仿宋_GB2312"/>
          <w:sz w:val="32"/>
          <w:szCs w:val="32"/>
          <w:highlight w:val="none"/>
        </w:rPr>
        <w:t>预</w:t>
      </w:r>
      <w:bookmarkEnd w:id="0"/>
      <w:bookmarkEnd w:id="1"/>
      <w:r>
        <w:rPr>
          <w:rFonts w:hint="eastAsia" w:ascii="仿宋_GB2312" w:eastAsia="仿宋_GB2312"/>
          <w:sz w:val="32"/>
          <w:szCs w:val="32"/>
          <w:highlight w:val="none"/>
        </w:rPr>
        <w:t>算报表</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287" w:usb1="080F0000" w:usb2="00000010" w:usb3="00000000" w:csb0="0004009F" w:csb1="00000000"/>
  </w:font>
  <w:font w:name="仿宋_GB2312">
    <w:altName w:val="仿宋"/>
    <w:panose1 w:val="02010609030101010101"/>
    <w:charset w:val="86"/>
    <w:family w:val="modern"/>
    <w:pitch w:val="default"/>
    <w:sig w:usb0="00000001" w:usb1="080E0000" w:usb2="0000001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lang/>
      </w:rPr>
      <w:t>6</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lang/>
      </w:rPr>
      <w:t>1</w:t>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8E2005"/>
    <w:multiLevelType w:val="singleLevel"/>
    <w:tmpl w:val="678E2005"/>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1D88"/>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F7DF4"/>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D04C6"/>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F20AF"/>
    <w:rsid w:val="005001E3"/>
    <w:rsid w:val="00502EF4"/>
    <w:rsid w:val="00503188"/>
    <w:rsid w:val="00504BE7"/>
    <w:rsid w:val="00515D11"/>
    <w:rsid w:val="00520724"/>
    <w:rsid w:val="00530700"/>
    <w:rsid w:val="00533C9C"/>
    <w:rsid w:val="00540278"/>
    <w:rsid w:val="005528F0"/>
    <w:rsid w:val="0055485D"/>
    <w:rsid w:val="00555610"/>
    <w:rsid w:val="00555AC1"/>
    <w:rsid w:val="0056308D"/>
    <w:rsid w:val="00565422"/>
    <w:rsid w:val="00566322"/>
    <w:rsid w:val="00572AC5"/>
    <w:rsid w:val="00580869"/>
    <w:rsid w:val="00581627"/>
    <w:rsid w:val="00583717"/>
    <w:rsid w:val="0058441F"/>
    <w:rsid w:val="0058535D"/>
    <w:rsid w:val="005A2B0F"/>
    <w:rsid w:val="005A2FA7"/>
    <w:rsid w:val="005B7249"/>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066C3"/>
    <w:rsid w:val="00810E5C"/>
    <w:rsid w:val="008113FF"/>
    <w:rsid w:val="00811C75"/>
    <w:rsid w:val="00813BBC"/>
    <w:rsid w:val="008227B1"/>
    <w:rsid w:val="00830DB2"/>
    <w:rsid w:val="00835CA7"/>
    <w:rsid w:val="00836D84"/>
    <w:rsid w:val="00851DCD"/>
    <w:rsid w:val="00864AA1"/>
    <w:rsid w:val="008720A5"/>
    <w:rsid w:val="008721A8"/>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54E2B"/>
    <w:rsid w:val="00955BA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247D"/>
    <w:rsid w:val="00BB6B7E"/>
    <w:rsid w:val="00BD0512"/>
    <w:rsid w:val="00BD5CE1"/>
    <w:rsid w:val="00BE3304"/>
    <w:rsid w:val="00C03453"/>
    <w:rsid w:val="00C13E3E"/>
    <w:rsid w:val="00C31C79"/>
    <w:rsid w:val="00C42F84"/>
    <w:rsid w:val="00C547AD"/>
    <w:rsid w:val="00C61571"/>
    <w:rsid w:val="00C7209F"/>
    <w:rsid w:val="00C75BF6"/>
    <w:rsid w:val="00C7639C"/>
    <w:rsid w:val="00C84415"/>
    <w:rsid w:val="00C84DFC"/>
    <w:rsid w:val="00C90DF3"/>
    <w:rsid w:val="00C95B57"/>
    <w:rsid w:val="00C974BA"/>
    <w:rsid w:val="00CA2719"/>
    <w:rsid w:val="00CB4D9F"/>
    <w:rsid w:val="00CC288B"/>
    <w:rsid w:val="00CC72EC"/>
    <w:rsid w:val="00CC758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0EE8"/>
    <w:rsid w:val="00E61875"/>
    <w:rsid w:val="00E64422"/>
    <w:rsid w:val="00E728DC"/>
    <w:rsid w:val="00E8183A"/>
    <w:rsid w:val="00E84745"/>
    <w:rsid w:val="00E84E26"/>
    <w:rsid w:val="00E95DC4"/>
    <w:rsid w:val="00ED3BEC"/>
    <w:rsid w:val="00F00355"/>
    <w:rsid w:val="00F00C46"/>
    <w:rsid w:val="00F029AF"/>
    <w:rsid w:val="00F03665"/>
    <w:rsid w:val="00F064DF"/>
    <w:rsid w:val="00F12FB6"/>
    <w:rsid w:val="00F22A04"/>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C6D7F"/>
    <w:rsid w:val="00FD067E"/>
    <w:rsid w:val="00FD22DB"/>
    <w:rsid w:val="00FD7EDD"/>
    <w:rsid w:val="00FE3A71"/>
    <w:rsid w:val="00FE43E3"/>
    <w:rsid w:val="218746D3"/>
    <w:rsid w:val="32FB7F2B"/>
    <w:rsid w:val="42B24BFC"/>
    <w:rsid w:val="4AF80E06"/>
    <w:rsid w:val="547C3044"/>
    <w:rsid w:val="642E2C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12">
    <w:name w:val="Normal Table"/>
    <w:semiHidden/>
    <w:uiPriority w:val="0"/>
    <w:tblPr>
      <w:tblStyle w:val="12"/>
      <w:tblLayout w:type="fixed"/>
      <w:tblCellMar>
        <w:top w:w="0" w:type="dxa"/>
        <w:left w:w="108" w:type="dxa"/>
        <w:bottom w:w="0" w:type="dxa"/>
        <w:right w:w="108" w:type="dxa"/>
      </w:tblCellMar>
    </w:tblPr>
  </w:style>
  <w:style w:type="paragraph" w:styleId="2">
    <w:name w:val="Normal Indent"/>
    <w:basedOn w:val="1"/>
    <w:next w:val="3"/>
    <w:uiPriority w:val="0"/>
    <w:pPr>
      <w:ind w:firstLine="420"/>
    </w:pPr>
    <w:rPr>
      <w:szCs w:val="21"/>
    </w:rPr>
  </w:style>
  <w:style w:type="paragraph" w:styleId="3">
    <w:name w:val="Body Text Indent"/>
    <w:basedOn w:val="1"/>
    <w:next w:val="2"/>
    <w:uiPriority w:val="0"/>
    <w:pPr>
      <w:ind w:left="420" w:leftChars="200"/>
    </w:pPr>
    <w:rPr>
      <w:rFonts w:ascii="Calibri" w:hAnsi="Calibri" w:eastAsia="宋体" w:cs="Times New Roman"/>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Body Text First Indent 2"/>
    <w:basedOn w:val="3"/>
    <w:uiPriority w:val="0"/>
    <w:pPr>
      <w:ind w:firstLine="420" w:firstLineChars="200"/>
    </w:pPr>
  </w:style>
  <w:style w:type="paragraph" w:styleId="7">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jc w:val="left"/>
    </w:pPr>
    <w:rPr>
      <w:rFonts w:ascii="Calibri" w:hAnsi="Calibri" w:eastAsia="宋体"/>
      <w:kern w:val="0"/>
      <w:sz w:val="24"/>
    </w:rPr>
  </w:style>
  <w:style w:type="character" w:styleId="10">
    <w:name w:val="page number"/>
    <w:basedOn w:val="9"/>
    <w:uiPriority w:val="0"/>
  </w:style>
  <w:style w:type="character" w:styleId="11">
    <w:name w:val="Hyperlink"/>
    <w:uiPriority w:val="0"/>
    <w:rPr>
      <w:color w:val="000000"/>
      <w:u w:val="none"/>
    </w:rPr>
  </w:style>
  <w:style w:type="character" w:customStyle="1" w:styleId="13">
    <w:name w:val="页眉 Char"/>
    <w:link w:val="7"/>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402</Words>
  <Characters>2296</Characters>
  <Lines>19</Lines>
  <Paragraphs>5</Paragraphs>
  <ScaleCrop>false</ScaleCrop>
  <LinksUpToDate>false</LinksUpToDate>
  <CharactersWithSpaces>2693</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2017-11-23T08:10:00Z</dcterms:created>
  <dc:creator>高山</dc:creator>
  <cp:lastModifiedBy>NYNCJ-ZYJ</cp:lastModifiedBy>
  <cp:lastPrinted>2025-02-06T07:57:11Z</cp:lastPrinted>
  <dcterms:modified xsi:type="dcterms:W3CDTF">2025-02-11T03:01:21Z</dcterms:modified>
  <dc:title>门头沟区民防局2012年预算情况说明</dc:title>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