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2F5DB0">
      <w:pPr>
        <w:keepNext w:val="0"/>
        <w:keepLines w:val="0"/>
        <w:pageBreakBefore w:val="0"/>
        <w:widowControl/>
        <w:kinsoku/>
        <w:wordWrap/>
        <w:overflowPunct/>
        <w:topLinePunct w:val="0"/>
        <w:autoSpaceDE/>
        <w:autoSpaceDN/>
        <w:bidi w:val="0"/>
        <w:adjustRightInd/>
        <w:snapToGrid/>
        <w:spacing w:line="610" w:lineRule="exact"/>
        <w:jc w:val="left"/>
        <w:textAlignment w:val="auto"/>
        <w:outlineLvl w:val="9"/>
        <w:rPr>
          <w:rFonts w:hint="default" w:ascii="Times New Roman" w:hAnsi="Times New Roman" w:eastAsia="黑体" w:cs="Times New Roman"/>
          <w:snapToGrid w:val="0"/>
          <w:color w:val="000000"/>
          <w:kern w:val="0"/>
          <w:sz w:val="32"/>
          <w:szCs w:val="32"/>
          <w:highlight w:val="none"/>
          <w:lang w:val="en-US" w:eastAsia="zh-CN"/>
        </w:rPr>
      </w:pPr>
      <w:r>
        <w:rPr>
          <w:rFonts w:hint="eastAsia" w:ascii="Times New Roman" w:hAnsi="Times New Roman" w:eastAsia="黑体" w:cs="Times New Roman"/>
          <w:snapToGrid w:val="0"/>
          <w:color w:val="000000"/>
          <w:kern w:val="0"/>
          <w:sz w:val="32"/>
          <w:szCs w:val="32"/>
          <w:highlight w:val="none"/>
          <w:lang w:val="en-US" w:eastAsia="zh-CN"/>
        </w:rPr>
        <w:t>附件</w:t>
      </w:r>
    </w:p>
    <w:p w14:paraId="4B22809C">
      <w:pPr>
        <w:keepNext w:val="0"/>
        <w:keepLines w:val="0"/>
        <w:pageBreakBefore w:val="0"/>
        <w:widowControl w:val="0"/>
        <w:kinsoku/>
        <w:wordWrap/>
        <w:overflowPunct/>
        <w:topLinePunct w:val="0"/>
        <w:autoSpaceDE/>
        <w:autoSpaceDN/>
        <w:bidi w:val="0"/>
        <w:adjustRightInd/>
        <w:snapToGrid/>
        <w:spacing w:after="305" w:afterLines="50" w:line="540" w:lineRule="exact"/>
        <w:jc w:val="center"/>
        <w:textAlignment w:val="baseline"/>
        <w:outlineLvl w:val="9"/>
        <w:rPr>
          <w:rFonts w:ascii="Times New Roman" w:hAnsi="Times New Roman" w:eastAsia="宋体" w:cs="Times New Roman"/>
          <w:color w:val="000000" w:themeColor="text1"/>
          <w:sz w:val="22"/>
          <w:szCs w:val="22"/>
          <w14:textFill>
            <w14:solidFill>
              <w14:schemeClr w14:val="tx1"/>
            </w14:solidFill>
          </w14:textFill>
        </w:rPr>
      </w:pPr>
      <w:r>
        <w:rPr>
          <w:rFonts w:hint="eastAsia" w:ascii="方正小标宋简体" w:hAnsi="方正小标宋简体" w:eastAsia="方正小标宋简体" w:cs="方正小标宋简体"/>
          <w:snapToGrid w:val="0"/>
          <w:color w:val="000000"/>
          <w:kern w:val="0"/>
          <w:sz w:val="36"/>
          <w:szCs w:val="36"/>
          <w:lang w:val="en-US" w:eastAsia="zh-CN"/>
        </w:rPr>
        <w:t>门头沟区2025年度财政衔接推进乡村振兴补助资金拟入库项目申报表</w:t>
      </w:r>
    </w:p>
    <w:p w14:paraId="13909C35">
      <w:pPr>
        <w:pStyle w:val="4"/>
        <w:keepNext w:val="0"/>
        <w:keepLines w:val="0"/>
        <w:pageBreakBefore w:val="0"/>
        <w:widowControl/>
        <w:kinsoku w:val="0"/>
        <w:wordWrap/>
        <w:overflowPunct/>
        <w:topLinePunct w:val="0"/>
        <w:autoSpaceDE w:val="0"/>
        <w:autoSpaceDN w:val="0"/>
        <w:bidi w:val="0"/>
        <w:adjustRightInd w:val="0"/>
        <w:snapToGrid w:val="0"/>
        <w:spacing w:line="560" w:lineRule="exact"/>
        <w:ind w:firstLine="0" w:firstLineChars="0"/>
        <w:jc w:val="center"/>
        <w:textAlignment w:val="baseline"/>
        <w:rPr>
          <w:rFonts w:ascii="Times New Roman" w:hAnsi="Times New Roman" w:eastAsia="宋体" w:cs="Times New Roman"/>
          <w:color w:val="000000" w:themeColor="text1"/>
          <w:sz w:val="32"/>
          <w:szCs w:val="32"/>
          <w:lang w:eastAsia="zh-CN"/>
          <w14:textFill>
            <w14:solidFill>
              <w14:schemeClr w14:val="tx1"/>
            </w14:solidFill>
          </w14:textFill>
        </w:rPr>
      </w:pPr>
      <w:r>
        <w:rPr>
          <w:rFonts w:ascii="Times New Roman" w:hAnsi="Times New Roman" w:eastAsia="宋体" w:cs="Times New Roman"/>
          <w:color w:val="000000" w:themeColor="text1"/>
          <w:sz w:val="22"/>
          <w:szCs w:val="22"/>
          <w14:textFill>
            <w14:solidFill>
              <w14:schemeClr w14:val="tx1"/>
            </w14:solidFill>
          </w14:textFill>
        </w:rPr>
        <w:t>填报单位</w:t>
      </w:r>
      <w:r>
        <w:rPr>
          <w:rFonts w:hint="eastAsia" w:ascii="Times New Roman" w:hAnsi="Times New Roman" w:eastAsia="宋体" w:cs="Times New Roman"/>
          <w:color w:val="000000" w:themeColor="text1"/>
          <w:sz w:val="22"/>
          <w:szCs w:val="22"/>
          <w:lang w:eastAsia="zh-CN"/>
          <w14:textFill>
            <w14:solidFill>
              <w14:schemeClr w14:val="tx1"/>
            </w14:solidFill>
          </w14:textFill>
        </w:rPr>
        <w:t>（公章）</w:t>
      </w:r>
      <w:r>
        <w:rPr>
          <w:rFonts w:hint="eastAsia" w:ascii="宋体" w:hAnsi="宋体" w:eastAsia="宋体" w:cs="宋体"/>
          <w:color w:val="000000" w:themeColor="text1"/>
          <w:sz w:val="22"/>
          <w:szCs w:val="22"/>
          <w14:textFill>
            <w14:solidFill>
              <w14:schemeClr w14:val="tx1"/>
            </w14:solidFill>
          </w14:textFill>
        </w:rPr>
        <w:t>：</w:t>
      </w:r>
      <w:r>
        <w:rPr>
          <w:rFonts w:hint="eastAsia" w:ascii="宋体" w:hAnsi="宋体" w:eastAsia="宋体" w:cs="宋体"/>
          <w:color w:val="000000" w:themeColor="text1"/>
          <w:sz w:val="22"/>
          <w:szCs w:val="22"/>
          <w:lang w:val="en-US" w:eastAsia="zh-CN"/>
          <w14:textFill>
            <w14:solidFill>
              <w14:schemeClr w14:val="tx1"/>
            </w14:solidFill>
          </w14:textFill>
        </w:rPr>
        <w:t>门头沟区农业农村局</w:t>
      </w:r>
      <w:r>
        <w:rPr>
          <w:rFonts w:ascii="Times New Roman" w:hAnsi="Times New Roman" w:eastAsia="宋体" w:cs="Times New Roman"/>
          <w:color w:val="000000" w:themeColor="text1"/>
          <w:sz w:val="22"/>
          <w:szCs w:val="22"/>
          <w14:textFill>
            <w14:solidFill>
              <w14:schemeClr w14:val="tx1"/>
            </w14:solidFill>
          </w14:textFill>
        </w:rPr>
        <w:t xml:space="preserve">     填报人</w:t>
      </w:r>
      <w:r>
        <w:rPr>
          <w:rFonts w:hint="eastAsia" w:ascii="宋体" w:hAnsi="宋体" w:eastAsia="宋体" w:cs="宋体"/>
          <w:color w:val="000000" w:themeColor="text1"/>
          <w:sz w:val="22"/>
          <w:szCs w:val="22"/>
          <w14:textFill>
            <w14:solidFill>
              <w14:schemeClr w14:val="tx1"/>
            </w14:solidFill>
          </w14:textFill>
        </w:rPr>
        <w:t>：</w:t>
      </w:r>
      <w:r>
        <w:rPr>
          <w:rFonts w:hint="eastAsia" w:ascii="宋体" w:hAnsi="宋体" w:eastAsia="宋体" w:cs="宋体"/>
          <w:color w:val="000000" w:themeColor="text1"/>
          <w:sz w:val="22"/>
          <w:szCs w:val="22"/>
          <w:lang w:val="en-US" w:eastAsia="zh-CN"/>
          <w14:textFill>
            <w14:solidFill>
              <w14:schemeClr w14:val="tx1"/>
            </w14:solidFill>
          </w14:textFill>
        </w:rPr>
        <w:t>毕方宇</w:t>
      </w:r>
      <w:r>
        <w:rPr>
          <w:rFonts w:ascii="Times New Roman" w:hAnsi="Times New Roman" w:eastAsia="宋体" w:cs="Times New Roman"/>
          <w:color w:val="000000" w:themeColor="text1"/>
          <w:sz w:val="22"/>
          <w:szCs w:val="22"/>
          <w14:textFill>
            <w14:solidFill>
              <w14:schemeClr w14:val="tx1"/>
            </w14:solidFill>
          </w14:textFill>
        </w:rPr>
        <w:t xml:space="preserve">   联系电话</w:t>
      </w:r>
      <w:r>
        <w:rPr>
          <w:rFonts w:hint="eastAsia" w:ascii="Times New Roman" w:hAnsi="Times New Roman" w:eastAsia="宋体" w:cs="Times New Roman"/>
          <w:color w:val="000000" w:themeColor="text1"/>
          <w:sz w:val="22"/>
          <w:szCs w:val="22"/>
          <w14:textFill>
            <w14:solidFill>
              <w14:schemeClr w14:val="tx1"/>
            </w14:solidFill>
          </w14:textFill>
        </w:rPr>
        <w:t>：</w:t>
      </w:r>
      <w:r>
        <w:rPr>
          <w:rFonts w:hint="eastAsia" w:ascii="Times New Roman" w:hAnsi="Times New Roman" w:eastAsia="宋体" w:cs="Times New Roman"/>
          <w:color w:val="000000" w:themeColor="text1"/>
          <w:sz w:val="22"/>
          <w:szCs w:val="22"/>
          <w:lang w:val="en-US" w:eastAsia="zh-CN"/>
          <w14:textFill>
            <w14:solidFill>
              <w14:schemeClr w14:val="tx1"/>
            </w14:solidFill>
          </w14:textFill>
        </w:rPr>
        <w:t>010-60861088</w:t>
      </w:r>
      <w:r>
        <w:rPr>
          <w:rFonts w:ascii="Times New Roman" w:hAnsi="Times New Roman" w:eastAsia="宋体" w:cs="Times New Roman"/>
          <w:color w:val="000000" w:themeColor="text1"/>
          <w:sz w:val="22"/>
          <w:szCs w:val="22"/>
          <w14:textFill>
            <w14:solidFill>
              <w14:schemeClr w14:val="tx1"/>
            </w14:solidFill>
          </w14:textFill>
        </w:rPr>
        <w:t xml:space="preserve">          填报日期</w:t>
      </w:r>
      <w:r>
        <w:rPr>
          <w:rFonts w:hint="eastAsia" w:ascii="宋体" w:hAnsi="宋体" w:eastAsia="宋体" w:cs="宋体"/>
          <w:color w:val="000000" w:themeColor="text1"/>
          <w:sz w:val="22"/>
          <w:szCs w:val="22"/>
          <w14:textFill>
            <w14:solidFill>
              <w14:schemeClr w14:val="tx1"/>
            </w14:solidFill>
          </w14:textFill>
        </w:rPr>
        <w:t>：</w:t>
      </w:r>
      <w:r>
        <w:rPr>
          <w:rFonts w:hint="eastAsia" w:ascii="宋体" w:hAnsi="宋体" w:eastAsia="宋体" w:cs="宋体"/>
          <w:color w:val="000000" w:themeColor="text1"/>
          <w:sz w:val="22"/>
          <w:szCs w:val="22"/>
          <w:lang w:val="en-US" w:eastAsia="zh-CN"/>
          <w14:textFill>
            <w14:solidFill>
              <w14:schemeClr w14:val="tx1"/>
            </w14:solidFill>
          </w14:textFill>
        </w:rPr>
        <w:t>2025</w:t>
      </w:r>
      <w:r>
        <w:rPr>
          <w:rFonts w:hint="eastAsia" w:ascii="Times New Roman" w:hAnsi="Times New Roman" w:eastAsia="宋体" w:cs="Times New Roman"/>
          <w:color w:val="000000" w:themeColor="text1"/>
          <w:sz w:val="22"/>
          <w:szCs w:val="22"/>
          <w:lang w:eastAsia="zh-CN"/>
          <w14:textFill>
            <w14:solidFill>
              <w14:schemeClr w14:val="tx1"/>
            </w14:solidFill>
          </w14:textFill>
        </w:rPr>
        <w:t>年</w:t>
      </w:r>
      <w:r>
        <w:rPr>
          <w:rFonts w:hint="eastAsia" w:ascii="宋体" w:hAnsi="宋体" w:eastAsia="宋体" w:cs="宋体"/>
          <w:color w:val="000000" w:themeColor="text1"/>
          <w:sz w:val="22"/>
          <w:szCs w:val="22"/>
          <w:lang w:val="en-US" w:eastAsia="zh-CN"/>
          <w14:textFill>
            <w14:solidFill>
              <w14:schemeClr w14:val="tx1"/>
            </w14:solidFill>
          </w14:textFill>
        </w:rPr>
        <w:t>5月7日</w:t>
      </w:r>
    </w:p>
    <w:tbl>
      <w:tblPr>
        <w:tblStyle w:val="5"/>
        <w:tblpPr w:leftFromText="180" w:rightFromText="180" w:vertAnchor="text" w:horzAnchor="page" w:tblpXSpec="center" w:tblpY="474"/>
        <w:tblOverlap w:val="never"/>
        <w:tblW w:w="0" w:type="auto"/>
        <w:jc w:val="center"/>
        <w:tblLayout w:type="fixed"/>
        <w:tblCellMar>
          <w:top w:w="0" w:type="dxa"/>
          <w:left w:w="108" w:type="dxa"/>
          <w:bottom w:w="0" w:type="dxa"/>
          <w:right w:w="108" w:type="dxa"/>
        </w:tblCellMar>
      </w:tblPr>
      <w:tblGrid>
        <w:gridCol w:w="306"/>
        <w:gridCol w:w="571"/>
        <w:gridCol w:w="330"/>
        <w:gridCol w:w="402"/>
        <w:gridCol w:w="342"/>
        <w:gridCol w:w="330"/>
        <w:gridCol w:w="342"/>
        <w:gridCol w:w="2423"/>
        <w:gridCol w:w="375"/>
        <w:gridCol w:w="386"/>
        <w:gridCol w:w="351"/>
        <w:gridCol w:w="486"/>
        <w:gridCol w:w="414"/>
        <w:gridCol w:w="366"/>
        <w:gridCol w:w="390"/>
        <w:gridCol w:w="426"/>
        <w:gridCol w:w="414"/>
        <w:gridCol w:w="487"/>
        <w:gridCol w:w="979"/>
        <w:gridCol w:w="649"/>
        <w:gridCol w:w="462"/>
        <w:gridCol w:w="390"/>
        <w:gridCol w:w="390"/>
        <w:gridCol w:w="342"/>
        <w:gridCol w:w="1104"/>
        <w:gridCol w:w="426"/>
      </w:tblGrid>
      <w:tr w14:paraId="28CD7A12">
        <w:tblPrEx>
          <w:tblCellMar>
            <w:top w:w="0" w:type="dxa"/>
            <w:left w:w="108" w:type="dxa"/>
            <w:bottom w:w="0" w:type="dxa"/>
            <w:right w:w="108" w:type="dxa"/>
          </w:tblCellMar>
        </w:tblPrEx>
        <w:trPr>
          <w:trHeight w:val="747" w:hRule="atLeast"/>
          <w:jc w:val="center"/>
        </w:trPr>
        <w:tc>
          <w:tcPr>
            <w:tcW w:w="30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CB2FC97">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序号</w:t>
            </w:r>
          </w:p>
        </w:tc>
        <w:tc>
          <w:tcPr>
            <w:tcW w:w="571"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2FA3C98">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项目名称</w:t>
            </w:r>
          </w:p>
        </w:tc>
        <w:tc>
          <w:tcPr>
            <w:tcW w:w="33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6642A88">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项目类型</w:t>
            </w:r>
          </w:p>
        </w:tc>
        <w:tc>
          <w:tcPr>
            <w:tcW w:w="402" w:type="dxa"/>
            <w:vMerge w:val="restart"/>
            <w:tcBorders>
              <w:top w:val="single" w:color="000000" w:sz="4" w:space="0"/>
              <w:left w:val="single" w:color="000000" w:sz="4" w:space="0"/>
              <w:right w:val="single" w:color="000000" w:sz="4" w:space="0"/>
            </w:tcBorders>
            <w:shd w:val="clear" w:color="auto" w:fill="auto"/>
            <w:tcMar>
              <w:top w:w="0" w:type="dxa"/>
              <w:left w:w="57" w:type="dxa"/>
              <w:bottom w:w="0" w:type="dxa"/>
              <w:right w:w="57" w:type="dxa"/>
            </w:tcMar>
            <w:vAlign w:val="center"/>
          </w:tcPr>
          <w:p w14:paraId="37109F66">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lang w:eastAsia="zh-CN"/>
                <w14:textFill>
                  <w14:solidFill>
                    <w14:schemeClr w14:val="tx1"/>
                  </w14:solidFill>
                </w14:textFill>
              </w:rPr>
              <w:t>二级</w:t>
            </w:r>
            <w:r>
              <w:rPr>
                <w:rFonts w:hint="eastAsia" w:ascii="黑体" w:hAnsi="黑体" w:eastAsia="黑体" w:cs="黑体"/>
                <w:color w:val="000000" w:themeColor="text1"/>
                <w:sz w:val="18"/>
                <w:szCs w:val="18"/>
                <w14:textFill>
                  <w14:solidFill>
                    <w14:schemeClr w14:val="tx1"/>
                  </w14:solidFill>
                </w14:textFill>
              </w:rPr>
              <w:t>项目类型</w:t>
            </w:r>
          </w:p>
        </w:tc>
        <w:tc>
          <w:tcPr>
            <w:tcW w:w="342"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D26E8CE">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项目子类型</w:t>
            </w:r>
          </w:p>
        </w:tc>
        <w:tc>
          <w:tcPr>
            <w:tcW w:w="672"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E505C8F">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项目建设地点</w:t>
            </w:r>
          </w:p>
        </w:tc>
        <w:tc>
          <w:tcPr>
            <w:tcW w:w="2423"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9D783AD">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项目建设内容及补助标准</w:t>
            </w:r>
          </w:p>
        </w:tc>
        <w:tc>
          <w:tcPr>
            <w:tcW w:w="375"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D37143A">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项目预算总投资</w:t>
            </w:r>
          </w:p>
        </w:tc>
        <w:tc>
          <w:tcPr>
            <w:tcW w:w="737"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8EC5B31">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资金来源</w:t>
            </w:r>
            <w:r>
              <w:rPr>
                <w:rFonts w:hint="eastAsia" w:ascii="黑体" w:hAnsi="黑体" w:eastAsia="黑体" w:cs="黑体"/>
                <w:color w:val="000000" w:themeColor="text1"/>
                <w:sz w:val="18"/>
                <w:szCs w:val="18"/>
                <w:lang w:eastAsia="zh-CN"/>
                <w14:textFill>
                  <w14:solidFill>
                    <w14:schemeClr w14:val="tx1"/>
                  </w14:solidFill>
                </w14:textFill>
              </w:rPr>
              <w:t>（计划）</w:t>
            </w:r>
          </w:p>
        </w:tc>
        <w:tc>
          <w:tcPr>
            <w:tcW w:w="48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A8F4203">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项目规划年度</w:t>
            </w:r>
          </w:p>
        </w:tc>
        <w:tc>
          <w:tcPr>
            <w:tcW w:w="780" w:type="dxa"/>
            <w:gridSpan w:val="2"/>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44AF99C">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项目归属</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804296A">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是否脱贫村提升工程</w:t>
            </w:r>
          </w:p>
        </w:tc>
        <w:tc>
          <w:tcPr>
            <w:tcW w:w="42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EBF8BD2">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是否易地扶贫搬迁后扶项目</w:t>
            </w:r>
          </w:p>
        </w:tc>
        <w:tc>
          <w:tcPr>
            <w:tcW w:w="414"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46DCD94">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是否增加村集体经济收入</w:t>
            </w:r>
          </w:p>
        </w:tc>
        <w:tc>
          <w:tcPr>
            <w:tcW w:w="487"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39A63B1">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是否资产收益</w:t>
            </w:r>
          </w:p>
        </w:tc>
        <w:tc>
          <w:tcPr>
            <w:tcW w:w="979"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367D5B3">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群众参与和利益联结机制</w:t>
            </w:r>
          </w:p>
        </w:tc>
        <w:tc>
          <w:tcPr>
            <w:tcW w:w="649"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CC7416D">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年度总体目标</w:t>
            </w:r>
          </w:p>
        </w:tc>
        <w:tc>
          <w:tcPr>
            <w:tcW w:w="462"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A419D1F">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lang w:eastAsia="zh-CN"/>
                <w14:textFill>
                  <w14:solidFill>
                    <w14:schemeClr w14:val="tx1"/>
                  </w14:solidFill>
                </w14:textFill>
              </w:rPr>
              <w:t>项目受益总人口数</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B9EA328">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lang w:eastAsia="zh-CN"/>
                <w14:textFill>
                  <w14:solidFill>
                    <w14:schemeClr w14:val="tx1"/>
                  </w14:solidFill>
                </w14:textFill>
              </w:rPr>
              <w:t>其中直接受益人口数</w:t>
            </w:r>
          </w:p>
        </w:tc>
        <w:tc>
          <w:tcPr>
            <w:tcW w:w="390"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3680986">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项目主管单位</w:t>
            </w:r>
          </w:p>
        </w:tc>
        <w:tc>
          <w:tcPr>
            <w:tcW w:w="342"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C09E53F">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项目负责人</w:t>
            </w:r>
          </w:p>
        </w:tc>
        <w:tc>
          <w:tcPr>
            <w:tcW w:w="1104"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664C132">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联系电话</w:t>
            </w:r>
          </w:p>
        </w:tc>
        <w:tc>
          <w:tcPr>
            <w:tcW w:w="426" w:type="dxa"/>
            <w:vMerge w:val="restart"/>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CE61CA6">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项目是否纳入年度实施计划</w:t>
            </w:r>
          </w:p>
        </w:tc>
      </w:tr>
      <w:tr w14:paraId="629EA8CB">
        <w:tblPrEx>
          <w:tblCellMar>
            <w:top w:w="0" w:type="dxa"/>
            <w:left w:w="108" w:type="dxa"/>
            <w:bottom w:w="0" w:type="dxa"/>
            <w:right w:w="108" w:type="dxa"/>
          </w:tblCellMar>
        </w:tblPrEx>
        <w:trPr>
          <w:trHeight w:val="1852" w:hRule="atLeast"/>
          <w:jc w:val="center"/>
        </w:trPr>
        <w:tc>
          <w:tcPr>
            <w:tcW w:w="30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FD75A82">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571"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8A0519F">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33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E29E9F3">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402" w:type="dxa"/>
            <w:vMerge w:val="continue"/>
            <w:tcBorders>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6FF83F5">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342"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997F5CD">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1BADC2A">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乡镇</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742FC49">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村</w:t>
            </w:r>
          </w:p>
        </w:tc>
        <w:tc>
          <w:tcPr>
            <w:tcW w:w="2423"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045D04B">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p>
        </w:tc>
        <w:tc>
          <w:tcPr>
            <w:tcW w:w="375"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09DAA63">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p>
        </w:tc>
        <w:tc>
          <w:tcPr>
            <w:tcW w:w="3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5B0BF4B">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lang w:eastAsia="zh-CN"/>
                <w14:textFill>
                  <w14:solidFill>
                    <w14:schemeClr w14:val="tx1"/>
                  </w14:solidFill>
                </w14:textFill>
              </w:rPr>
              <w:t>财政衔接</w:t>
            </w:r>
            <w:r>
              <w:rPr>
                <w:rFonts w:hint="eastAsia" w:ascii="黑体" w:hAnsi="黑体" w:eastAsia="黑体" w:cs="黑体"/>
                <w:color w:val="000000" w:themeColor="text1"/>
                <w:sz w:val="18"/>
                <w:szCs w:val="18"/>
                <w14:textFill>
                  <w14:solidFill>
                    <w14:schemeClr w14:val="tx1"/>
                  </w14:solidFill>
                </w14:textFill>
              </w:rPr>
              <w:t>资金</w:t>
            </w:r>
          </w:p>
        </w:tc>
        <w:tc>
          <w:tcPr>
            <w:tcW w:w="35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205DB50">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其他资金</w:t>
            </w:r>
          </w:p>
        </w:tc>
        <w:tc>
          <w:tcPr>
            <w:tcW w:w="48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DF7CAFD">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D0E8454">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解决"两不愁三保障"项目</w:t>
            </w:r>
          </w:p>
        </w:tc>
        <w:tc>
          <w:tcPr>
            <w:tcW w:w="36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6611ABE">
            <w:pPr>
              <w:kinsoku/>
              <w:autoSpaceDE/>
              <w:autoSpaceDN/>
              <w:adjustRightInd/>
              <w:snapToGrid/>
              <w:spacing w:line="240" w:lineRule="exact"/>
              <w:jc w:val="center"/>
              <w:rPr>
                <w:rFonts w:ascii="黑体" w:hAnsi="黑体" w:eastAsia="黑体" w:cs="黑体"/>
                <w:color w:val="000000" w:themeColor="text1"/>
                <w:sz w:val="18"/>
                <w:szCs w:val="18"/>
                <w14:textFill>
                  <w14:solidFill>
                    <w14:schemeClr w14:val="tx1"/>
                  </w14:solidFill>
                </w14:textFill>
              </w:rPr>
            </w:pPr>
            <w:r>
              <w:rPr>
                <w:rFonts w:hint="eastAsia" w:ascii="黑体" w:hAnsi="黑体" w:eastAsia="黑体" w:cs="黑体"/>
                <w:color w:val="000000" w:themeColor="text1"/>
                <w:sz w:val="18"/>
                <w:szCs w:val="18"/>
                <w14:textFill>
                  <w14:solidFill>
                    <w14:schemeClr w14:val="tx1"/>
                  </w14:solidFill>
                </w14:textFill>
              </w:rPr>
              <w:t>巩固提升类项目</w:t>
            </w: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6699EC4">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0CA1CD9">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414"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0F9726E">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487"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B5AEDA5">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979"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F49FD5B">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649"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EA029A7">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462"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53A867D">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B36C856">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390"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1646D07">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342"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44553B9">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1104"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D11D93E">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c>
          <w:tcPr>
            <w:tcW w:w="426" w:type="dxa"/>
            <w:vMerge w:val="continue"/>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31F6D94">
            <w:pPr>
              <w:kinsoku/>
              <w:autoSpaceDE/>
              <w:autoSpaceDN/>
              <w:adjustRightInd/>
              <w:snapToGrid/>
              <w:spacing w:line="240" w:lineRule="exact"/>
              <w:jc w:val="center"/>
              <w:rPr>
                <w:rFonts w:ascii="Times New Roman" w:hAnsi="Times New Roman" w:eastAsia="宋体" w:cs="Times New Roman"/>
                <w:b/>
                <w:bCs/>
                <w:color w:val="000000" w:themeColor="text1"/>
                <w:sz w:val="18"/>
                <w:szCs w:val="18"/>
                <w14:textFill>
                  <w14:solidFill>
                    <w14:schemeClr w14:val="tx1"/>
                  </w14:solidFill>
                </w14:textFill>
              </w:rPr>
            </w:pPr>
          </w:p>
        </w:tc>
      </w:tr>
      <w:tr w14:paraId="07A3FE37">
        <w:tblPrEx>
          <w:tblCellMar>
            <w:top w:w="0" w:type="dxa"/>
            <w:left w:w="108" w:type="dxa"/>
            <w:bottom w:w="0" w:type="dxa"/>
            <w:right w:w="108" w:type="dxa"/>
          </w:tblCellMar>
        </w:tblPrEx>
        <w:trPr>
          <w:trHeight w:val="6523" w:hRule="exact"/>
          <w:jc w:val="center"/>
        </w:trPr>
        <w:tc>
          <w:tcPr>
            <w:tcW w:w="30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38F389A">
            <w:pPr>
              <w:keepNext w:val="0"/>
              <w:keepLines w:val="0"/>
              <w:widowControl/>
              <w:suppressLineNumbers w:val="0"/>
              <w:jc w:val="center"/>
              <w:textAlignment w:val="center"/>
              <w:rPr>
                <w:rFonts w:hint="eastAsia" w:ascii="仿宋_GB2312" w:hAnsi="仿宋_GB2312" w:eastAsia="仿宋_GB2312" w:cs="仿宋_GB2312"/>
                <w:color w:val="000000" w:themeColor="text1"/>
                <w:sz w:val="11"/>
                <w:szCs w:val="11"/>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1</w:t>
            </w:r>
          </w:p>
        </w:tc>
        <w:tc>
          <w:tcPr>
            <w:tcW w:w="57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04765C4">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门头沟区潭柘寺镇王坡村休闲农业园区建设项目</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0C8A55A">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产业项目</w:t>
            </w:r>
          </w:p>
        </w:tc>
        <w:tc>
          <w:tcPr>
            <w:tcW w:w="40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86A966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新型农村集体经济项目</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25F650C">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8D96552">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潭柘寺镇</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1FC26C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王坡村</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11E916F">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Style w:val="7"/>
                <w:color w:val="000000"/>
                <w:sz w:val="18"/>
                <w:szCs w:val="18"/>
                <w:lang w:val="en-US" w:eastAsia="zh-CN" w:bidi="ar"/>
              </w:rPr>
              <w:t>对村集体所有的一处闲置果园进行改造提升，预计花费30万元（以评审金额为准）。该果园面积约50亩，改造完成后将用于出租经营</w:t>
            </w:r>
            <w:r>
              <w:rPr>
                <w:rStyle w:val="8"/>
                <w:rFonts w:eastAsia="宋体"/>
                <w:color w:val="000000"/>
                <w:sz w:val="18"/>
                <w:szCs w:val="18"/>
                <w:lang w:val="en-US" w:eastAsia="zh-CN" w:bidi="ar"/>
              </w:rPr>
              <w:t xml:space="preserve"> </w:t>
            </w:r>
            <w:r>
              <w:rPr>
                <w:rStyle w:val="7"/>
                <w:color w:val="000000"/>
                <w:sz w:val="18"/>
                <w:szCs w:val="18"/>
                <w:lang w:val="en-US" w:eastAsia="zh-CN" w:bidi="ar"/>
              </w:rPr>
              <w:t>，通过市场化运作，充分挖掘资产潜力，实现村集体增收。项目的建设内容主要包括；</w:t>
            </w:r>
            <w:r>
              <w:rPr>
                <w:rStyle w:val="8"/>
                <w:rFonts w:eastAsia="宋体"/>
                <w:color w:val="000000"/>
                <w:sz w:val="18"/>
                <w:szCs w:val="18"/>
                <w:lang w:val="en-US" w:eastAsia="zh-CN" w:bidi="ar"/>
              </w:rPr>
              <w:br w:type="textWrapping"/>
            </w:r>
            <w:r>
              <w:rPr>
                <w:rStyle w:val="8"/>
                <w:rFonts w:eastAsia="宋体"/>
                <w:color w:val="000000"/>
                <w:sz w:val="18"/>
                <w:szCs w:val="18"/>
                <w:lang w:val="en-US" w:eastAsia="zh-CN" w:bidi="ar"/>
              </w:rPr>
              <w:t>1</w:t>
            </w:r>
            <w:r>
              <w:rPr>
                <w:rStyle w:val="9"/>
                <w:color w:val="000000"/>
                <w:sz w:val="18"/>
                <w:szCs w:val="18"/>
                <w:lang w:val="en-US" w:eastAsia="zh-CN" w:bidi="ar"/>
              </w:rPr>
              <w:t>、设施升级，购置拖拉机、旋耕机等农机设备，实现果园机械化管护。</w:t>
            </w:r>
            <w:r>
              <w:rPr>
                <w:rStyle w:val="7"/>
                <w:color w:val="000000"/>
                <w:sz w:val="18"/>
                <w:szCs w:val="18"/>
                <w:lang w:val="en-US" w:eastAsia="zh-CN" w:bidi="ar"/>
              </w:rPr>
              <w:br w:type="textWrapping"/>
            </w:r>
            <w:r>
              <w:rPr>
                <w:rStyle w:val="8"/>
                <w:rFonts w:eastAsia="宋体"/>
                <w:color w:val="000000"/>
                <w:sz w:val="18"/>
                <w:szCs w:val="18"/>
                <w:lang w:val="en-US" w:eastAsia="zh-CN" w:bidi="ar"/>
              </w:rPr>
              <w:t>2</w:t>
            </w:r>
            <w:r>
              <w:rPr>
                <w:rStyle w:val="9"/>
                <w:color w:val="000000"/>
                <w:sz w:val="18"/>
                <w:szCs w:val="18"/>
                <w:lang w:val="en-US" w:eastAsia="zh-CN" w:bidi="ar"/>
              </w:rPr>
              <w:t>、科技赋能，配套滴灌系统、防鸟防虫网等设施，构建节水高效生产体系。</w:t>
            </w:r>
            <w:r>
              <w:rPr>
                <w:rStyle w:val="7"/>
                <w:color w:val="000000"/>
                <w:sz w:val="18"/>
                <w:szCs w:val="18"/>
                <w:lang w:val="en-US" w:eastAsia="zh-CN" w:bidi="ar"/>
              </w:rPr>
              <w:br w:type="textWrapping"/>
            </w:r>
            <w:r>
              <w:rPr>
                <w:rStyle w:val="8"/>
                <w:rFonts w:eastAsia="宋体"/>
                <w:color w:val="000000"/>
                <w:sz w:val="18"/>
                <w:szCs w:val="18"/>
                <w:lang w:val="en-US" w:eastAsia="zh-CN" w:bidi="ar"/>
              </w:rPr>
              <w:t>3</w:t>
            </w:r>
            <w:r>
              <w:rPr>
                <w:rStyle w:val="9"/>
                <w:color w:val="000000"/>
                <w:sz w:val="18"/>
                <w:szCs w:val="18"/>
                <w:lang w:val="en-US" w:eastAsia="zh-CN" w:bidi="ar"/>
              </w:rPr>
              <w:t>、农旅融合，建设移动茅草棚、售卖车及公厕，完善采摘、休憩、销售功能。安装围栏划分园区界限，提升安全防护与景观协调性。</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1D7AD6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30</w:t>
            </w:r>
            <w:r>
              <w:rPr>
                <w:rStyle w:val="7"/>
                <w:color w:val="000000"/>
                <w:sz w:val="18"/>
                <w:szCs w:val="18"/>
                <w:lang w:val="en-US" w:eastAsia="zh-CN" w:bidi="ar"/>
              </w:rPr>
              <w:t>万元（最终金额以评审结果为准）</w:t>
            </w:r>
          </w:p>
        </w:tc>
        <w:tc>
          <w:tcPr>
            <w:tcW w:w="3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F0EBBB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Style w:val="8"/>
                <w:rFonts w:eastAsia="宋体"/>
                <w:color w:val="000000"/>
                <w:sz w:val="18"/>
                <w:szCs w:val="18"/>
                <w:lang w:val="en-US" w:eastAsia="zh-CN" w:bidi="ar"/>
              </w:rPr>
              <w:t>30</w:t>
            </w:r>
            <w:r>
              <w:rPr>
                <w:rStyle w:val="7"/>
                <w:color w:val="000000"/>
                <w:sz w:val="18"/>
                <w:szCs w:val="18"/>
                <w:lang w:val="en-US" w:eastAsia="zh-CN" w:bidi="ar"/>
              </w:rPr>
              <w:t>万元</w:t>
            </w:r>
          </w:p>
        </w:tc>
        <w:tc>
          <w:tcPr>
            <w:tcW w:w="35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ABE4147">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E2537E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Style w:val="8"/>
                <w:rFonts w:eastAsia="宋体"/>
                <w:color w:val="000000"/>
                <w:sz w:val="18"/>
                <w:szCs w:val="18"/>
                <w:lang w:val="en-US" w:eastAsia="zh-CN" w:bidi="ar"/>
              </w:rPr>
              <w:t>2025</w:t>
            </w:r>
            <w:r>
              <w:rPr>
                <w:rStyle w:val="7"/>
                <w:color w:val="000000"/>
                <w:sz w:val="18"/>
                <w:szCs w:val="18"/>
                <w:lang w:val="en-US" w:eastAsia="zh-CN" w:bidi="ar"/>
              </w:rPr>
              <w:t>年</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00DA457">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6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297D8F9">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B1163CA">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2EF63D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DB52F8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487"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EB7C7DD">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highlight w:val="none"/>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2C67264">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highlight w:val="none"/>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1.产生收益直接归村集体所有，预计增收1.8万元。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2.带动村集体就业5人。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3.增加村集体固定资产。</w:t>
            </w:r>
          </w:p>
        </w:tc>
        <w:tc>
          <w:tcPr>
            <w:tcW w:w="6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544D40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highlight w:val="none"/>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完成改造预计年收入1.8万元</w:t>
            </w:r>
            <w:bookmarkStart w:id="0" w:name="_GoBack"/>
            <w:bookmarkEnd w:id="0"/>
            <w:r>
              <w:rPr>
                <w:rFonts w:hint="eastAsia" w:ascii="宋体" w:hAnsi="宋体" w:eastAsia="宋体" w:cs="宋体"/>
                <w:i w:val="0"/>
                <w:iCs w:val="0"/>
                <w:color w:val="000000"/>
                <w:kern w:val="0"/>
                <w:sz w:val="18"/>
                <w:szCs w:val="18"/>
                <w:u w:val="none"/>
                <w:lang w:val="en-US" w:eastAsia="zh-CN" w:bidi="ar"/>
              </w:rPr>
              <w:t>。</w:t>
            </w:r>
          </w:p>
        </w:tc>
        <w:tc>
          <w:tcPr>
            <w:tcW w:w="46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90F114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户籍村民207</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A33CD04">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4F9CFCB">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门头沟区农业农村局</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95F8FF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陈璇</w:t>
            </w:r>
          </w:p>
        </w:tc>
        <w:tc>
          <w:tcPr>
            <w:tcW w:w="110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BD52381">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01060861088</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B5372F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r>
      <w:tr w14:paraId="765C7BE5">
        <w:tblPrEx>
          <w:tblCellMar>
            <w:top w:w="0" w:type="dxa"/>
            <w:left w:w="108" w:type="dxa"/>
            <w:bottom w:w="0" w:type="dxa"/>
            <w:right w:w="108" w:type="dxa"/>
          </w:tblCellMar>
        </w:tblPrEx>
        <w:trPr>
          <w:trHeight w:val="8229" w:hRule="exact"/>
          <w:jc w:val="center"/>
        </w:trPr>
        <w:tc>
          <w:tcPr>
            <w:tcW w:w="30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3D26542">
            <w:pPr>
              <w:keepNext w:val="0"/>
              <w:keepLines w:val="0"/>
              <w:widowControl/>
              <w:suppressLineNumbers w:val="0"/>
              <w:jc w:val="center"/>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57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2207012">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门头沟区妙峰山镇桃园村村舍茶棚提升改造项目</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7D6583D">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产业项目</w:t>
            </w:r>
          </w:p>
        </w:tc>
        <w:tc>
          <w:tcPr>
            <w:tcW w:w="40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2A20E3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新型农村集体经济项目</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278EC00">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D7B4B15">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妙峰山镇</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ECE05C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桃园村</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ADD4982">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Style w:val="7"/>
                <w:color w:val="000000"/>
                <w:sz w:val="18"/>
                <w:szCs w:val="18"/>
                <w:lang w:val="en-US" w:eastAsia="zh-CN" w:bidi="ar"/>
              </w:rPr>
              <w:t>对村集体所有的一处闲置房屋进行改造提升，预计花费30万元。该房屋面积约</w:t>
            </w:r>
            <w:r>
              <w:rPr>
                <w:rStyle w:val="8"/>
                <w:rFonts w:eastAsia="宋体"/>
                <w:color w:val="000000"/>
                <w:sz w:val="18"/>
                <w:szCs w:val="18"/>
                <w:lang w:val="en-US" w:eastAsia="zh-CN" w:bidi="ar"/>
              </w:rPr>
              <w:t>120</w:t>
            </w:r>
            <w:r>
              <w:rPr>
                <w:rStyle w:val="7"/>
                <w:color w:val="000000"/>
                <w:sz w:val="18"/>
                <w:szCs w:val="18"/>
                <w:lang w:val="en-US" w:eastAsia="zh-CN" w:bidi="ar"/>
              </w:rPr>
              <w:t>平方米，改造完成后将用于出租经营</w:t>
            </w:r>
            <w:r>
              <w:rPr>
                <w:rStyle w:val="8"/>
                <w:rFonts w:eastAsia="宋体"/>
                <w:color w:val="000000"/>
                <w:sz w:val="18"/>
                <w:szCs w:val="18"/>
                <w:lang w:val="en-US" w:eastAsia="zh-CN" w:bidi="ar"/>
              </w:rPr>
              <w:t xml:space="preserve"> </w:t>
            </w:r>
            <w:r>
              <w:rPr>
                <w:rStyle w:val="7"/>
                <w:color w:val="000000"/>
                <w:sz w:val="18"/>
                <w:szCs w:val="18"/>
                <w:lang w:val="en-US" w:eastAsia="zh-CN" w:bidi="ar"/>
              </w:rPr>
              <w:t>，通过市场化运作，充分挖掘资产潜力，实现村集体增收。</w:t>
            </w:r>
            <w:r>
              <w:rPr>
                <w:rStyle w:val="8"/>
                <w:rFonts w:eastAsia="宋体"/>
                <w:color w:val="000000"/>
                <w:sz w:val="18"/>
                <w:szCs w:val="18"/>
                <w:lang w:val="en-US" w:eastAsia="zh-CN" w:bidi="ar"/>
              </w:rPr>
              <w:br w:type="textWrapping"/>
            </w:r>
            <w:r>
              <w:rPr>
                <w:rStyle w:val="8"/>
                <w:rFonts w:eastAsia="宋体"/>
                <w:color w:val="000000"/>
                <w:sz w:val="18"/>
                <w:szCs w:val="18"/>
                <w:lang w:val="en-US" w:eastAsia="zh-CN" w:bidi="ar"/>
              </w:rPr>
              <w:t xml:space="preserve">1. </w:t>
            </w:r>
            <w:r>
              <w:rPr>
                <w:rStyle w:val="7"/>
                <w:color w:val="000000"/>
                <w:sz w:val="18"/>
                <w:szCs w:val="18"/>
                <w:lang w:val="en-US" w:eastAsia="zh-CN" w:bidi="ar"/>
              </w:rPr>
              <w:t>空间布局优化：拆除原房屋内部不必要的隔断，规划为开放的休闲区与商品售卖区，开阔的空间可容纳更多游客休憩。</w:t>
            </w:r>
            <w:r>
              <w:rPr>
                <w:rStyle w:val="8"/>
                <w:rFonts w:eastAsia="宋体"/>
                <w:color w:val="000000"/>
                <w:sz w:val="18"/>
                <w:szCs w:val="18"/>
                <w:lang w:val="en-US" w:eastAsia="zh-CN" w:bidi="ar"/>
              </w:rPr>
              <w:br w:type="textWrapping"/>
            </w:r>
            <w:r>
              <w:rPr>
                <w:rStyle w:val="8"/>
                <w:rFonts w:eastAsia="宋体"/>
                <w:color w:val="000000"/>
                <w:sz w:val="18"/>
                <w:szCs w:val="18"/>
                <w:lang w:val="en-US" w:eastAsia="zh-CN" w:bidi="ar"/>
              </w:rPr>
              <w:t xml:space="preserve">2. </w:t>
            </w:r>
            <w:r>
              <w:rPr>
                <w:rStyle w:val="7"/>
                <w:color w:val="000000"/>
                <w:sz w:val="18"/>
                <w:szCs w:val="18"/>
                <w:lang w:val="en-US" w:eastAsia="zh-CN" w:bidi="ar"/>
              </w:rPr>
              <w:t>基础设施升级：全面更新水电线路，确保用水用电安全稳定，满足驿站运营需求。屋顶做防水保温处理，安装节能照明设备，既提升舒适度，又践行绿色发展理念。</w:t>
            </w:r>
            <w:r>
              <w:rPr>
                <w:rStyle w:val="8"/>
                <w:rFonts w:eastAsia="宋体"/>
                <w:color w:val="000000"/>
                <w:sz w:val="18"/>
                <w:szCs w:val="18"/>
                <w:lang w:val="en-US" w:eastAsia="zh-CN" w:bidi="ar"/>
              </w:rPr>
              <w:br w:type="textWrapping"/>
            </w:r>
            <w:r>
              <w:rPr>
                <w:rStyle w:val="8"/>
                <w:rFonts w:eastAsia="宋体"/>
                <w:color w:val="000000"/>
                <w:sz w:val="18"/>
                <w:szCs w:val="18"/>
                <w:lang w:val="en-US" w:eastAsia="zh-CN" w:bidi="ar"/>
              </w:rPr>
              <w:t xml:space="preserve">3. </w:t>
            </w:r>
            <w:r>
              <w:rPr>
                <w:rStyle w:val="7"/>
                <w:color w:val="000000"/>
                <w:sz w:val="18"/>
                <w:szCs w:val="18"/>
                <w:lang w:val="en-US" w:eastAsia="zh-CN" w:bidi="ar"/>
              </w:rPr>
              <w:t>装饰风格打造：外观保留乡村传统建筑风貌，采用木质门窗、灰色瓦片，与周边自然环境相融。内部装饰融入骑行文化与本地民俗元素，墙面悬挂骑行地图、老照片，摆放手工编织篮等，营造独特氛围。</w:t>
            </w:r>
            <w:r>
              <w:rPr>
                <w:rStyle w:val="8"/>
                <w:rFonts w:eastAsia="宋体"/>
                <w:color w:val="000000"/>
                <w:sz w:val="18"/>
                <w:szCs w:val="18"/>
                <w:lang w:val="en-US" w:eastAsia="zh-CN" w:bidi="ar"/>
              </w:rPr>
              <w:br w:type="textWrapping"/>
            </w:r>
            <w:r>
              <w:rPr>
                <w:rStyle w:val="8"/>
                <w:rFonts w:eastAsia="宋体"/>
                <w:color w:val="000000"/>
                <w:sz w:val="18"/>
                <w:szCs w:val="18"/>
                <w:lang w:val="en-US" w:eastAsia="zh-CN" w:bidi="ar"/>
              </w:rPr>
              <w:t xml:space="preserve">4. </w:t>
            </w:r>
            <w:r>
              <w:rPr>
                <w:rStyle w:val="7"/>
                <w:color w:val="000000"/>
                <w:sz w:val="18"/>
                <w:szCs w:val="18"/>
                <w:lang w:val="en-US" w:eastAsia="zh-CN" w:bidi="ar"/>
              </w:rPr>
              <w:t>功能分区完善：休闲区配备舒适桌椅，售卖区陈列特色农产品与手工艺品，还设置了专门的咖啡茶水制作区，为游客提供优质服务。</w:t>
            </w:r>
            <w:r>
              <w:rPr>
                <w:rStyle w:val="8"/>
                <w:rFonts w:eastAsia="宋体"/>
                <w:color w:val="000000"/>
                <w:sz w:val="18"/>
                <w:szCs w:val="18"/>
                <w:lang w:val="en-US" w:eastAsia="zh-CN" w:bidi="ar"/>
              </w:rPr>
              <w:br w:type="textWrapping"/>
            </w:r>
            <w:r>
              <w:rPr>
                <w:rStyle w:val="8"/>
                <w:rFonts w:eastAsia="宋体"/>
                <w:color w:val="000000"/>
                <w:sz w:val="18"/>
                <w:szCs w:val="18"/>
                <w:lang w:val="en-US" w:eastAsia="zh-CN" w:bidi="ar"/>
              </w:rPr>
              <w:t>5.</w:t>
            </w:r>
            <w:r>
              <w:rPr>
                <w:rStyle w:val="7"/>
                <w:color w:val="000000"/>
                <w:sz w:val="18"/>
                <w:szCs w:val="18"/>
                <w:lang w:val="en-US" w:eastAsia="zh-CN" w:bidi="ar"/>
              </w:rPr>
              <w:t>服务设施创新：计划在茶棚附近增设骑行修理站点，为骑行爱好者解决旅途中的后顾之忧，进一步完善服务链条，提升游客体验。</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F06A4B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30</w:t>
            </w:r>
            <w:r>
              <w:rPr>
                <w:rStyle w:val="7"/>
                <w:color w:val="000000"/>
                <w:sz w:val="18"/>
                <w:szCs w:val="18"/>
                <w:lang w:val="en-US" w:eastAsia="zh-CN" w:bidi="ar"/>
              </w:rPr>
              <w:t>万元（最终金额以评审结果为准）</w:t>
            </w:r>
          </w:p>
        </w:tc>
        <w:tc>
          <w:tcPr>
            <w:tcW w:w="3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E68A63B">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Style w:val="8"/>
                <w:rFonts w:eastAsia="宋体"/>
                <w:color w:val="000000"/>
                <w:sz w:val="18"/>
                <w:szCs w:val="18"/>
                <w:lang w:val="en-US" w:eastAsia="zh-CN" w:bidi="ar"/>
              </w:rPr>
              <w:t>30</w:t>
            </w:r>
            <w:r>
              <w:rPr>
                <w:rStyle w:val="7"/>
                <w:color w:val="000000"/>
                <w:sz w:val="18"/>
                <w:szCs w:val="18"/>
                <w:lang w:val="en-US" w:eastAsia="zh-CN" w:bidi="ar"/>
              </w:rPr>
              <w:t>万元</w:t>
            </w:r>
          </w:p>
        </w:tc>
        <w:tc>
          <w:tcPr>
            <w:tcW w:w="35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02AAD25">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FA9A97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Style w:val="8"/>
                <w:rFonts w:eastAsia="宋体"/>
                <w:color w:val="000000"/>
                <w:sz w:val="18"/>
                <w:szCs w:val="18"/>
                <w:lang w:val="en-US" w:eastAsia="zh-CN" w:bidi="ar"/>
              </w:rPr>
              <w:t>2025</w:t>
            </w:r>
            <w:r>
              <w:rPr>
                <w:rStyle w:val="7"/>
                <w:color w:val="000000"/>
                <w:sz w:val="18"/>
                <w:szCs w:val="18"/>
                <w:lang w:val="en-US" w:eastAsia="zh-CN" w:bidi="ar"/>
              </w:rPr>
              <w:t>年</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E3F4639">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6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5E5FB38">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797E6A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3632A8C">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93E176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487"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8CBC90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DA87B3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1.产生收益直接归村集体所有，预计全村增收1.8万元。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2.村集体就业2人。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3.增加村集体固定资产。</w:t>
            </w:r>
          </w:p>
        </w:tc>
        <w:tc>
          <w:tcPr>
            <w:tcW w:w="6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78EA51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Style w:val="7"/>
                <w:color w:val="000000"/>
                <w:sz w:val="18"/>
                <w:szCs w:val="18"/>
                <w:lang w:val="en-US" w:eastAsia="zh-CN" w:bidi="ar"/>
              </w:rPr>
              <w:t>完成改造预计年收入</w:t>
            </w:r>
            <w:r>
              <w:rPr>
                <w:rStyle w:val="8"/>
                <w:rFonts w:eastAsia="宋体"/>
                <w:color w:val="000000"/>
                <w:sz w:val="18"/>
                <w:szCs w:val="18"/>
                <w:lang w:val="en-US" w:eastAsia="zh-CN" w:bidi="ar"/>
              </w:rPr>
              <w:t>1.8</w:t>
            </w:r>
            <w:r>
              <w:rPr>
                <w:rStyle w:val="7"/>
                <w:color w:val="000000"/>
                <w:sz w:val="18"/>
                <w:szCs w:val="18"/>
                <w:lang w:val="en-US" w:eastAsia="zh-CN" w:bidi="ar"/>
              </w:rPr>
              <w:t>万元。</w:t>
            </w:r>
          </w:p>
        </w:tc>
        <w:tc>
          <w:tcPr>
            <w:tcW w:w="46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23A4B45">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Style w:val="7"/>
                <w:color w:val="000000"/>
                <w:sz w:val="18"/>
                <w:szCs w:val="18"/>
                <w:lang w:val="en-US" w:eastAsia="zh-CN" w:bidi="ar"/>
              </w:rPr>
              <w:t>户籍村民</w:t>
            </w:r>
            <w:r>
              <w:rPr>
                <w:rStyle w:val="8"/>
                <w:rFonts w:eastAsia="宋体"/>
                <w:color w:val="000000"/>
                <w:sz w:val="18"/>
                <w:szCs w:val="18"/>
                <w:lang w:val="en-US" w:eastAsia="zh-CN" w:bidi="ar"/>
              </w:rPr>
              <w:t>125</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6C7907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334EE26">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门头沟区农业农村局</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CBBA89C">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陈璇</w:t>
            </w:r>
          </w:p>
        </w:tc>
        <w:tc>
          <w:tcPr>
            <w:tcW w:w="110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F76D58D">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01060861088</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13F0C2B">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r>
      <w:tr w14:paraId="488B3894">
        <w:tblPrEx>
          <w:tblCellMar>
            <w:top w:w="0" w:type="dxa"/>
            <w:left w:w="108" w:type="dxa"/>
            <w:bottom w:w="0" w:type="dxa"/>
            <w:right w:w="108" w:type="dxa"/>
          </w:tblCellMar>
        </w:tblPrEx>
        <w:trPr>
          <w:trHeight w:val="7714" w:hRule="exact"/>
          <w:jc w:val="center"/>
        </w:trPr>
        <w:tc>
          <w:tcPr>
            <w:tcW w:w="30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0DBB968">
            <w:pPr>
              <w:keepNext w:val="0"/>
              <w:keepLines w:val="0"/>
              <w:widowControl/>
              <w:suppressLineNumbers w:val="0"/>
              <w:jc w:val="center"/>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w:t>
            </w:r>
          </w:p>
        </w:tc>
        <w:tc>
          <w:tcPr>
            <w:tcW w:w="57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4E168BB">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门头沟区王平镇东石古岩村休闲农业接待设施提升项目</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E5AB874">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产业项目</w:t>
            </w:r>
          </w:p>
        </w:tc>
        <w:tc>
          <w:tcPr>
            <w:tcW w:w="40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964B291">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新型农村集体经济项目</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2065970">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B20A24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王平镇</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268538D">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东石古岩村</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A844E2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对东石古岩村集体的一处闲置房屋进行改造提升，房屋占地面积约200平方米，改造完成后将用于出租经营，用于休闲农业接待设施，实现村集体增收。</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项目主要改造房屋基础设施，包括屋顶拆除及修复280平方米，墙面修复330平方米，更换门窗55平方米，改水电218平方米,保障水电使用安全，房屋主体结构稳定。补助资金30万元（以评审结果为准）。</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01003C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30万元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（最终金额以评审结果为准）</w:t>
            </w:r>
          </w:p>
        </w:tc>
        <w:tc>
          <w:tcPr>
            <w:tcW w:w="3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9BBA93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30万元</w:t>
            </w:r>
          </w:p>
        </w:tc>
        <w:tc>
          <w:tcPr>
            <w:tcW w:w="35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914BFA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无</w:t>
            </w: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8DF8FBB">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2025年</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78BEB26">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6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A081575">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C40AAA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A2E8AF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AAAA856">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487"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DE8033A">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E20B32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1.租金收益：该房屋拟租赁期限不低于10年，计划每年租金不低于3万元，10年租金总收入不低于30万元。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2.分红收益：村集体每年租金收益用于发放村民过节费，增加居民收入。</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3.项目完成后，将增加2人就业，缓解当地的就业压力，促进居民增收。</w:t>
            </w:r>
          </w:p>
        </w:tc>
        <w:tc>
          <w:tcPr>
            <w:tcW w:w="6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285EDD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改造完成后，预计年收入3万元。</w:t>
            </w:r>
          </w:p>
        </w:tc>
        <w:tc>
          <w:tcPr>
            <w:tcW w:w="46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79CF7A6">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193人</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1A5B4AF">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2人</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2FF2B0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门头沟区农业农村局</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13858A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陈璇</w:t>
            </w:r>
          </w:p>
        </w:tc>
        <w:tc>
          <w:tcPr>
            <w:tcW w:w="110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6D300C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01060861088</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AE76991">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r>
      <w:tr w14:paraId="2CFB03FF">
        <w:tblPrEx>
          <w:tblCellMar>
            <w:top w:w="0" w:type="dxa"/>
            <w:left w:w="108" w:type="dxa"/>
            <w:bottom w:w="0" w:type="dxa"/>
            <w:right w:w="108" w:type="dxa"/>
          </w:tblCellMar>
        </w:tblPrEx>
        <w:trPr>
          <w:trHeight w:val="6198" w:hRule="exact"/>
          <w:jc w:val="center"/>
        </w:trPr>
        <w:tc>
          <w:tcPr>
            <w:tcW w:w="30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68E9CBC">
            <w:pPr>
              <w:keepNext w:val="0"/>
              <w:keepLines w:val="0"/>
              <w:widowControl/>
              <w:suppressLineNumbers w:val="0"/>
              <w:jc w:val="center"/>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57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BE76326">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门头沟区雁翅镇苇子水村中央财政衔接补助资金项目</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5016A6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产业项目</w:t>
            </w:r>
          </w:p>
        </w:tc>
        <w:tc>
          <w:tcPr>
            <w:tcW w:w="40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A365BC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新型农村集体经济项目</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A09F4CF">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3B8742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雁翅镇</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466D9A1">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苇子水村</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D2D6892">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对苇子水村加工厂进行改造提升，预计花费30万元。1.房屋内部结构改造；2.上下水、电路改造；3.院落、墙体改造；4.增加产学研所需办公桌椅、展示柜等物品；5.电子显示屏、电脑、直播设备等基地用设备；6.地面平整提升；7.购买灭菌等加工设备。</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9D373CA">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30</w:t>
            </w:r>
            <w:r>
              <w:rPr>
                <w:rStyle w:val="7"/>
                <w:color w:val="000000"/>
                <w:sz w:val="18"/>
                <w:szCs w:val="18"/>
                <w:lang w:val="en-US" w:eastAsia="zh-CN" w:bidi="ar"/>
              </w:rPr>
              <w:t>万元（最终金额以评审结果为准）</w:t>
            </w:r>
          </w:p>
        </w:tc>
        <w:tc>
          <w:tcPr>
            <w:tcW w:w="3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8CF854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Style w:val="8"/>
                <w:rFonts w:eastAsia="宋体"/>
                <w:color w:val="000000"/>
                <w:sz w:val="18"/>
                <w:szCs w:val="18"/>
                <w:lang w:val="en-US" w:eastAsia="zh-CN" w:bidi="ar"/>
              </w:rPr>
              <w:t>30</w:t>
            </w:r>
            <w:r>
              <w:rPr>
                <w:rStyle w:val="7"/>
                <w:color w:val="000000"/>
                <w:sz w:val="18"/>
                <w:szCs w:val="18"/>
                <w:lang w:val="en-US" w:eastAsia="zh-CN" w:bidi="ar"/>
              </w:rPr>
              <w:t>万元</w:t>
            </w:r>
          </w:p>
        </w:tc>
        <w:tc>
          <w:tcPr>
            <w:tcW w:w="35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5116971">
            <w:pPr>
              <w:jc w:val="left"/>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92CB686">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Style w:val="8"/>
                <w:rFonts w:eastAsia="宋体"/>
                <w:color w:val="000000"/>
                <w:sz w:val="18"/>
                <w:szCs w:val="18"/>
                <w:lang w:val="en-US" w:eastAsia="zh-CN" w:bidi="ar"/>
              </w:rPr>
              <w:t>2025</w:t>
            </w:r>
            <w:r>
              <w:rPr>
                <w:rStyle w:val="7"/>
                <w:color w:val="000000"/>
                <w:sz w:val="18"/>
                <w:szCs w:val="18"/>
                <w:lang w:val="en-US" w:eastAsia="zh-CN" w:bidi="ar"/>
              </w:rPr>
              <w:t>年</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A3E093A">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6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D920D43">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8E1393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85A85E1">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45D86F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487"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2F80E0A">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D9FD13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1.实现加工厂年增收1.8万元及以上。</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2.带动村集体就业2人。</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3.增加村集体固定资产。</w:t>
            </w:r>
          </w:p>
        </w:tc>
        <w:tc>
          <w:tcPr>
            <w:tcW w:w="6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C3C15A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Style w:val="7"/>
                <w:color w:val="000000"/>
                <w:sz w:val="18"/>
                <w:szCs w:val="18"/>
                <w:lang w:val="en-US" w:eastAsia="zh-CN" w:bidi="ar"/>
              </w:rPr>
              <w:t>完成改造预计年收入</w:t>
            </w:r>
            <w:r>
              <w:rPr>
                <w:rStyle w:val="8"/>
                <w:rFonts w:eastAsia="宋体"/>
                <w:color w:val="000000"/>
                <w:sz w:val="18"/>
                <w:szCs w:val="18"/>
                <w:lang w:val="en-US" w:eastAsia="zh-CN" w:bidi="ar"/>
              </w:rPr>
              <w:t>1</w:t>
            </w:r>
            <w:r>
              <w:rPr>
                <w:rStyle w:val="8"/>
                <w:rFonts w:hint="eastAsia" w:eastAsia="宋体"/>
                <w:color w:val="000000"/>
                <w:sz w:val="18"/>
                <w:szCs w:val="18"/>
                <w:lang w:val="en-US" w:eastAsia="zh-CN" w:bidi="ar"/>
              </w:rPr>
              <w:t>.8</w:t>
            </w:r>
            <w:r>
              <w:rPr>
                <w:rStyle w:val="7"/>
                <w:color w:val="000000"/>
                <w:sz w:val="18"/>
                <w:szCs w:val="18"/>
                <w:lang w:val="en-US" w:eastAsia="zh-CN" w:bidi="ar"/>
              </w:rPr>
              <w:t>万元以上。</w:t>
            </w:r>
          </w:p>
        </w:tc>
        <w:tc>
          <w:tcPr>
            <w:tcW w:w="46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D58D63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100</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18F817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2</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9DD66BB">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门头沟区农业农村局</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6E8EA3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陈璇</w:t>
            </w:r>
          </w:p>
        </w:tc>
        <w:tc>
          <w:tcPr>
            <w:tcW w:w="110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A12A2F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01060861088</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6C0443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r>
      <w:tr w14:paraId="6CFC55DF">
        <w:tblPrEx>
          <w:tblCellMar>
            <w:top w:w="0" w:type="dxa"/>
            <w:left w:w="108" w:type="dxa"/>
            <w:bottom w:w="0" w:type="dxa"/>
            <w:right w:w="108" w:type="dxa"/>
          </w:tblCellMar>
        </w:tblPrEx>
        <w:trPr>
          <w:trHeight w:val="8213" w:hRule="exact"/>
          <w:jc w:val="center"/>
        </w:trPr>
        <w:tc>
          <w:tcPr>
            <w:tcW w:w="30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F01EB37">
            <w:pPr>
              <w:keepNext w:val="0"/>
              <w:keepLines w:val="0"/>
              <w:widowControl/>
              <w:suppressLineNumbers w:val="0"/>
              <w:jc w:val="center"/>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5</w:t>
            </w:r>
          </w:p>
        </w:tc>
        <w:tc>
          <w:tcPr>
            <w:tcW w:w="57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4A5CD81">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门头沟区斋堂镇青龙涧村农产品加工及科普基地项目</w:t>
            </w: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6C76BE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产业项目</w:t>
            </w:r>
          </w:p>
        </w:tc>
        <w:tc>
          <w:tcPr>
            <w:tcW w:w="40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04F2EC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新型农村集体经济项目</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6F740C5">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3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793F4A6">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斋堂镇</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3AA6878">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青龙涧村</w:t>
            </w:r>
          </w:p>
        </w:tc>
        <w:tc>
          <w:tcPr>
            <w:tcW w:w="2423"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B9EF66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1、建设规模</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总面积约270平米，包括包材库、成品库、外包装车间、灭菌车间、更衣室、预处理车间、化验室、配电室等房间，总投资约300000元。</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2、项目建设内容</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拆除工程：拆除原房屋屋顶，部分墙壁等约270平方米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钢结构及屋面工程：包括方钢8.47约吨、彩钢板及卷材防水329.6约平方米、混凝土基础约11套。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装饰工程：包括砌墙体、墙面抹灰、找平、铝扣板吊顶、混凝土地面、门、窗等约1826.1平方米。</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水电工程：包括电路改造270平方米及面板、灯具64套。</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外墙工程：包括外墙抹灰、涂料等约150平方米。</w:t>
            </w:r>
          </w:p>
        </w:tc>
        <w:tc>
          <w:tcPr>
            <w:tcW w:w="375"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881D0D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33</w:t>
            </w:r>
            <w:r>
              <w:rPr>
                <w:rStyle w:val="7"/>
                <w:color w:val="000000"/>
                <w:sz w:val="18"/>
                <w:szCs w:val="18"/>
                <w:lang w:val="en-US" w:eastAsia="zh-CN" w:bidi="ar"/>
              </w:rPr>
              <w:t>（最终金额以评审结果为准）</w:t>
            </w:r>
          </w:p>
        </w:tc>
        <w:tc>
          <w:tcPr>
            <w:tcW w:w="3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67484FC">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Style w:val="8"/>
                <w:rFonts w:eastAsia="宋体"/>
                <w:color w:val="000000"/>
                <w:sz w:val="18"/>
                <w:szCs w:val="18"/>
                <w:lang w:val="en-US" w:eastAsia="zh-CN" w:bidi="ar"/>
              </w:rPr>
              <w:t>30</w:t>
            </w:r>
            <w:r>
              <w:rPr>
                <w:rStyle w:val="7"/>
                <w:color w:val="000000"/>
                <w:sz w:val="18"/>
                <w:szCs w:val="18"/>
                <w:lang w:val="en-US" w:eastAsia="zh-CN" w:bidi="ar"/>
              </w:rPr>
              <w:t>万元</w:t>
            </w:r>
          </w:p>
        </w:tc>
        <w:tc>
          <w:tcPr>
            <w:tcW w:w="351"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B17D0E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Style w:val="8"/>
                <w:rFonts w:eastAsia="宋体"/>
                <w:color w:val="000000"/>
                <w:sz w:val="18"/>
                <w:szCs w:val="18"/>
                <w:lang w:val="en-US" w:eastAsia="zh-CN" w:bidi="ar"/>
              </w:rPr>
              <w:t>3</w:t>
            </w:r>
            <w:r>
              <w:rPr>
                <w:rStyle w:val="7"/>
                <w:color w:val="000000"/>
                <w:sz w:val="18"/>
                <w:szCs w:val="18"/>
                <w:lang w:val="en-US" w:eastAsia="zh-CN" w:bidi="ar"/>
              </w:rPr>
              <w:t>万元</w:t>
            </w:r>
          </w:p>
        </w:tc>
        <w:tc>
          <w:tcPr>
            <w:tcW w:w="48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218192D">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Style w:val="8"/>
                <w:rFonts w:eastAsia="宋体"/>
                <w:color w:val="000000"/>
                <w:sz w:val="18"/>
                <w:szCs w:val="18"/>
                <w:lang w:val="en-US" w:eastAsia="zh-CN" w:bidi="ar"/>
              </w:rPr>
              <w:t>2025</w:t>
            </w:r>
            <w:r>
              <w:rPr>
                <w:rStyle w:val="7"/>
                <w:color w:val="000000"/>
                <w:sz w:val="18"/>
                <w:szCs w:val="18"/>
                <w:lang w:val="en-US" w:eastAsia="zh-CN" w:bidi="ar"/>
              </w:rPr>
              <w:t>年</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C857E1D">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6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15A9544A">
            <w:pPr>
              <w:jc w:val="left"/>
              <w:rPr>
                <w:rFonts w:hint="eastAsia" w:ascii="仿宋_GB2312" w:hAnsi="仿宋_GB2312" w:eastAsia="仿宋_GB2312" w:cs="仿宋_GB2312"/>
                <w:color w:val="000000" w:themeColor="text1"/>
                <w:sz w:val="11"/>
                <w:szCs w:val="11"/>
                <w:lang w:eastAsia="zh-CN"/>
                <w14:textFill>
                  <w14:solidFill>
                    <w14:schemeClr w14:val="tx1"/>
                  </w14:solidFill>
                </w14:textFill>
              </w:rPr>
            </w:pP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B450FAE">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0E5DF312">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否</w:t>
            </w:r>
          </w:p>
        </w:tc>
        <w:tc>
          <w:tcPr>
            <w:tcW w:w="41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D424BB9">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487"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70994FD5">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c>
          <w:tcPr>
            <w:tcW w:w="97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B05BD07">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1、项目以青龙涧村为实施主体，项目实施过程中执行以工代赈，项目建成后纳入镇、村固定资产。</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2、项目完成后预计解决4人就业，增加村民劳务收入，并定期开展技术培训、安全生产培训，提高管理水平及安全生产意识。</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3、村集体收益达到一定数额后通过收益分红或折算实物等方式向股民进行分红，预计年收益达到2万元。</w:t>
            </w:r>
          </w:p>
        </w:tc>
        <w:tc>
          <w:tcPr>
            <w:tcW w:w="649"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56E48A5">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项目建成后预计村集体年收入达2万元</w:t>
            </w:r>
          </w:p>
        </w:tc>
        <w:tc>
          <w:tcPr>
            <w:tcW w:w="46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F26FE0F">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191</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2250F6E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4</w:t>
            </w:r>
          </w:p>
        </w:tc>
        <w:tc>
          <w:tcPr>
            <w:tcW w:w="390"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4F29172A">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门头沟区农业农村局</w:t>
            </w:r>
          </w:p>
        </w:tc>
        <w:tc>
          <w:tcPr>
            <w:tcW w:w="342"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60A13222">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陈璇</w:t>
            </w:r>
          </w:p>
        </w:tc>
        <w:tc>
          <w:tcPr>
            <w:tcW w:w="1104"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5A7400B3">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default" w:ascii="Times New Roman" w:hAnsi="Times New Roman" w:eastAsia="宋体" w:cs="Times New Roman"/>
                <w:i w:val="0"/>
                <w:iCs w:val="0"/>
                <w:color w:val="000000"/>
                <w:kern w:val="0"/>
                <w:sz w:val="18"/>
                <w:szCs w:val="18"/>
                <w:u w:val="none"/>
                <w:lang w:val="en-US" w:eastAsia="zh-CN" w:bidi="ar"/>
              </w:rPr>
              <w:t>01060861088</w:t>
            </w:r>
          </w:p>
        </w:tc>
        <w:tc>
          <w:tcPr>
            <w:tcW w:w="426" w:type="dxa"/>
            <w:tcBorders>
              <w:top w:val="single" w:color="000000" w:sz="4" w:space="0"/>
              <w:left w:val="single" w:color="000000" w:sz="4" w:space="0"/>
              <w:bottom w:val="single" w:color="000000" w:sz="4" w:space="0"/>
              <w:right w:val="single" w:color="000000" w:sz="4" w:space="0"/>
            </w:tcBorders>
            <w:shd w:val="clear" w:color="auto" w:fill="auto"/>
            <w:tcMar>
              <w:top w:w="0" w:type="dxa"/>
              <w:left w:w="57" w:type="dxa"/>
              <w:bottom w:w="0" w:type="dxa"/>
              <w:right w:w="57" w:type="dxa"/>
            </w:tcMar>
            <w:vAlign w:val="center"/>
          </w:tcPr>
          <w:p w14:paraId="335E3E50">
            <w:pPr>
              <w:keepNext w:val="0"/>
              <w:keepLines w:val="0"/>
              <w:widowControl/>
              <w:suppressLineNumbers w:val="0"/>
              <w:jc w:val="left"/>
              <w:textAlignment w:val="center"/>
              <w:rPr>
                <w:rFonts w:hint="eastAsia" w:ascii="仿宋_GB2312" w:hAnsi="仿宋_GB2312" w:eastAsia="仿宋_GB2312" w:cs="仿宋_GB2312"/>
                <w:color w:val="000000" w:themeColor="text1"/>
                <w:sz w:val="11"/>
                <w:szCs w:val="11"/>
                <w:lang w:val="en-US" w:eastAsia="zh-CN"/>
                <w14:textFill>
                  <w14:solidFill>
                    <w14:schemeClr w14:val="tx1"/>
                  </w14:solidFill>
                </w14:textFill>
              </w:rPr>
            </w:pPr>
            <w:r>
              <w:rPr>
                <w:rFonts w:hint="eastAsia" w:ascii="宋体" w:hAnsi="宋体" w:eastAsia="宋体" w:cs="宋体"/>
                <w:i w:val="0"/>
                <w:iCs w:val="0"/>
                <w:color w:val="000000"/>
                <w:kern w:val="0"/>
                <w:sz w:val="18"/>
                <w:szCs w:val="18"/>
                <w:u w:val="none"/>
                <w:lang w:val="en-US" w:eastAsia="zh-CN" w:bidi="ar"/>
              </w:rPr>
              <w:t>是</w:t>
            </w:r>
          </w:p>
        </w:tc>
      </w:tr>
    </w:tbl>
    <w:p w14:paraId="0C685356"/>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宋体-简">
    <w:altName w:val="宋体"/>
    <w:panose1 w:val="00000000000000000000"/>
    <w:charset w:val="00"/>
    <w:family w:val="auto"/>
    <w:pitch w:val="default"/>
    <w:sig w:usb0="00000000" w:usb1="00000000" w:usb2="00000000" w:usb3="00000000" w:csb0="0000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4MzAzOTUxNTMxZDliOGMyMzdiZTYzYjBmOWQ4ZDUifQ=="/>
  </w:docVars>
  <w:rsids>
    <w:rsidRoot w:val="00000000"/>
    <w:rsid w:val="05E97064"/>
    <w:rsid w:val="116003F7"/>
    <w:rsid w:val="123258EF"/>
    <w:rsid w:val="188F32C0"/>
    <w:rsid w:val="1A4D0AA8"/>
    <w:rsid w:val="1FDE47E5"/>
    <w:rsid w:val="271672B7"/>
    <w:rsid w:val="326C44AD"/>
    <w:rsid w:val="3F8C3FE1"/>
    <w:rsid w:val="48AC74A2"/>
    <w:rsid w:val="4DD0778F"/>
    <w:rsid w:val="51D11D27"/>
    <w:rsid w:val="565B6080"/>
    <w:rsid w:val="598140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pPr>
    <w:rPr>
      <w:rFonts w:ascii="Arial" w:hAnsi="Arial" w:eastAsia="Arial" w:cs="Arial"/>
      <w:color w:val="000000"/>
      <w:sz w:val="21"/>
      <w:szCs w:val="21"/>
      <w:lang w:val="en-US" w:eastAsia="en-US"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lock Text"/>
    <w:basedOn w:val="1"/>
    <w:qFormat/>
    <w:uiPriority w:val="0"/>
    <w:pPr>
      <w:spacing w:after="120"/>
      <w:ind w:left="1440" w:leftChars="700" w:right="1440" w:rightChars="700"/>
    </w:pPr>
  </w:style>
  <w:style w:type="paragraph" w:styleId="3">
    <w:name w:val="Body Text Indent"/>
    <w:basedOn w:val="1"/>
    <w:unhideWhenUsed/>
    <w:qFormat/>
    <w:uiPriority w:val="99"/>
    <w:pPr>
      <w:ind w:left="420" w:leftChars="200"/>
    </w:pPr>
  </w:style>
  <w:style w:type="paragraph" w:styleId="4">
    <w:name w:val="Body Text First Indent 2"/>
    <w:basedOn w:val="3"/>
    <w:unhideWhenUsed/>
    <w:qFormat/>
    <w:uiPriority w:val="99"/>
    <w:pPr>
      <w:spacing w:line="360" w:lineRule="auto"/>
      <w:ind w:left="0" w:leftChars="0" w:firstLine="200" w:firstLineChars="200"/>
    </w:pPr>
  </w:style>
  <w:style w:type="character" w:customStyle="1" w:styleId="7">
    <w:name w:val="font21"/>
    <w:basedOn w:val="6"/>
    <w:qFormat/>
    <w:uiPriority w:val="0"/>
    <w:rPr>
      <w:rFonts w:hint="eastAsia" w:ascii="宋体" w:hAnsi="宋体" w:eastAsia="宋体" w:cs="宋体"/>
      <w:color w:val="000000"/>
      <w:sz w:val="24"/>
      <w:szCs w:val="24"/>
      <w:u w:val="none"/>
    </w:rPr>
  </w:style>
  <w:style w:type="character" w:customStyle="1" w:styleId="8">
    <w:name w:val="font11"/>
    <w:basedOn w:val="6"/>
    <w:qFormat/>
    <w:uiPriority w:val="0"/>
    <w:rPr>
      <w:rFonts w:hint="default" w:ascii="Times New Roman" w:hAnsi="Times New Roman" w:cs="Times New Roman"/>
      <w:color w:val="000000"/>
      <w:sz w:val="24"/>
      <w:szCs w:val="24"/>
      <w:u w:val="none"/>
    </w:rPr>
  </w:style>
  <w:style w:type="character" w:customStyle="1" w:styleId="9">
    <w:name w:val="font31"/>
    <w:basedOn w:val="6"/>
    <w:uiPriority w:val="0"/>
    <w:rPr>
      <w:rFonts w:ascii="宋体-简" w:hAnsi="宋体-简" w:eastAsia="宋体-简" w:cs="宋体-简"/>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2276</Words>
  <Characters>2456</Characters>
  <Lines>0</Lines>
  <Paragraphs>0</Paragraphs>
  <TotalTime>34</TotalTime>
  <ScaleCrop>false</ScaleCrop>
  <LinksUpToDate>false</LinksUpToDate>
  <CharactersWithSpaces>2480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2024-08-05T07:47:00Z</dcterms:created>
  <dc:creator>lenovo</dc:creator>
  <cp:lastModifiedBy>WPS_1667968751</cp:lastModifiedBy>
  <cp:lastPrinted>2024-08-05T09:41:00Z</cp:lastPrinted>
  <dcterms:modified xsi:type="dcterms:W3CDTF">2025-05-07T09:25:46Z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56C9D45EE1F0430981FE285B55ABA365_12</vt:lpwstr>
  </property>
  <property fmtid="{D5CDD505-2E9C-101B-9397-08002B2CF9AE}" pid="4" name="KSOTemplateDocerSaveRecord">
    <vt:lpwstr>eyJoZGlkIjoiZTE1NmE0MzI4Y2NhMjZlZWU3ODE2YzJiZTk0OWM2YWYiLCJ1c2VySWQiOiIxNDM4MjYwNDQ0In0=</vt:lpwstr>
  </property>
</Properties>
</file>