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北京市门头沟区发展和改革委员会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</w:p>
    <w:p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区发展改革委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严格对照本单位编制发布的政府信息主动公开全清单，确保及时准确公开相关信息。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将信息公开工作纳入重点工作，与业务工作同计划、同部署、同落实。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扎实做好政府信息和政务公开工作。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7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从内容来看，本单位政府信息公开指南已及时公开，指南中主动公开和依申请公开方式、救济渠道均正确；本单位机构设置、领导介绍等信息均已及时更新；针对我委承担的重点领域信息公开任务，已及时更新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重点工程、结对协作、</w:t>
      </w:r>
      <w:r>
        <w:rPr>
          <w:rFonts w:hint="eastAsia" w:ascii="仿宋_GB2312" w:hAnsi="仿宋_GB2312" w:eastAsia="仿宋_GB2312" w:cs="仿宋_GB2312"/>
          <w:sz w:val="32"/>
          <w:szCs w:val="32"/>
        </w:rPr>
        <w:t>预决算信息等内容。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从数据来看，202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年共发布网站信息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/>
        </w:rPr>
        <w:t>209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条，其中部门动态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/>
        </w:rPr>
        <w:t>110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条，行政许可公示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156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条，执法类公示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条，重点领域类信息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条，主动公开财政预算决算、“三公经费”和行政经费信息数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申请公开办理，严格按照要求，做好政府信息公开年度报告编制发布工作，确保《政府信息公开指南》法定内容的完备性和准确性，确保信函、网络申请受理渠道和咨询电话的畅通性，答复时限的合法性、答复形式的规范性、答复内容的规范性和针对性。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年度共受理政府信息公开申请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为进一步强化信息公开工作履职能力，区发展改革委不断加强组织领导，积极推行政务、政府信息公开工作。为了有效促进政府信息公开工作的开展，确保工作规范、有序、有效进行，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委领导</w:t>
      </w:r>
      <w:r>
        <w:rPr>
          <w:rFonts w:hint="eastAsia" w:ascii="仿宋_GB2312" w:hAnsi="仿宋_GB2312" w:eastAsia="仿宋_GB2312" w:cs="仿宋_GB2312"/>
          <w:sz w:val="32"/>
          <w:szCs w:val="32"/>
        </w:rPr>
        <w:t>明确专人负责，强调全局统一，密切配合，确保了政府信息公开工作有序开展。积极推行政务、政府信息公开工作，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建立政府信息公开制度及流程，</w:t>
      </w:r>
      <w:r>
        <w:rPr>
          <w:rFonts w:hint="eastAsia" w:ascii="仿宋_GB2312" w:hAnsi="仿宋_GB2312" w:eastAsia="仿宋_GB2312" w:cs="仿宋_GB2312"/>
          <w:sz w:val="32"/>
          <w:szCs w:val="32"/>
        </w:rPr>
        <w:t>确保工作规范、有序、有效进行。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将政务公开列入部门岗位培训的重要内容，进一步加强政务公开队伍建设，提高岗位工作能力，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完善逐级审批制度，</w:t>
      </w:r>
      <w:r>
        <w:rPr>
          <w:rFonts w:hint="eastAsia" w:ascii="仿宋_GB2312" w:hAnsi="仿宋_GB2312" w:eastAsia="仿宋_GB2312" w:cs="仿宋_GB2312"/>
          <w:sz w:val="32"/>
          <w:szCs w:val="32"/>
        </w:rPr>
        <w:t>确保政府信息公开工作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准确、及时、有效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rPr>
          <w:rFonts w:hint="eastAsia"/>
        </w:rPr>
      </w:pPr>
    </w:p>
    <w:tbl>
      <w:tblPr>
        <w:tblStyle w:val="4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bidi="ar"/>
              </w:rPr>
              <w:t>156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Times New Roman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黑体" w:hAnsi="宋体" w:eastAsia="黑体" w:cs="黑体"/>
          <w:sz w:val="32"/>
          <w:szCs w:val="32"/>
          <w:lang w:val="en-US" w:eastAsia="zh-CN" w:bidi="ar"/>
        </w:rPr>
      </w:pPr>
    </w:p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val="en-US" w:eastAsia="zh-CN" w:bidi="ar"/>
        </w:rPr>
        <w:t>三、</w:t>
      </w:r>
      <w:r>
        <w:rPr>
          <w:rFonts w:hint="eastAsia" w:ascii="黑体" w:hAnsi="宋体" w:eastAsia="黑体" w:cs="黑体"/>
          <w:sz w:val="32"/>
          <w:szCs w:val="32"/>
          <w:lang w:bidi="ar"/>
        </w:rPr>
        <w:t>收到和处理政府信息公开申请情况</w:t>
      </w:r>
    </w:p>
    <w:p>
      <w:pPr>
        <w:ind w:left="629"/>
        <w:rPr>
          <w:rFonts w:hint="eastAsia" w:ascii="黑体" w:hAnsi="宋体" w:eastAsia="黑体" w:cs="黑体"/>
          <w:sz w:val="24"/>
        </w:rPr>
      </w:pPr>
    </w:p>
    <w:tbl>
      <w:tblPr>
        <w:tblStyle w:val="4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72"/>
        <w:gridCol w:w="704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704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4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4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pacing w:line="520" w:lineRule="exact"/>
              <w:jc w:val="left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4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pacing w:line="520" w:lineRule="exact"/>
              <w:jc w:val="left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4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pacing w:line="520" w:lineRule="exact"/>
              <w:jc w:val="left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4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pacing w:line="520" w:lineRule="exact"/>
              <w:jc w:val="left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4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pacing w:line="520" w:lineRule="exact"/>
              <w:jc w:val="left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4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pacing w:line="520" w:lineRule="exact"/>
              <w:jc w:val="left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1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4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pacing w:line="520" w:lineRule="exact"/>
              <w:jc w:val="left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4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pacing w:line="520" w:lineRule="exact"/>
              <w:jc w:val="left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4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pacing w:line="520" w:lineRule="exact"/>
              <w:jc w:val="left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3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4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pacing w:line="520" w:lineRule="exact"/>
              <w:jc w:val="left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4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pacing w:line="520" w:lineRule="exact"/>
              <w:jc w:val="left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4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pacing w:line="520" w:lineRule="exact"/>
              <w:jc w:val="left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4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pacing w:line="520" w:lineRule="exact"/>
              <w:jc w:val="left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4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pacing w:line="520" w:lineRule="exact"/>
              <w:jc w:val="left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4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spacing w:line="520" w:lineRule="exact"/>
              <w:jc w:val="left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4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4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4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4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4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10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4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0100FE" w:sz="0" w:space="0"/>
              <w:left w:val="single" w:color="0100FE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2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4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</w:tr>
    </w:tbl>
    <w:p>
      <w:pPr>
        <w:pStyle w:val="2"/>
        <w:widowControl/>
        <w:ind w:left="420" w:leftChars="200"/>
      </w:pPr>
    </w:p>
    <w:p>
      <w:pPr>
        <w:spacing w:line="560" w:lineRule="exact"/>
        <w:ind w:firstLine="640" w:firstLineChars="20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p>
      <w:pPr>
        <w:widowControl/>
        <w:jc w:val="center"/>
      </w:pPr>
    </w:p>
    <w:tbl>
      <w:tblPr>
        <w:tblStyle w:val="4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 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 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 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 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 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 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 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 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 xml:space="preserve"> 0</w:t>
            </w:r>
          </w:p>
        </w:tc>
      </w:tr>
    </w:tbl>
    <w:p/>
    <w:p>
      <w:pPr>
        <w:widowControl/>
        <w:spacing w:line="560" w:lineRule="exact"/>
        <w:ind w:firstLine="672" w:firstLineChars="200"/>
        <w:jc w:val="left"/>
        <w:rPr>
          <w:rFonts w:hint="eastAsia" w:ascii="宋体" w:hAnsi="宋体" w:cs="宋体"/>
          <w:spacing w:val="8"/>
          <w:kern w:val="0"/>
          <w:sz w:val="24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五、存在的主要问题及改进情况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5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（一）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  <w:lang w:eastAsia="zh-CN"/>
        </w:rPr>
        <w:t>存在的主要问题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一是政府信息公开的深度有待进一步延伸。围绕政务公开工作要点，需进一步明确责任部门，细化公开内容和公开标准，确保相关信息及时完整发布。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二是主动公开、依申请公开政府信息的意识有待进一步加强。需处理好信息公开制度与档案保管规则、个人信息保护的衔接措施，在掌握、留存信息的同时，不忘扎紧信息安全的口子。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三是公开质量还不够高。需确保所有公开内容都能严格按照规定程序操作，政务透明度也需进一步提高。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72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</w:rPr>
        <w:t>（二）</w:t>
      </w: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eastAsia="zh-CN"/>
        </w:rPr>
        <w:t>下一步改进措施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一是加强教育培训，开展人员业务培训和研讨交流，提升人员专业水平。加大政府信息公开网站栏目维护频率，强化通报、督查督办等问责机制，保障工作落实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100%。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修订信息管理办法，加大保密审查力度，明确信息公开流程，确保工作顺利开展。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二是完善信息公开制度。组织相关人员认真学习政府信息公开及行政复议等最新法律法规，确保程序流程合法合规。完善登记、办理、答复、归档的工作流程，以备核查。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三是加大政务公开力度。通过委内不同区域设置公开栏等形式拓展政务公开形式，畅通公开渠道。</w:t>
      </w:r>
    </w:p>
    <w:p>
      <w:pPr>
        <w:widowControl/>
        <w:spacing w:line="560" w:lineRule="exact"/>
        <w:ind w:firstLine="675"/>
        <w:jc w:val="left"/>
        <w:rPr>
          <w:rFonts w:hint="eastAsia"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六、其他需要报告的事项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72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根据《政府信息公开信息处理费管理办法》(国办函〔2020〕109号)，202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年度区发展改革委收取信息处理费情况为：发出收费通知的件数为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件，总金额为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元，实际收取的总金额为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72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北京市门头沟区人民政府网站网址为</w:t>
      </w:r>
      <w:r>
        <w:rPr>
          <w:rFonts w:hint="eastAsia" w:ascii="仿宋" w:hAnsi="仿宋" w:eastAsia="仿宋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https://www.bjmtg.gov.cn/</w:t>
      </w:r>
      <w:bookmarkStart w:id="0" w:name="_GoBack"/>
      <w:bookmarkEnd w:id="0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 xml:space="preserve">，如需了解更多政府信息，请登录查询。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72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</w:p>
    <w:sectPr>
      <w:pgSz w:w="11906" w:h="16838"/>
      <w:pgMar w:top="2098" w:right="1474" w:bottom="1984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5E7F314-AC60-438B-83FD-EF918245AEE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2D1A8CA-820B-494D-BC43-CC5159C1261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1C98BF1-DA9F-4C10-881A-FB73CE809CB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F9E1C2CA-48C4-44B8-8DCB-2F2DD01FDDF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579E2BE0-BC80-4800-B6EB-3CCBC7DC8CD0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E9696F20-DBB0-4E23-BF4E-59748D6D4445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7" w:fontKey="{EC8F18B7-2495-4DF4-A19F-A094E50B08B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8" w:fontKey="{E6ACB59A-7950-498C-9CF0-A18695BA5DC1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</w:docVars>
  <w:rsids>
    <w:rsidRoot w:val="00172A27"/>
    <w:rsid w:val="31E2429A"/>
    <w:rsid w:val="39DBA68B"/>
    <w:rsid w:val="48140966"/>
    <w:rsid w:val="6EE7DBFD"/>
    <w:rsid w:val="725E77EA"/>
    <w:rsid w:val="7FAD71C8"/>
    <w:rsid w:val="DFEAF6F9"/>
    <w:rsid w:val="F7FE655C"/>
    <w:rsid w:val="FAF61F7E"/>
    <w:rsid w:val="FDEB4B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qFormat/>
    <w:uiPriority w:val="0"/>
    <w:rPr>
      <w:rFonts w:ascii="Calibri" w:hAnsi="Calibri" w:eastAsia="宋体" w:cs="Times New Roman"/>
    </w:rPr>
  </w:style>
  <w:style w:type="table" w:default="1" w:styleId="4">
    <w:name w:val="Normal Table"/>
    <w:autoRedefine/>
    <w:qFormat/>
    <w:uiPriority w:val="0"/>
    <w:rPr>
      <w:rFonts w:ascii="Calibri" w:hAnsi="Calibri" w:eastAsia="宋体" w:cs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 w:eastAsia="宋体" w:cs="Times New Roman"/>
    </w:rPr>
  </w:style>
  <w:style w:type="paragraph" w:styleId="3">
    <w:name w:val="annotation text"/>
    <w:basedOn w:val="1"/>
    <w:autoRedefine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2024-01-05T13:46:00Z</dcterms:created>
  <dc:creator>sugon</dc:creator>
  <cp:lastModifiedBy>Mint1398171869</cp:lastModifiedBy>
  <dcterms:modified xsi:type="dcterms:W3CDTF">2024-01-23T08:26:32Z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277384C0F36349849F4B38F0A06DC447_13</vt:lpwstr>
  </property>
</Properties>
</file>