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4839E7">
      <w:pPr>
        <w:spacing w:line="560" w:lineRule="exact"/>
        <w:jc w:val="center"/>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lang w:eastAsia="zh-CN"/>
        </w:rPr>
        <w:t>北京市门头沟区</w:t>
      </w:r>
      <w:r>
        <w:rPr>
          <w:rFonts w:hint="eastAsia" w:ascii="方正小标宋简体" w:hAnsi="方正小标宋简体" w:eastAsia="方正小标宋简体" w:cs="方正小标宋简体"/>
          <w:sz w:val="44"/>
          <w:szCs w:val="44"/>
          <w:highlight w:val="none"/>
          <w:lang w:val="en-US" w:eastAsia="zh-CN"/>
        </w:rPr>
        <w:t>政府办公室</w:t>
      </w:r>
    </w:p>
    <w:p w14:paraId="371D5D06">
      <w:pPr>
        <w:spacing w:line="560" w:lineRule="exact"/>
        <w:jc w:val="center"/>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4</w:t>
      </w:r>
      <w:r>
        <w:rPr>
          <w:rFonts w:hint="eastAsia" w:ascii="方正小标宋简体" w:hAnsi="方正小标宋简体" w:eastAsia="方正小标宋简体" w:cs="方正小标宋简体"/>
          <w:sz w:val="44"/>
          <w:szCs w:val="44"/>
          <w:highlight w:val="none"/>
        </w:rPr>
        <w:t>年政府信息公开工作年度报告</w:t>
      </w:r>
    </w:p>
    <w:p w14:paraId="2DD40BB9">
      <w:pPr>
        <w:spacing w:line="560" w:lineRule="exact"/>
        <w:jc w:val="center"/>
        <w:rPr>
          <w:rFonts w:ascii="微软雅黑" w:hAnsi="微软雅黑" w:eastAsia="微软雅黑" w:cs="宋体"/>
          <w:color w:val="404040"/>
          <w:kern w:val="0"/>
          <w:sz w:val="32"/>
          <w:szCs w:val="32"/>
          <w:highlight w:val="none"/>
        </w:rPr>
      </w:pPr>
      <w:r>
        <w:rPr>
          <w:rFonts w:hint="eastAsia" w:ascii="微软雅黑" w:hAnsi="微软雅黑" w:eastAsia="微软雅黑" w:cs="宋体"/>
          <w:color w:val="404040"/>
          <w:kern w:val="0"/>
          <w:sz w:val="24"/>
          <w:highlight w:val="none"/>
        </w:rPr>
        <w:t>　</w:t>
      </w:r>
      <w:r>
        <w:rPr>
          <w:rFonts w:hint="eastAsia" w:ascii="微软雅黑" w:hAnsi="微软雅黑" w:eastAsia="微软雅黑" w:cs="宋体"/>
          <w:color w:val="404040"/>
          <w:kern w:val="0"/>
          <w:sz w:val="32"/>
          <w:szCs w:val="32"/>
          <w:highlight w:val="none"/>
        </w:rPr>
        <w:t xml:space="preserve"> </w:t>
      </w:r>
      <w:r>
        <w:rPr>
          <w:rFonts w:ascii="微软雅黑" w:hAnsi="微软雅黑" w:eastAsia="微软雅黑" w:cs="宋体"/>
          <w:color w:val="404040"/>
          <w:kern w:val="0"/>
          <w:sz w:val="32"/>
          <w:szCs w:val="32"/>
          <w:highlight w:val="none"/>
        </w:rPr>
        <w:t xml:space="preserve"> </w:t>
      </w:r>
    </w:p>
    <w:p w14:paraId="12270347">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bookmarkStart w:id="0" w:name="_GoBack"/>
      <w:r>
        <w:rPr>
          <w:rFonts w:hint="eastAsia" w:ascii="仿宋_GB2312" w:hAnsi="宋体" w:eastAsia="仿宋_GB2312" w:cs="宋体"/>
          <w:spacing w:val="8"/>
          <w:kern w:val="0"/>
          <w:sz w:val="32"/>
          <w:szCs w:val="32"/>
          <w:lang w:val="en-US" w:eastAsia="zh-CN"/>
        </w:rPr>
        <w:t>依据《中华人民共和国政府信息公开条例》(以下简称《政府信息公开条例》)第五十条规定，编制本报告。</w:t>
      </w:r>
    </w:p>
    <w:p w14:paraId="3CF6B85E">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一、总体情况</w:t>
      </w:r>
    </w:p>
    <w:p w14:paraId="00C8931A">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2024年，门头沟区人民政府办公室坚持以习近平新时代中国特色社会主义思想为指导，按照国家、北京市、门头沟区关于政务公开的工作部署，紧紧围绕区委区政府中心工作，依法依规推进政务公开工作，标准化、规范化、便利化水平进一步提升。</w:t>
      </w:r>
    </w:p>
    <w:p w14:paraId="4EAEC293">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（一）加强政府信息主动公开</w:t>
      </w:r>
    </w:p>
    <w:p w14:paraId="71A1A17B">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配合区政务服务局做好政策文件公开管理工作，对拟以区政府或区政府办名义印发的政策文件，督促文件起草单位按照《门头沟区政府信息公开确认单》要求，到区政务服务局进行重大决策预公开、政策解读和确定公文公开属性核验确认。按时公开政府工作报告、预算决算编制执行情况、区政府及区政府办公室领导信息等。全年转办各类批示件781件，受理公文5136余件，全年共组织区政府常务会42次、区长办公会43次，审议议题340个，通报各类工作131个，提交区委常委会审议议题95个、区人大常委会审议议题21个。进一步加强与区人大、区政协的联系，积极做好人大代表建议、政协委员提案办理工作，全年办理市人大代表建议和市政协提案共33件，办理区人大代表建议和区政协提案259件，办复率100%。编制《门头沟区市级绩效考核日常履职工作手册》，牵头制定重点工程任务80项和为民办实事项目38项。</w:t>
      </w:r>
    </w:p>
    <w:p w14:paraId="4DC3B0B8">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（二）依申请公开办理情况</w:t>
      </w:r>
    </w:p>
    <w:p w14:paraId="4EAC7D6D">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进一步规范依申请公开工作，明确责任主体，压实主体责任，畅通受理渠道，健全完善工作规范，切实保障社会公众知情权。</w:t>
      </w:r>
    </w:p>
    <w:p w14:paraId="4FFAA78F">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（三）加强教育培训</w:t>
      </w:r>
    </w:p>
    <w:p w14:paraId="59755F4D">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将信息公开内容安排进年度学习内容，组织机关干部认真学习区委区政府关于信息公开工作的相关要求，做好政府信息管理工作，推动信息平台建设，切实履行好信息公开职责。</w:t>
      </w:r>
    </w:p>
    <w:p w14:paraId="4BDF6363">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（四）强化政府信息管理</w:t>
      </w:r>
    </w:p>
    <w:p w14:paraId="19A17674">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认真落实《中华人民共和国政府信息公开条例》要求，严格执行信息公开发布审核机制，健全完善政府信息动态管理机制，切实保障信息安全。</w:t>
      </w:r>
    </w:p>
    <w:p w14:paraId="7784E888">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（五）持续做好政府信息平台建设</w:t>
      </w:r>
    </w:p>
    <w:p w14:paraId="58E2264B">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按照区政府和相关部门要求，进一步加强信息化建设。</w:t>
      </w:r>
    </w:p>
    <w:p w14:paraId="181AE65F">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（六）开展监督保障</w:t>
      </w:r>
    </w:p>
    <w:p w14:paraId="68390CFD">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抓好监督保障工作。贯彻落实上级政府政务公开工作要求，对政府办信息公开进行自查，对发现的问题进行整改，保障基层群众的知情权、参与权、表达权、监督权。</w:t>
      </w:r>
    </w:p>
    <w:p w14:paraId="61C39521">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二、主动公开政府信息情况</w:t>
      </w:r>
    </w:p>
    <w:tbl>
      <w:tblPr>
        <w:tblStyle w:val="7"/>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435"/>
        <w:gridCol w:w="2435"/>
        <w:gridCol w:w="2435"/>
        <w:gridCol w:w="2435"/>
      </w:tblGrid>
      <w:tr w14:paraId="4F5F1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14:paraId="4A681219">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0"/>
                <w:szCs w:val="20"/>
                <w:lang w:val="en-US" w:bidi="ar"/>
              </w:rPr>
            </w:pPr>
            <w:r>
              <w:rPr>
                <w:rFonts w:hint="eastAsia" w:ascii="宋体" w:hAnsi="宋体" w:eastAsia="宋体" w:cs="宋体"/>
                <w:color w:val="000000"/>
                <w:kern w:val="0"/>
                <w:sz w:val="20"/>
                <w:szCs w:val="20"/>
                <w:lang w:val="en-US" w:eastAsia="zh-CN" w:bidi="ar"/>
              </w:rPr>
              <w:t>第二十条第（一）项</w:t>
            </w:r>
          </w:p>
        </w:tc>
      </w:tr>
      <w:tr w14:paraId="54190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46894760">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5829C862">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0"/>
                <w:szCs w:val="20"/>
                <w:lang w:val="en-US" w:bidi="ar"/>
              </w:rPr>
            </w:pPr>
            <w:r>
              <w:rPr>
                <w:rFonts w:hint="eastAsia" w:ascii="宋体" w:hAnsi="宋体" w:eastAsia="宋体" w:cs="宋体"/>
                <w:color w:val="000000"/>
                <w:kern w:val="0"/>
                <w:sz w:val="20"/>
                <w:szCs w:val="20"/>
                <w:lang w:val="en-US" w:eastAsia="zh-CN" w:bidi="ar"/>
              </w:rPr>
              <w:t>本年制发件数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31509809">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0C7D53DB">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kern w:val="0"/>
                <w:sz w:val="20"/>
                <w:szCs w:val="20"/>
                <w:lang w:val="en-US" w:eastAsia="zh-CN" w:bidi="ar"/>
              </w:rPr>
              <w:t>数</w:t>
            </w:r>
          </w:p>
        </w:tc>
      </w:tr>
      <w:tr w14:paraId="5A726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07EC7DFF">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4747D4E5">
            <w:pPr>
              <w:keepNext w:val="0"/>
              <w:keepLines w:val="0"/>
              <w:widowControl/>
              <w:suppressLineNumbers w:val="0"/>
              <w:spacing w:before="0" w:beforeAutospacing="0" w:after="0" w:afterAutospacing="0"/>
              <w:ind w:left="0" w:right="0"/>
              <w:jc w:val="center"/>
              <w:rPr>
                <w:rFonts w:hint="default" w:ascii="Calibri" w:hAnsi="Calibri" w:eastAsia="宋体" w:cs="Calibri"/>
                <w:kern w:val="0"/>
                <w:sz w:val="21"/>
                <w:szCs w:val="21"/>
                <w:lang w:val="en-US" w:eastAsia="zh-CN" w:bidi="ar"/>
              </w:rPr>
            </w:pPr>
            <w:r>
              <w:rPr>
                <w:rFonts w:hint="eastAsia" w:ascii="Calibri" w:hAnsi="Calibri" w:eastAsia="宋体" w:cs="Calibri"/>
                <w:kern w:val="0"/>
                <w:sz w:val="21"/>
                <w:szCs w:val="21"/>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380EB5B7">
            <w:pPr>
              <w:keepNext w:val="0"/>
              <w:keepLines w:val="0"/>
              <w:widowControl/>
              <w:suppressLineNumbers w:val="0"/>
              <w:spacing w:before="0" w:beforeAutospacing="0" w:after="0" w:afterAutospacing="0"/>
              <w:ind w:left="0" w:right="0"/>
              <w:jc w:val="center"/>
              <w:rPr>
                <w:rFonts w:hint="default" w:ascii="Calibri" w:hAnsi="Calibri" w:eastAsia="宋体" w:cs="Calibri"/>
                <w:kern w:val="0"/>
                <w:sz w:val="21"/>
                <w:szCs w:val="21"/>
                <w:lang w:val="en-US" w:eastAsia="zh-CN" w:bidi="ar"/>
              </w:rPr>
            </w:pPr>
            <w:r>
              <w:rPr>
                <w:rFonts w:hint="eastAsia" w:ascii="Calibri" w:hAnsi="Calibri" w:eastAsia="宋体" w:cs="Calibri"/>
                <w:kern w:val="0"/>
                <w:sz w:val="21"/>
                <w:szCs w:val="21"/>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59D2B9AC">
            <w:pPr>
              <w:keepNext w:val="0"/>
              <w:keepLines w:val="0"/>
              <w:widowControl/>
              <w:suppressLineNumbers w:val="0"/>
              <w:spacing w:before="0" w:beforeAutospacing="0" w:after="0" w:afterAutospacing="0"/>
              <w:ind w:left="0" w:right="0"/>
              <w:jc w:val="center"/>
              <w:rPr>
                <w:rFonts w:hint="default" w:ascii="Calibri" w:hAnsi="Calibri" w:eastAsia="宋体" w:cs="Calibri"/>
                <w:kern w:val="0"/>
                <w:sz w:val="21"/>
                <w:szCs w:val="21"/>
                <w:lang w:val="en-US" w:eastAsia="zh-CN" w:bidi="ar"/>
              </w:rPr>
            </w:pPr>
            <w:r>
              <w:rPr>
                <w:rFonts w:hint="eastAsia" w:ascii="Calibri" w:hAnsi="Calibri" w:eastAsia="宋体" w:cs="Calibri"/>
                <w:kern w:val="0"/>
                <w:sz w:val="21"/>
                <w:szCs w:val="21"/>
                <w:lang w:val="en-US" w:eastAsia="zh-CN" w:bidi="ar"/>
              </w:rPr>
              <w:t>0</w:t>
            </w:r>
          </w:p>
        </w:tc>
      </w:tr>
      <w:tr w14:paraId="514D78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0F41786C">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5A6C30EB">
            <w:pPr>
              <w:keepNext w:val="0"/>
              <w:keepLines w:val="0"/>
              <w:widowControl/>
              <w:suppressLineNumbers w:val="0"/>
              <w:spacing w:before="0" w:beforeAutospacing="0" w:after="0" w:afterAutospacing="0"/>
              <w:ind w:left="0" w:right="0"/>
              <w:jc w:val="center"/>
              <w:rPr>
                <w:rFonts w:hint="default" w:ascii="Calibri" w:hAnsi="Calibri" w:eastAsia="宋体" w:cs="Calibri"/>
                <w:kern w:val="0"/>
                <w:sz w:val="21"/>
                <w:szCs w:val="21"/>
                <w:lang w:val="en-US" w:eastAsia="zh-CN" w:bidi="ar"/>
              </w:rPr>
            </w:pPr>
            <w:r>
              <w:rPr>
                <w:rFonts w:hint="eastAsia" w:ascii="Calibri" w:hAnsi="Calibri" w:eastAsia="宋体" w:cs="Calibri"/>
                <w:kern w:val="0"/>
                <w:sz w:val="21"/>
                <w:szCs w:val="21"/>
                <w:lang w:val="en-US" w:eastAsia="zh-CN" w:bidi="ar"/>
              </w:rPr>
              <w:t>4</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2544E321">
            <w:pPr>
              <w:keepNext w:val="0"/>
              <w:keepLines w:val="0"/>
              <w:widowControl/>
              <w:suppressLineNumbers w:val="0"/>
              <w:spacing w:before="0" w:beforeAutospacing="0" w:after="0" w:afterAutospacing="0"/>
              <w:ind w:left="0" w:right="0"/>
              <w:jc w:val="center"/>
              <w:rPr>
                <w:rFonts w:hint="default" w:ascii="Calibri" w:hAnsi="Calibri" w:eastAsia="宋体" w:cs="Calibri"/>
                <w:kern w:val="0"/>
                <w:sz w:val="21"/>
                <w:szCs w:val="21"/>
                <w:lang w:val="en-US" w:eastAsia="zh-CN" w:bidi="ar"/>
              </w:rPr>
            </w:pPr>
            <w:r>
              <w:rPr>
                <w:rFonts w:hint="eastAsia" w:ascii="Calibri" w:hAnsi="Calibri" w:eastAsia="宋体" w:cs="Calibri"/>
                <w:kern w:val="0"/>
                <w:sz w:val="21"/>
                <w:szCs w:val="21"/>
                <w:lang w:val="en-US" w:eastAsia="zh-CN" w:bidi="ar"/>
              </w:rPr>
              <w:t>14</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0C97FC69">
            <w:pPr>
              <w:keepNext w:val="0"/>
              <w:keepLines w:val="0"/>
              <w:widowControl/>
              <w:suppressLineNumbers w:val="0"/>
              <w:spacing w:before="0" w:beforeAutospacing="0" w:after="0" w:afterAutospacing="0"/>
              <w:ind w:left="0" w:right="0"/>
              <w:jc w:val="center"/>
              <w:rPr>
                <w:rFonts w:hint="default" w:ascii="Calibri" w:hAnsi="Calibri" w:eastAsia="宋体" w:cs="Calibri"/>
                <w:kern w:val="0"/>
                <w:sz w:val="21"/>
                <w:szCs w:val="21"/>
                <w:lang w:val="en-US" w:eastAsia="zh-CN" w:bidi="ar"/>
              </w:rPr>
            </w:pPr>
            <w:r>
              <w:rPr>
                <w:rFonts w:hint="eastAsia" w:ascii="Calibri" w:hAnsi="Calibri" w:eastAsia="宋体" w:cs="Calibri"/>
                <w:kern w:val="0"/>
                <w:sz w:val="21"/>
                <w:szCs w:val="21"/>
                <w:lang w:val="en-US" w:eastAsia="zh-CN" w:bidi="ar"/>
              </w:rPr>
              <w:t>52</w:t>
            </w:r>
          </w:p>
        </w:tc>
      </w:tr>
      <w:tr w14:paraId="5B5BB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1D7EB32A">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第二十条第（五）项</w:t>
            </w:r>
          </w:p>
        </w:tc>
      </w:tr>
      <w:tr w14:paraId="1A2795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3B175AB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DDEBF7"/>
            <w:tcMar>
              <w:left w:w="57" w:type="dxa"/>
              <w:right w:w="57" w:type="dxa"/>
            </w:tcMar>
            <w:vAlign w:val="center"/>
          </w:tcPr>
          <w:p w14:paraId="10937C6F">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本年处理决定数量</w:t>
            </w:r>
          </w:p>
        </w:tc>
      </w:tr>
      <w:tr w14:paraId="160D85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76C717AF">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行政许可</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1FFE6437">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1"/>
                <w:szCs w:val="21"/>
                <w:lang w:val="en-US" w:eastAsia="zh-CN" w:bidi="ar"/>
              </w:rPr>
              <w:t>0</w:t>
            </w:r>
          </w:p>
        </w:tc>
      </w:tr>
      <w:tr w14:paraId="38342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61EC50F2">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第二十条第（六）项</w:t>
            </w:r>
          </w:p>
        </w:tc>
      </w:tr>
      <w:tr w14:paraId="4B635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1252620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14E7FB7C">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本年处理决定数量</w:t>
            </w:r>
          </w:p>
        </w:tc>
      </w:tr>
      <w:tr w14:paraId="4DB594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1CB9FE8F">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行政处罚</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552BD5A8">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1"/>
                <w:szCs w:val="21"/>
                <w:lang w:val="en-US" w:eastAsia="zh-CN" w:bidi="ar"/>
              </w:rPr>
              <w:t>0</w:t>
            </w:r>
          </w:p>
        </w:tc>
      </w:tr>
      <w:tr w14:paraId="54175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72B25393">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行政强制</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52F7695A">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1"/>
                <w:szCs w:val="21"/>
                <w:lang w:val="en-US" w:eastAsia="zh-CN" w:bidi="ar"/>
              </w:rPr>
              <w:t>0</w:t>
            </w:r>
          </w:p>
        </w:tc>
      </w:tr>
      <w:tr w14:paraId="7531F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202FCB19">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第二十条第（八）项</w:t>
            </w:r>
          </w:p>
        </w:tc>
      </w:tr>
      <w:tr w14:paraId="4887C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15D6D7AB">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DDEBF7"/>
            <w:tcMar>
              <w:left w:w="57" w:type="dxa"/>
              <w:right w:w="57" w:type="dxa"/>
            </w:tcMar>
            <w:vAlign w:val="center"/>
          </w:tcPr>
          <w:p w14:paraId="09D7A83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本年收费金额（单位：万元）</w:t>
            </w:r>
          </w:p>
        </w:tc>
      </w:tr>
      <w:tr w14:paraId="665A84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22D3D604">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行政事业性收费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20BEC398">
            <w:pPr>
              <w:keepNext w:val="0"/>
              <w:keepLines w:val="0"/>
              <w:widowControl w:val="0"/>
              <w:suppressLineNumbers w:val="0"/>
              <w:spacing w:before="0" w:beforeAutospacing="0" w:after="0" w:afterAutospacing="0"/>
              <w:ind w:left="0" w:right="0"/>
              <w:jc w:val="center"/>
              <w:rPr>
                <w:rFonts w:hint="eastAsia" w:ascii="宋体" w:hAnsi="Times New Roman" w:eastAsia="宋体" w:cs="宋体"/>
                <w:sz w:val="24"/>
                <w:szCs w:val="24"/>
                <w:lang w:val="en-US" w:eastAsia="zh-CN"/>
              </w:rPr>
            </w:pPr>
            <w:r>
              <w:rPr>
                <w:rFonts w:hint="eastAsia" w:ascii="Calibri" w:hAnsi="Calibri" w:eastAsia="宋体" w:cs="Calibri"/>
                <w:kern w:val="0"/>
                <w:sz w:val="21"/>
                <w:szCs w:val="21"/>
                <w:lang w:val="en-US" w:eastAsia="zh-CN" w:bidi="ar"/>
              </w:rPr>
              <w:t>0</w:t>
            </w:r>
          </w:p>
        </w:tc>
      </w:tr>
    </w:tbl>
    <w:p w14:paraId="671A7278">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黑体" w:hAnsi="宋体" w:eastAsia="黑体" w:cs="黑体"/>
          <w:kern w:val="2"/>
          <w:sz w:val="32"/>
          <w:szCs w:val="32"/>
          <w:lang w:val="en-US" w:eastAsia="zh-CN" w:bidi="ar"/>
        </w:rPr>
      </w:pPr>
    </w:p>
    <w:p w14:paraId="7ADC7666">
      <w:pPr>
        <w:keepNext w:val="0"/>
        <w:keepLines w:val="0"/>
        <w:pageBreakBefore w:val="0"/>
        <w:widowControl/>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收到和处理政府信息公开申请情况</w:t>
      </w:r>
    </w:p>
    <w:tbl>
      <w:tblPr>
        <w:tblStyle w:val="7"/>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14:paraId="5893653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220B1C78">
            <w:pPr>
              <w:keepNext w:val="0"/>
              <w:keepLines w:val="0"/>
              <w:widowControl/>
              <w:suppressLineNumbers w:val="0"/>
              <w:spacing w:before="0" w:beforeAutospacing="0" w:after="0" w:afterAutospacing="0"/>
              <w:ind w:left="0" w:right="0"/>
              <w:jc w:val="left"/>
              <w:rPr>
                <w:rFonts w:hint="default"/>
                <w:lang w:val="en-US"/>
              </w:rPr>
            </w:pPr>
            <w:r>
              <w:rPr>
                <w:rFonts w:hint="eastAsia" w:ascii="楷体" w:hAnsi="楷体" w:eastAsia="楷体" w:cs="楷体"/>
                <w:kern w:val="0"/>
                <w:sz w:val="20"/>
                <w:szCs w:val="20"/>
                <w:lang w:val="en-US" w:eastAsia="zh-CN"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5055E46A">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申请人情况</w:t>
            </w:r>
          </w:p>
        </w:tc>
      </w:tr>
      <w:tr w14:paraId="4125700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1C85437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8" w:type="dxa"/>
            <w:vMerge w:val="restart"/>
            <w:tcBorders>
              <w:top w:val="nil"/>
              <w:left w:val="nil"/>
              <w:bottom w:val="single" w:color="auto" w:sz="8" w:space="0"/>
              <w:right w:val="single" w:color="auto" w:sz="8" w:space="0"/>
            </w:tcBorders>
            <w:shd w:val="clear" w:color="auto" w:fill="9BC2E6"/>
            <w:tcMar>
              <w:left w:w="57" w:type="dxa"/>
              <w:right w:w="57" w:type="dxa"/>
            </w:tcMar>
            <w:vAlign w:val="center"/>
          </w:tcPr>
          <w:p w14:paraId="3E0194B2">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自然人</w:t>
            </w:r>
          </w:p>
        </w:tc>
        <w:tc>
          <w:tcPr>
            <w:tcW w:w="3440" w:type="dxa"/>
            <w:gridSpan w:val="5"/>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6F417307">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法人或其他组织</w:t>
            </w:r>
          </w:p>
        </w:tc>
        <w:tc>
          <w:tcPr>
            <w:tcW w:w="689" w:type="dxa"/>
            <w:vMerge w:val="restart"/>
            <w:tcBorders>
              <w:top w:val="single" w:color="auto" w:sz="8" w:space="0"/>
              <w:left w:val="nil"/>
              <w:bottom w:val="inset" w:color="auto" w:sz="8" w:space="0"/>
              <w:right w:val="single" w:color="auto" w:sz="8" w:space="0"/>
            </w:tcBorders>
            <w:shd w:val="clear" w:color="auto" w:fill="9BC2E6"/>
            <w:tcMar>
              <w:left w:w="57" w:type="dxa"/>
              <w:right w:w="57" w:type="dxa"/>
            </w:tcMar>
            <w:vAlign w:val="center"/>
          </w:tcPr>
          <w:p w14:paraId="7DC38FD7">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总计</w:t>
            </w:r>
          </w:p>
        </w:tc>
      </w:tr>
      <w:tr w14:paraId="2AFF51B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4374805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8" w:type="dxa"/>
            <w:vMerge w:val="continue"/>
            <w:tcBorders>
              <w:top w:val="nil"/>
              <w:left w:val="nil"/>
              <w:bottom w:val="single" w:color="auto" w:sz="8" w:space="0"/>
              <w:right w:val="single" w:color="auto" w:sz="8" w:space="0"/>
            </w:tcBorders>
            <w:shd w:val="clear" w:color="auto" w:fill="9BC2E6"/>
            <w:tcMar>
              <w:left w:w="57" w:type="dxa"/>
              <w:right w:w="57" w:type="dxa"/>
            </w:tcMar>
            <w:vAlign w:val="center"/>
          </w:tcPr>
          <w:p w14:paraId="5511251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14:paraId="628CBAB8">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商业</w:t>
            </w:r>
          </w:p>
          <w:p w14:paraId="2ECE4FA2">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企业</w:t>
            </w: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14:paraId="70B04739">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科研</w:t>
            </w:r>
          </w:p>
          <w:p w14:paraId="178F4D42">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70839654">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社会公益组织</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7E721B32">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法律服务机构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3E890F50">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其他</w:t>
            </w:r>
          </w:p>
        </w:tc>
        <w:tc>
          <w:tcPr>
            <w:tcW w:w="689" w:type="dxa"/>
            <w:vMerge w:val="continue"/>
            <w:tcBorders>
              <w:top w:val="single" w:color="auto" w:sz="8" w:space="0"/>
              <w:left w:val="nil"/>
              <w:bottom w:val="inset" w:color="auto" w:sz="8" w:space="0"/>
              <w:right w:val="single" w:color="auto" w:sz="8" w:space="0"/>
            </w:tcBorders>
            <w:shd w:val="clear" w:color="auto" w:fill="9BC2E6"/>
            <w:tcMar>
              <w:left w:w="57" w:type="dxa"/>
              <w:right w:w="57" w:type="dxa"/>
            </w:tcMar>
            <w:vAlign w:val="center"/>
          </w:tcPr>
          <w:p w14:paraId="6C55293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6357E57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1F245BB5">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一、本年新收政府信息公开申请数量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54F95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103</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0646F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B74C6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D05601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021FE3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1451BA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4B0DB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103</w:t>
            </w:r>
          </w:p>
        </w:tc>
      </w:tr>
      <w:tr w14:paraId="66E3476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24511B5A">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二、上年结转政府信息公开申请数量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98F283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5</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B4EDB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CFA7C4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550DB6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75F0F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D0C7B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203FD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5</w:t>
            </w:r>
          </w:p>
        </w:tc>
      </w:tr>
      <w:tr w14:paraId="2CBFB26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63E0C496">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三、本年度办理结果</w:t>
            </w: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580CDB13">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（一）予以公开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C293F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25</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82BA30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B8610A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17FDDF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B8760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916516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7F70799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25</w:t>
            </w:r>
          </w:p>
        </w:tc>
      </w:tr>
      <w:tr w14:paraId="3C67557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4F752D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6E946548">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（二）部分公开</w:t>
            </w:r>
            <w:r>
              <w:rPr>
                <w:rFonts w:hint="eastAsia" w:ascii="楷体" w:hAnsi="楷体" w:eastAsia="楷体" w:cs="楷体"/>
                <w:kern w:val="0"/>
                <w:sz w:val="20"/>
                <w:szCs w:val="20"/>
                <w:lang w:val="en-US" w:eastAsia="zh-CN" w:bidi="ar"/>
              </w:rPr>
              <w:t>（区分处理的，只计这一情形，不计其他情形）</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C1C940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9</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980A0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AF88AC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241821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AB24C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61F026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308B33E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9</w:t>
            </w:r>
          </w:p>
        </w:tc>
      </w:tr>
      <w:tr w14:paraId="60E6C60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722D571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14:paraId="10113634">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（三）不予公开</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5285E45C">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1.属于国家秘密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17F0B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81D6C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8AAB7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C805C5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B3A7D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2D5A5F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07B797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r>
      <w:tr w14:paraId="146CF5E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25A7A0F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1D521C8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347C54A6">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2.其他法律行政法规禁止公开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85846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762F6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13AD88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C7D2A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6839CC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98960C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E2D1B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r>
      <w:tr w14:paraId="0FE8CCB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210488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19E6F62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3841190D">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3.危及“三安全一稳定”</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EAD34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F07B7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EE8C8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783D7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F91F0C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35D1C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423FD4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r>
      <w:tr w14:paraId="7B93157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E54C1A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7709CCE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69AD4364">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4.保护第三方合法权益</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230B0F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F09FA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78351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4161B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EC5E1F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4DAA9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C83B5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r>
      <w:tr w14:paraId="6088299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099CA80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2DD7D44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4E21520D">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5.属于三类内部事务信息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9B32FF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Calibri" w:hAnsi="Calibri" w:cs="Calibri"/>
                <w:kern w:val="0"/>
                <w:sz w:val="20"/>
                <w:szCs w:val="20"/>
                <w:lang w:val="en-US" w:eastAsia="zh-CN" w:bidi="ar"/>
              </w:rPr>
            </w:pPr>
            <w:r>
              <w:rPr>
                <w:rFonts w:hint="eastAsia" w:ascii="Calibri" w:hAnsi="Calibri" w:cs="Calibri"/>
                <w:kern w:val="0"/>
                <w:sz w:val="20"/>
                <w:szCs w:val="20"/>
                <w:lang w:val="en-US" w:eastAsia="zh-CN" w:bidi="ar"/>
              </w:rPr>
              <w:t>3</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B50D2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Calibri" w:hAnsi="Calibri" w:cs="Calibri"/>
                <w:kern w:val="0"/>
                <w:sz w:val="20"/>
                <w:szCs w:val="20"/>
                <w:lang w:val="en-US" w:eastAsia="zh-CN" w:bidi="ar"/>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8BA93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Calibri" w:hAnsi="Calibri" w:cs="Calibri"/>
                <w:kern w:val="0"/>
                <w:sz w:val="20"/>
                <w:szCs w:val="20"/>
                <w:lang w:val="en-US" w:eastAsia="zh-CN" w:bidi="ar"/>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E1115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Calibri" w:hAnsi="Calibri" w:cs="Calibri"/>
                <w:kern w:val="0"/>
                <w:sz w:val="20"/>
                <w:szCs w:val="20"/>
                <w:lang w:val="en-US" w:eastAsia="zh-CN" w:bidi="ar"/>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AD6637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Calibri" w:hAnsi="Calibri" w:cs="Calibri"/>
                <w:kern w:val="0"/>
                <w:sz w:val="20"/>
                <w:szCs w:val="20"/>
                <w:lang w:val="en-US" w:eastAsia="zh-CN" w:bidi="ar"/>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A8B8E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Calibri" w:hAnsi="Calibri" w:cs="Calibri"/>
                <w:kern w:val="0"/>
                <w:sz w:val="20"/>
                <w:szCs w:val="20"/>
                <w:lang w:val="en-US" w:eastAsia="zh-CN" w:bidi="ar"/>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EAEFA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ascii="Calibri" w:hAnsi="Calibri" w:cs="Calibri"/>
                <w:kern w:val="0"/>
                <w:sz w:val="20"/>
                <w:szCs w:val="20"/>
                <w:lang w:val="en-US" w:eastAsia="zh-CN" w:bidi="ar"/>
              </w:rPr>
            </w:pPr>
            <w:r>
              <w:rPr>
                <w:rFonts w:hint="eastAsia" w:ascii="Calibri" w:hAnsi="Calibri" w:cs="Calibri"/>
                <w:kern w:val="0"/>
                <w:sz w:val="20"/>
                <w:szCs w:val="20"/>
                <w:lang w:val="en-US" w:eastAsia="zh-CN" w:bidi="ar"/>
              </w:rPr>
              <w:t>3</w:t>
            </w:r>
          </w:p>
        </w:tc>
      </w:tr>
      <w:tr w14:paraId="116A1AD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0940A1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3C4D507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3C173F20">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6.属于四类过程性信息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6B933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DEEE1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8A11B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448772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6CE8B4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F67E51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282B25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r>
      <w:tr w14:paraId="3998F75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6393EF2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16498DF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11050C5F">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7.属于行政执法案卷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42FB6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A0B718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B8AC8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5ACFE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E8E8B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A0481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B0DF1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r>
      <w:tr w14:paraId="3A87C77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7664A86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7BF1E31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33EBF524">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8.属于行政查询事项</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66849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345C4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359D9A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D4565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94DFB2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9E5207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C1FE8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r>
      <w:tr w14:paraId="7D7EBDB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0E0CAC6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14:paraId="6D925013">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（四）无法提供</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6CF5F0F0">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1.本机关不掌握相关政府信息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092976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46</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E39A43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CA5905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786DB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C8F5A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1C462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06015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46</w:t>
            </w:r>
          </w:p>
        </w:tc>
      </w:tr>
      <w:tr w14:paraId="3BD0491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75DF515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1D8F6B8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33380B68">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2.没有现成信息需要另行制作</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A9DFE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ECC402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E3ACE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25984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3009DD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1F9B18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47A79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r>
      <w:tr w14:paraId="78FB8A2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42E1B8A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50AC125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6CD1E0DB">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3.补正后申请内容仍不明确</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FCC11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0D2A06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27D9C8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45FE16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E2A67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8797CC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029B5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r>
      <w:tr w14:paraId="22267EF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24938AA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14:paraId="2E7D1BFC">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（五）不予处理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58E9543F">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1.信访举报投诉类申请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254F94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9</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70C3D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06B5B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260E3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5869E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3C70F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DA4118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9</w:t>
            </w:r>
          </w:p>
        </w:tc>
      </w:tr>
      <w:tr w14:paraId="71EE12D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3D7F25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3F78E94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04F8EFB4">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2.重复申请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0196D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2B8C0B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CF917B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39385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1574B6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41F4C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78394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r>
      <w:tr w14:paraId="49CD64C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1FEACEF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279F868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2E304AF5">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3.要求提供公开出版物</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D12E5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77298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C3B7F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C5F6B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025B7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86A3C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0BF6C8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r>
      <w:tr w14:paraId="00ABC99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7B89BEC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1FBE8A8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31C817C2">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4.无正当理由大量反复申请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FEB80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430F5C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DC748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D4DC7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AB02B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33D08D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8E2DA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r>
      <w:tr w14:paraId="56A3FB9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D27839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1792C0C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inset" w:color="auto" w:sz="8" w:space="0"/>
              <w:right w:val="single" w:color="auto" w:sz="8" w:space="0"/>
            </w:tcBorders>
            <w:shd w:val="clear" w:color="auto" w:fill="DDEBF7"/>
            <w:tcMar>
              <w:left w:w="57" w:type="dxa"/>
              <w:right w:w="57" w:type="dxa"/>
            </w:tcMar>
            <w:vAlign w:val="center"/>
          </w:tcPr>
          <w:p w14:paraId="69210FAE">
            <w:pPr>
              <w:keepNext w:val="0"/>
              <w:keepLines w:val="0"/>
              <w:widowControl/>
              <w:suppressLineNumbers w:val="0"/>
              <w:spacing w:before="0" w:beforeAutospacing="0" w:after="0" w:afterAutospacing="0"/>
              <w:ind w:left="0" w:right="0"/>
              <w:jc w:val="both"/>
              <w:rPr>
                <w:rFonts w:hint="default"/>
                <w:lang w:val="en-US"/>
              </w:rPr>
            </w:pPr>
            <w:r>
              <w:rPr>
                <w:rFonts w:hint="eastAsia" w:ascii="宋体" w:hAnsi="宋体" w:eastAsia="宋体" w:cs="宋体"/>
                <w:kern w:val="0"/>
                <w:sz w:val="20"/>
                <w:szCs w:val="20"/>
                <w:lang w:val="en-US" w:eastAsia="zh-CN" w:bidi="ar"/>
              </w:rPr>
              <w:t>5.要求行政机关确认或重新出具已获取信息</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3D6694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01DA22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3188A1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67BAD3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5D45E6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3C099C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9" w:type="dxa"/>
            <w:tcBorders>
              <w:top w:val="nil"/>
              <w:left w:val="nil"/>
              <w:bottom w:val="inset" w:color="auto" w:sz="8" w:space="0"/>
              <w:right w:val="single" w:color="auto" w:sz="8" w:space="0"/>
            </w:tcBorders>
            <w:shd w:val="clear" w:color="auto" w:fill="auto"/>
            <w:tcMar>
              <w:left w:w="57" w:type="dxa"/>
              <w:right w:w="57" w:type="dxa"/>
            </w:tcMar>
            <w:vAlign w:val="center"/>
          </w:tcPr>
          <w:p w14:paraId="3049602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r>
      <w:tr w14:paraId="348B06E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5BC633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14:paraId="458F9F6B">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（六）其他处理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14:paraId="01F05077">
            <w:pPr>
              <w:keepNext w:val="0"/>
              <w:keepLines w:val="0"/>
              <w:widowControl/>
              <w:suppressLineNumbers w:val="0"/>
              <w:spacing w:before="0" w:beforeAutospacing="0" w:after="0" w:afterAutospacing="0"/>
              <w:ind w:left="0" w:right="0"/>
              <w:jc w:val="both"/>
              <w:rPr>
                <w:rFonts w:hint="default"/>
                <w:lang w:val="en-US"/>
              </w:rPr>
            </w:pPr>
            <w:r>
              <w:rPr>
                <w:rFonts w:hint="eastAsia" w:ascii="宋体" w:hAnsi="宋体" w:eastAsia="宋体" w:cs="宋体"/>
                <w:kern w:val="0"/>
                <w:sz w:val="20"/>
                <w:szCs w:val="20"/>
                <w:lang w:val="en-US" w:eastAsia="zh-CN"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A67761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5331F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90CF4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76594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7D562F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00CBEF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0DD6FB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r>
      <w:tr w14:paraId="740D75C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09DD7EA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14:paraId="0DDC028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14:paraId="3D1426A1">
            <w:pPr>
              <w:keepNext w:val="0"/>
              <w:keepLines w:val="0"/>
              <w:widowControl/>
              <w:suppressLineNumbers w:val="0"/>
              <w:spacing w:before="0" w:beforeAutospacing="0" w:after="0" w:afterAutospacing="0"/>
              <w:ind w:left="0" w:right="0"/>
              <w:jc w:val="both"/>
              <w:rPr>
                <w:rFonts w:hint="default"/>
                <w:lang w:val="en-US"/>
              </w:rPr>
            </w:pPr>
            <w:r>
              <w:rPr>
                <w:rFonts w:hint="eastAsia" w:ascii="宋体" w:hAnsi="宋体" w:eastAsia="宋体" w:cs="宋体"/>
                <w:kern w:val="0"/>
                <w:sz w:val="20"/>
                <w:szCs w:val="20"/>
                <w:lang w:val="en-US" w:eastAsia="zh-CN"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529430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EA52A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56142C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70864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2F621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7F0C98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5F740F6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r>
      <w:tr w14:paraId="00C52AD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1509821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14:paraId="4980AA7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14:paraId="0E2E08DA">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3.其他</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5A5D7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12</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C23B53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916012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6D88F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229C8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46601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2873A9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12</w:t>
            </w:r>
          </w:p>
        </w:tc>
      </w:tr>
      <w:tr w14:paraId="09AB53A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61F9672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053FF2F5">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（七）总计</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DBF181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104</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02460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54425A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0C6939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0888A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0</w:t>
            </w:r>
            <w:r>
              <w:rPr>
                <w:rFonts w:hint="default" w:ascii="Calibri" w:hAnsi="Calibri" w:cs="Calibri"/>
                <w:kern w:val="0"/>
                <w:sz w:val="20"/>
                <w:szCs w:val="20"/>
                <w:lang w:val="en-US" w:eastAsia="zh-CN" w:bidi="ar"/>
              </w:rPr>
              <w:t> </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1E297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default" w:ascii="Calibri" w:hAnsi="Calibri" w:cs="Calibri"/>
                <w:kern w:val="0"/>
                <w:sz w:val="20"/>
                <w:szCs w:val="20"/>
                <w:lang w:val="en-US" w:eastAsia="zh-CN" w:bidi="ar"/>
              </w:rPr>
              <w:t> </w:t>
            </w: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DCC2A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default"/>
                <w:lang w:val="en-US" w:eastAsia="zh-CN"/>
              </w:rPr>
            </w:pPr>
            <w:r>
              <w:rPr>
                <w:rFonts w:hint="eastAsia" w:ascii="Calibri" w:hAnsi="Calibri" w:cs="Calibri"/>
                <w:kern w:val="0"/>
                <w:sz w:val="20"/>
                <w:szCs w:val="20"/>
                <w:lang w:val="en-US" w:eastAsia="zh-CN" w:bidi="ar"/>
              </w:rPr>
              <w:t>104</w:t>
            </w:r>
          </w:p>
        </w:tc>
      </w:tr>
      <w:tr w14:paraId="50AB2A4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10CC9EBA">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四、结转下年度继续办理</w:t>
            </w:r>
          </w:p>
        </w:tc>
        <w:tc>
          <w:tcPr>
            <w:tcW w:w="688" w:type="dxa"/>
            <w:tcBorders>
              <w:top w:val="inset" w:color="auto" w:sz="6" w:space="0"/>
              <w:left w:val="nil"/>
              <w:bottom w:val="inset" w:color="auto" w:sz="6" w:space="0"/>
              <w:right w:val="inset" w:color="auto" w:sz="6" w:space="0"/>
            </w:tcBorders>
            <w:shd w:val="clear" w:color="auto" w:fill="auto"/>
            <w:vAlign w:val="center"/>
          </w:tcPr>
          <w:p w14:paraId="0869B60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lang w:val="en-US" w:eastAsia="zh-CN"/>
              </w:rPr>
            </w:pPr>
            <w:r>
              <w:rPr>
                <w:rFonts w:hint="eastAsia" w:ascii="Calibri" w:hAnsi="Calibri" w:cs="Calibri"/>
                <w:kern w:val="0"/>
                <w:sz w:val="20"/>
                <w:szCs w:val="20"/>
                <w:lang w:val="en-US" w:eastAsia="zh-CN" w:bidi="ar"/>
              </w:rPr>
              <w:t>4</w:t>
            </w:r>
          </w:p>
        </w:tc>
        <w:tc>
          <w:tcPr>
            <w:tcW w:w="688" w:type="dxa"/>
            <w:tcBorders>
              <w:top w:val="inset" w:color="auto" w:sz="6" w:space="0"/>
              <w:left w:val="nil"/>
              <w:bottom w:val="inset" w:color="auto" w:sz="6" w:space="0"/>
              <w:right w:val="inset" w:color="auto" w:sz="6" w:space="0"/>
            </w:tcBorders>
            <w:shd w:val="clear" w:color="auto" w:fill="auto"/>
            <w:vAlign w:val="center"/>
          </w:tcPr>
          <w:p w14:paraId="228B67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lang w:val="en-US" w:eastAsia="zh-CN"/>
              </w:rPr>
            </w:pPr>
            <w:r>
              <w:rPr>
                <w:rFonts w:hint="eastAsia" w:ascii="Calibri" w:hAnsi="Calibri" w:cs="Calibri"/>
                <w:kern w:val="0"/>
                <w:sz w:val="20"/>
                <w:szCs w:val="20"/>
                <w:lang w:val="en-US" w:eastAsia="zh-CN" w:bidi="ar"/>
              </w:rPr>
              <w:t>0</w:t>
            </w:r>
          </w:p>
        </w:tc>
        <w:tc>
          <w:tcPr>
            <w:tcW w:w="688" w:type="dxa"/>
            <w:tcBorders>
              <w:top w:val="inset" w:color="auto" w:sz="6" w:space="0"/>
              <w:left w:val="nil"/>
              <w:bottom w:val="inset" w:color="auto" w:sz="6" w:space="0"/>
              <w:right w:val="inset" w:color="auto" w:sz="6" w:space="0"/>
            </w:tcBorders>
            <w:shd w:val="clear" w:color="auto" w:fill="auto"/>
            <w:vAlign w:val="center"/>
          </w:tcPr>
          <w:p w14:paraId="73912ED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lang w:val="en-US" w:eastAsia="zh-CN"/>
              </w:rPr>
            </w:pPr>
            <w:r>
              <w:rPr>
                <w:rFonts w:hint="eastAsia" w:ascii="Calibri" w:hAnsi="Calibri" w:cs="Calibri"/>
                <w:kern w:val="0"/>
                <w:sz w:val="20"/>
                <w:szCs w:val="20"/>
                <w:lang w:val="en-US" w:eastAsia="zh-CN" w:bidi="ar"/>
              </w:rPr>
              <w:t>0</w:t>
            </w:r>
          </w:p>
        </w:tc>
        <w:tc>
          <w:tcPr>
            <w:tcW w:w="688" w:type="dxa"/>
            <w:tcBorders>
              <w:top w:val="inset" w:color="auto" w:sz="6" w:space="0"/>
              <w:left w:val="nil"/>
              <w:bottom w:val="inset" w:color="auto" w:sz="6" w:space="0"/>
              <w:right w:val="inset" w:color="auto" w:sz="6" w:space="0"/>
            </w:tcBorders>
            <w:shd w:val="clear" w:color="auto" w:fill="auto"/>
            <w:vAlign w:val="center"/>
          </w:tcPr>
          <w:p w14:paraId="54CC81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lang w:val="en-US" w:eastAsia="zh-CN"/>
              </w:rPr>
            </w:pPr>
            <w:r>
              <w:rPr>
                <w:rFonts w:hint="eastAsia" w:ascii="Calibri" w:hAnsi="Calibri" w:cs="Calibri"/>
                <w:kern w:val="0"/>
                <w:sz w:val="20"/>
                <w:szCs w:val="20"/>
                <w:lang w:val="en-US" w:eastAsia="zh-CN" w:bidi="ar"/>
              </w:rPr>
              <w:t>0</w:t>
            </w:r>
          </w:p>
        </w:tc>
        <w:tc>
          <w:tcPr>
            <w:tcW w:w="688" w:type="dxa"/>
            <w:tcBorders>
              <w:top w:val="inset" w:color="auto" w:sz="6" w:space="0"/>
              <w:left w:val="nil"/>
              <w:bottom w:val="inset" w:color="auto" w:sz="6" w:space="0"/>
              <w:right w:val="inset" w:color="auto" w:sz="6" w:space="0"/>
            </w:tcBorders>
            <w:shd w:val="clear" w:color="auto" w:fill="auto"/>
            <w:vAlign w:val="center"/>
          </w:tcPr>
          <w:p w14:paraId="71896A8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lang w:val="en-US" w:eastAsia="zh-CN"/>
              </w:rPr>
            </w:pPr>
            <w:r>
              <w:rPr>
                <w:rFonts w:hint="eastAsia" w:ascii="Calibri" w:hAnsi="Calibri" w:cs="Calibri"/>
                <w:kern w:val="0"/>
                <w:sz w:val="20"/>
                <w:szCs w:val="20"/>
                <w:lang w:val="en-US" w:eastAsia="zh-CN" w:bidi="ar"/>
              </w:rPr>
              <w:t>0</w:t>
            </w:r>
          </w:p>
        </w:tc>
        <w:tc>
          <w:tcPr>
            <w:tcW w:w="688" w:type="dxa"/>
            <w:tcBorders>
              <w:top w:val="inset" w:color="auto" w:sz="6" w:space="0"/>
              <w:left w:val="nil"/>
              <w:bottom w:val="inset" w:color="auto" w:sz="6" w:space="0"/>
              <w:right w:val="inset" w:color="auto" w:sz="6" w:space="0"/>
            </w:tcBorders>
            <w:shd w:val="clear" w:color="auto" w:fill="auto"/>
            <w:vAlign w:val="center"/>
          </w:tcPr>
          <w:p w14:paraId="5BC9896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lang w:val="en-US" w:eastAsia="zh-CN"/>
              </w:rPr>
            </w:pPr>
            <w:r>
              <w:rPr>
                <w:rFonts w:hint="eastAsia" w:ascii="Calibri" w:hAnsi="Calibri" w:cs="Calibri"/>
                <w:kern w:val="0"/>
                <w:sz w:val="20"/>
                <w:szCs w:val="20"/>
                <w:lang w:val="en-US" w:eastAsia="zh-CN" w:bidi="ar"/>
              </w:rPr>
              <w:t>0</w:t>
            </w:r>
          </w:p>
        </w:tc>
        <w:tc>
          <w:tcPr>
            <w:tcW w:w="689" w:type="dxa"/>
            <w:tcBorders>
              <w:top w:val="inset" w:color="auto" w:sz="6" w:space="0"/>
              <w:left w:val="nil"/>
              <w:bottom w:val="inset" w:color="auto" w:sz="6" w:space="0"/>
              <w:right w:val="inset" w:color="auto" w:sz="6" w:space="0"/>
            </w:tcBorders>
            <w:shd w:val="clear" w:color="auto" w:fill="auto"/>
            <w:vAlign w:val="center"/>
          </w:tcPr>
          <w:p w14:paraId="1B15ED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lang w:val="en-US" w:eastAsia="zh-CN"/>
              </w:rPr>
            </w:pPr>
            <w:r>
              <w:rPr>
                <w:rFonts w:hint="eastAsia" w:ascii="Calibri" w:hAnsi="Calibri" w:cs="Calibri"/>
                <w:kern w:val="0"/>
                <w:sz w:val="20"/>
                <w:szCs w:val="20"/>
                <w:lang w:val="en-US" w:eastAsia="zh-CN" w:bidi="ar"/>
              </w:rPr>
              <w:t>4</w:t>
            </w:r>
          </w:p>
        </w:tc>
      </w:tr>
    </w:tbl>
    <w:p w14:paraId="12B960B7">
      <w:pPr>
        <w:pStyle w:val="2"/>
        <w:numPr>
          <w:ilvl w:val="0"/>
          <w:numId w:val="0"/>
        </w:numPr>
        <w:rPr>
          <w:rFonts w:hint="eastAsia"/>
          <w:lang w:val="en-US" w:eastAsia="zh-CN"/>
        </w:rPr>
      </w:pPr>
    </w:p>
    <w:p w14:paraId="56EB5D9F">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四、政府信息公开行政复议、行政诉讼情况</w:t>
      </w: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39B981E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14:paraId="63D3B3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14:paraId="4D11069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行政诉讼</w:t>
            </w:r>
          </w:p>
        </w:tc>
      </w:tr>
      <w:tr w14:paraId="478A1DD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CF31E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6CA69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p>
          <w:p w14:paraId="470F73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E4842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其他</w:t>
            </w:r>
          </w:p>
          <w:p w14:paraId="5E1051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C6C06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尚未</w:t>
            </w:r>
          </w:p>
          <w:p w14:paraId="7D91A52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B592F6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14:paraId="44007F2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14:paraId="37A5B9E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复议后起诉</w:t>
            </w:r>
          </w:p>
        </w:tc>
      </w:tr>
      <w:tr w14:paraId="67B0C4E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385731C5">
            <w:pPr>
              <w:rPr>
                <w:rFonts w:hint="eastAsia" w:ascii="宋体"/>
                <w:sz w:val="24"/>
                <w:szCs w:val="24"/>
              </w:rPr>
            </w:pPr>
          </w:p>
        </w:tc>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0BEABFB3">
            <w:pPr>
              <w:rPr>
                <w:rFonts w:hint="eastAsia" w:ascii="宋体"/>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085DA9C">
            <w:pPr>
              <w:rPr>
                <w:rFonts w:hint="eastAsia" w:ascii="宋体"/>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06EAC4AD">
            <w:pPr>
              <w:rPr>
                <w:rFonts w:hint="eastAsia" w:ascii="宋体"/>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A9D981C">
            <w:pPr>
              <w:rPr>
                <w:rFonts w:hint="eastAsia" w:ascii="宋体"/>
                <w:sz w:val="24"/>
                <w:szCs w:val="24"/>
              </w:rPr>
            </w:pP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5780127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p>
          <w:p w14:paraId="68F4469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维持</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0FE24CC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p>
          <w:p w14:paraId="4AFC4F2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3AE094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其他</w:t>
            </w:r>
          </w:p>
          <w:p w14:paraId="2757C91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F69E1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尚未</w:t>
            </w:r>
          </w:p>
          <w:p w14:paraId="4C67D7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9FEA5D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36FA1F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p>
          <w:p w14:paraId="3A8D8A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8BF20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p>
          <w:p w14:paraId="5C531B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002A46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其他</w:t>
            </w:r>
          </w:p>
          <w:p w14:paraId="3A48D3C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5EA70A2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尚未</w:t>
            </w:r>
          </w:p>
          <w:p w14:paraId="64D8FB0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51DD0E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总计</w:t>
            </w:r>
          </w:p>
        </w:tc>
      </w:tr>
      <w:tr w14:paraId="6FBB68E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085BEDD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黑体" w:hAnsi="宋体" w:eastAsia="黑体" w:cs="黑体"/>
                <w:kern w:val="0"/>
                <w:sz w:val="20"/>
                <w:szCs w:val="20"/>
                <w:lang w:val="en-US" w:eastAsia="zh-CN" w:bidi="ar"/>
              </w:rPr>
              <w:t>1</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2E7D702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2D9C306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lang w:val="en-US"/>
              </w:rPr>
            </w:pPr>
            <w:r>
              <w:rPr>
                <w:rFonts w:hint="eastAsia" w:ascii="黑体" w:hAnsi="宋体" w:eastAsia="黑体" w:cs="黑体"/>
                <w:kern w:val="0"/>
                <w:sz w:val="20"/>
                <w:szCs w:val="20"/>
                <w:lang w:val="en-US" w:eastAsia="zh-CN" w:bidi="ar"/>
              </w:rPr>
              <w:t>1</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5A7FCCF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eastAsiaTheme="minorEastAsia"/>
                <w:lang w:val="en-US" w:eastAsia="zh-CN"/>
              </w:rPr>
            </w:pPr>
            <w:r>
              <w:rPr>
                <w:rFonts w:hint="eastAsia" w:ascii="黑体" w:hAnsi="宋体" w:eastAsia="黑体" w:cs="黑体"/>
                <w:kern w:val="0"/>
                <w:sz w:val="20"/>
                <w:szCs w:val="20"/>
                <w:lang w:val="en-US" w:eastAsia="zh-CN" w:bidi="ar"/>
              </w:rPr>
              <w:t>1</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19DC14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黑体" w:hAnsi="宋体" w:eastAsia="黑体" w:cs="黑体"/>
                <w:kern w:val="0"/>
                <w:sz w:val="20"/>
                <w:szCs w:val="20"/>
                <w:lang w:val="en-US" w:eastAsia="zh-CN" w:bidi="ar"/>
              </w:rPr>
              <w:t>3</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4555E37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黑体" w:hAnsi="宋体" w:eastAsia="黑体" w:cs="黑体"/>
                <w:kern w:val="0"/>
                <w:sz w:val="20"/>
                <w:szCs w:val="20"/>
                <w:lang w:val="en-US" w:eastAsia="zh-CN" w:bidi="ar"/>
              </w:rPr>
              <w:t>1</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0961ED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黑体" w:hAnsi="宋体" w:eastAsia="黑体" w:cs="黑体"/>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14:paraId="4863DB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黑体" w:hAnsi="宋体" w:eastAsia="黑体" w:cs="黑体"/>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14:paraId="6CDE504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黑体" w:hAnsi="宋体" w:eastAsia="黑体" w:cs="黑体"/>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14:paraId="42F580C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黑体" w:hAnsi="宋体" w:eastAsia="黑体" w:cs="黑体"/>
                <w:kern w:val="0"/>
                <w:sz w:val="20"/>
                <w:szCs w:val="20"/>
                <w:lang w:val="en-US" w:eastAsia="zh-CN" w:bidi="ar"/>
              </w:rPr>
              <w:t>1</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14:paraId="1EE412B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14:paraId="247169A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14:paraId="02BB192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14:paraId="2FB1DB7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14:paraId="5338F8A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0" w:firstLineChars="0"/>
              <w:jc w:val="center"/>
              <w:rPr>
                <w:rFonts w:hint="eastAsia" w:ascii="宋体" w:eastAsiaTheme="minorEastAsia"/>
                <w:sz w:val="24"/>
                <w:szCs w:val="24"/>
                <w:lang w:val="en-US" w:eastAsia="zh-CN"/>
              </w:rPr>
            </w:pPr>
            <w:r>
              <w:rPr>
                <w:rFonts w:hint="eastAsia" w:ascii="黑体" w:hAnsi="宋体" w:eastAsia="黑体" w:cs="黑体"/>
                <w:kern w:val="0"/>
                <w:sz w:val="20"/>
                <w:szCs w:val="20"/>
                <w:lang w:val="en-US" w:eastAsia="zh-CN" w:bidi="ar"/>
              </w:rPr>
              <w:t>0</w:t>
            </w:r>
          </w:p>
        </w:tc>
      </w:tr>
    </w:tbl>
    <w:p w14:paraId="3FC64DD1">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五、存在的主要问题和改进措施</w:t>
      </w:r>
    </w:p>
    <w:p w14:paraId="60360EA6">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目前，政府办信息公开中依申请公开的处理效率有待提高。</w:t>
      </w:r>
    </w:p>
    <w:p w14:paraId="30DA72C4">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改进措施：进一步加强信息公开制度建设，提高信息公开工作人员业务能力，加强处理效率。</w:t>
      </w:r>
    </w:p>
    <w:p w14:paraId="6EE68271">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六、其他需要报告的事项</w:t>
      </w:r>
    </w:p>
    <w:p w14:paraId="668709F7">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本单位依据《政府信息公开信息处理费管理办法》收取信息处理费，2024年发出收费通知的件数0件，总金额为0元，实际收取的总金额为0元。</w:t>
      </w:r>
      <w:bookmarkEnd w:id="0"/>
    </w:p>
    <w:p w14:paraId="0F59FE91">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default"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北京市门头沟区人民政府门户网站网址链接为https://www.bjmtg.gov.cn/,如需了解更多政府信息，请登录查询。</w:t>
      </w:r>
    </w:p>
    <w:p w14:paraId="665B47F5">
      <w:pPr>
        <w:pStyle w:val="2"/>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A142FAB-19EE-41AC-B23A-5D7FC450AAC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4BE532E-E91F-41DB-9D91-F24DB4CC629E}"/>
  </w:font>
  <w:font w:name="方正小标宋简体">
    <w:panose1 w:val="02000000000000000000"/>
    <w:charset w:val="86"/>
    <w:family w:val="auto"/>
    <w:pitch w:val="default"/>
    <w:sig w:usb0="00000001" w:usb1="08000000" w:usb2="00000000" w:usb3="00000000" w:csb0="00040000" w:csb1="00000000"/>
    <w:embedRegular r:id="rId3" w:fontKey="{9560B8F6-3186-4C51-B295-3B7923277F8B}"/>
  </w:font>
  <w:font w:name="微软雅黑">
    <w:panose1 w:val="020B0503020204020204"/>
    <w:charset w:val="86"/>
    <w:family w:val="auto"/>
    <w:pitch w:val="default"/>
    <w:sig w:usb0="80000287" w:usb1="2ACF3C50" w:usb2="00000016" w:usb3="00000000" w:csb0="0004001F" w:csb1="00000000"/>
    <w:embedRegular r:id="rId4" w:fontKey="{0D0E3FF4-A1B6-4306-89F7-9427AFBBCA94}"/>
  </w:font>
  <w:font w:name="仿宋_GB2312">
    <w:panose1 w:val="02010609030101010101"/>
    <w:charset w:val="86"/>
    <w:family w:val="modern"/>
    <w:pitch w:val="default"/>
    <w:sig w:usb0="00000001" w:usb1="080E0000" w:usb2="00000000" w:usb3="00000000" w:csb0="00040000" w:csb1="00000000"/>
    <w:embedRegular r:id="rId5" w:fontKey="{9DF617B0-1D7B-40AD-A211-8C8BA1A14377}"/>
  </w:font>
  <w:font w:name="楷体">
    <w:panose1 w:val="02010609060101010101"/>
    <w:charset w:val="86"/>
    <w:family w:val="modern"/>
    <w:pitch w:val="default"/>
    <w:sig w:usb0="800002BF" w:usb1="38CF7CFA" w:usb2="00000016" w:usb3="00000000" w:csb0="00040001" w:csb1="00000000"/>
    <w:embedRegular r:id="rId6" w:fontKey="{C4DBEC93-704D-45B1-959C-297F89A6CE85}"/>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080356"/>
    <w:multiLevelType w:val="singleLevel"/>
    <w:tmpl w:val="E7080356"/>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2NjJjYWRiZWYzY2ViZDcxMWU0YjhkNjE4ZmUzZjEifQ=="/>
  </w:docVars>
  <w:rsids>
    <w:rsidRoot w:val="12EB65A5"/>
    <w:rsid w:val="0208294C"/>
    <w:rsid w:val="0339544E"/>
    <w:rsid w:val="0BF95B27"/>
    <w:rsid w:val="12EB65A5"/>
    <w:rsid w:val="17371930"/>
    <w:rsid w:val="174D5C54"/>
    <w:rsid w:val="17AE1426"/>
    <w:rsid w:val="18B9143A"/>
    <w:rsid w:val="18FE4995"/>
    <w:rsid w:val="1D5D6E24"/>
    <w:rsid w:val="21AD09D2"/>
    <w:rsid w:val="25871C98"/>
    <w:rsid w:val="264439EB"/>
    <w:rsid w:val="2A5C2949"/>
    <w:rsid w:val="2CB060D8"/>
    <w:rsid w:val="2E1B49FC"/>
    <w:rsid w:val="2E7F179C"/>
    <w:rsid w:val="2EEE1E6F"/>
    <w:rsid w:val="3330627F"/>
    <w:rsid w:val="37643766"/>
    <w:rsid w:val="383D613E"/>
    <w:rsid w:val="3FAC4938"/>
    <w:rsid w:val="415641F6"/>
    <w:rsid w:val="42427D06"/>
    <w:rsid w:val="46322CD4"/>
    <w:rsid w:val="4E723C5C"/>
    <w:rsid w:val="4F3218C1"/>
    <w:rsid w:val="503F53B1"/>
    <w:rsid w:val="54520EFE"/>
    <w:rsid w:val="579932E7"/>
    <w:rsid w:val="5E3653EC"/>
    <w:rsid w:val="5E96232F"/>
    <w:rsid w:val="5F051516"/>
    <w:rsid w:val="5FC04EEF"/>
    <w:rsid w:val="60BC260E"/>
    <w:rsid w:val="61723263"/>
    <w:rsid w:val="643F20FC"/>
    <w:rsid w:val="67777A99"/>
    <w:rsid w:val="6CCD3E85"/>
    <w:rsid w:val="6D7F835E"/>
    <w:rsid w:val="6FAF0612"/>
    <w:rsid w:val="6FF039FB"/>
    <w:rsid w:val="7753E68E"/>
    <w:rsid w:val="78124286"/>
    <w:rsid w:val="EFF556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Hyperlink"/>
    <w:basedOn w:val="8"/>
    <w:qFormat/>
    <w:uiPriority w:val="0"/>
    <w:rPr>
      <w:color w:val="0000FF"/>
      <w:u w:val="single"/>
    </w:rPr>
  </w:style>
  <w:style w:type="paragraph" w:customStyle="1" w:styleId="10">
    <w:name w:val="列出段落1"/>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区委办公室</Company>
  <Pages>5</Pages>
  <Words>1986</Words>
  <Characters>2078</Characters>
  <Lines>0</Lines>
  <Paragraphs>0</Paragraphs>
  <TotalTime>0</TotalTime>
  <ScaleCrop>false</ScaleCrop>
  <LinksUpToDate>false</LinksUpToDate>
  <CharactersWithSpaces>2233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2022-12-29T12:05:00Z</dcterms:created>
  <dc:creator>MRX</dc:creator>
  <cp:lastModifiedBy>Mint1398171869</cp:lastModifiedBy>
  <dcterms:modified xsi:type="dcterms:W3CDTF">2025-01-21T06:45:58Z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6713F41417114FEDAFBA7ADF4C5AD059_13</vt:lpwstr>
  </property>
  <property fmtid="{D5CDD505-2E9C-101B-9397-08002B2CF9AE}" pid="4" name="KSOTemplateDocerSaveRecord">
    <vt:lpwstr>eyJoZGlkIjoiMDdmNjUwM2Y1NDNmOWE2YzU2MTgyNGU5OGRlNTRlMDciLCJ1c2VySWQiOiIxNDYxNjAxNCJ9</vt:lpwstr>
  </property>
</Properties>
</file>