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both"/>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eastAsia="zh-CN"/>
        </w:rPr>
        <w:t>附件</w:t>
      </w:r>
      <w:r>
        <w:rPr>
          <w:rFonts w:hint="eastAsia" w:ascii="黑体" w:hAnsi="黑体" w:eastAsia="黑体" w:cs="黑体"/>
          <w:color w:val="auto"/>
          <w:sz w:val="28"/>
          <w:szCs w:val="28"/>
          <w:highlight w:val="none"/>
          <w:lang w:val="en-US" w:eastAsia="zh-CN"/>
        </w:rPr>
        <w:t>1</w:t>
      </w:r>
    </w:p>
    <w:p>
      <w:pPr>
        <w:pStyle w:val="2"/>
        <w:rPr>
          <w:rFonts w:hint="eastAsia"/>
          <w:color w:val="auto"/>
          <w:highlight w:val="none"/>
        </w:rPr>
      </w:pP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北京市</w:t>
      </w:r>
      <w:r>
        <w:rPr>
          <w:rFonts w:hint="eastAsia" w:ascii="方正小标宋简体" w:hAnsi="方正小标宋简体" w:eastAsia="方正小标宋简体" w:cs="方正小标宋简体"/>
          <w:color w:val="auto"/>
          <w:sz w:val="44"/>
          <w:szCs w:val="44"/>
          <w:highlight w:val="none"/>
          <w:lang w:val="en-US" w:eastAsia="zh-CN"/>
        </w:rPr>
        <w:t>城市管理综合行政</w:t>
      </w:r>
      <w:r>
        <w:rPr>
          <w:rFonts w:hint="eastAsia" w:ascii="方正小标宋简体" w:hAnsi="方正小标宋简体" w:eastAsia="方正小标宋简体" w:cs="方正小标宋简体"/>
          <w:color w:val="auto"/>
          <w:sz w:val="44"/>
          <w:szCs w:val="44"/>
          <w:highlight w:val="none"/>
        </w:rPr>
        <w:t>执法</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行政</w:t>
      </w:r>
      <w:r>
        <w:rPr>
          <w:rFonts w:hint="eastAsia" w:ascii="方正小标宋简体" w:hAnsi="方正小标宋简体" w:eastAsia="方正小标宋简体" w:cs="方正小标宋简体"/>
          <w:color w:val="auto"/>
          <w:sz w:val="44"/>
          <w:szCs w:val="44"/>
          <w:highlight w:val="none"/>
        </w:rPr>
        <w:t>处罚裁量基准表</w:t>
      </w:r>
    </w:p>
    <w:p>
      <w:pPr>
        <w:bidi w:val="0"/>
        <w:jc w:val="center"/>
        <w:rPr>
          <w:rFonts w:hint="eastAsia" w:ascii="方正小标宋简体" w:hAnsi="方正小标宋简体" w:eastAsia="方正小标宋简体" w:cs="方正小标宋简体"/>
          <w:color w:val="auto"/>
          <w:sz w:val="32"/>
          <w:szCs w:val="32"/>
          <w:highlight w:val="none"/>
          <w:lang w:eastAsia="zh-CN"/>
        </w:rPr>
      </w:pPr>
      <w:r>
        <w:rPr>
          <w:rFonts w:hint="eastAsia" w:ascii="方正小标宋简体" w:hAnsi="方正小标宋简体" w:eastAsia="方正小标宋简体" w:cs="方正小标宋简体"/>
          <w:color w:val="auto"/>
          <w:sz w:val="32"/>
          <w:szCs w:val="32"/>
          <w:highlight w:val="none"/>
          <w:lang w:eastAsia="zh-CN"/>
        </w:rPr>
        <w:t>【2024.</w:t>
      </w:r>
      <w:r>
        <w:rPr>
          <w:rFonts w:hint="eastAsia" w:ascii="方正小标宋简体" w:hAnsi="方正小标宋简体" w:eastAsia="方正小标宋简体" w:cs="方正小标宋简体"/>
          <w:color w:val="auto"/>
          <w:sz w:val="32"/>
          <w:szCs w:val="32"/>
          <w:highlight w:val="none"/>
          <w:lang w:val="en-US" w:eastAsia="zh-CN"/>
        </w:rPr>
        <w:t>2</w:t>
      </w:r>
      <w:r>
        <w:rPr>
          <w:rFonts w:hint="eastAsia" w:ascii="方正小标宋简体" w:hAnsi="方正小标宋简体" w:eastAsia="方正小标宋简体" w:cs="方正小标宋简体"/>
          <w:color w:val="auto"/>
          <w:sz w:val="32"/>
          <w:szCs w:val="32"/>
          <w:highlight w:val="none"/>
          <w:lang w:eastAsia="zh-CN"/>
        </w:rPr>
        <w:t>电力规章调整】</w:t>
      </w:r>
    </w:p>
    <w:p>
      <w:pPr>
        <w:bidi w:val="0"/>
        <w:jc w:val="center"/>
        <w:rPr>
          <w:rFonts w:hint="eastAsia" w:ascii="仿宋_GB2312" w:hAnsi="仿宋_GB2312" w:eastAsia="仿宋_GB2312" w:cs="仿宋_GB2312"/>
          <w:color w:val="auto"/>
          <w:sz w:val="32"/>
          <w:szCs w:val="32"/>
          <w:highlight w:val="none"/>
        </w:rPr>
      </w:pPr>
    </w:p>
    <w:sdt>
      <w:sdtPr>
        <w:rPr>
          <w:rFonts w:hint="default" w:ascii="宋体" w:hAnsi="宋体" w:eastAsia="宋体" w:cs="Times New Roman"/>
          <w:color w:val="auto"/>
          <w:kern w:val="2"/>
          <w:sz w:val="21"/>
          <w:szCs w:val="24"/>
          <w:highlight w:val="none"/>
          <w:lang w:val="en-US" w:eastAsia="zh-CN" w:bidi="ar-SA"/>
        </w:rPr>
        <w:id w:val="227737608"/>
        <w:docPartObj>
          <w:docPartGallery w:val="Table of Contents"/>
          <w:docPartUnique/>
        </w:docPartObj>
      </w:sdtPr>
      <w:sdtEndPr>
        <w:rPr>
          <w:rFonts w:hint="default" w:ascii="Times New Roman" w:hAnsi="Times New Roman" w:eastAsia="宋体" w:cs="Times New Roman"/>
          <w:color w:val="auto"/>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pPr>
            <w:pStyle w:val="17"/>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_Toc549970075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_Toc549970075 \h </w:instrText>
          </w:r>
          <w:r>
            <w:fldChar w:fldCharType="separate"/>
          </w:r>
          <w:r>
            <w:t>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_Toc1181220958 </w:instrText>
          </w:r>
          <w:r>
            <w:rPr>
              <w:highlight w:val="none"/>
            </w:rPr>
            <w:fldChar w:fldCharType="separate"/>
          </w:r>
          <w:r>
            <w:rPr>
              <w:rFonts w:hint="eastAsia" w:asciiTheme="minorEastAsia" w:hAnsiTheme="minorEastAsia" w:eastAsiaTheme="minorEastAsia"/>
              <w:szCs w:val="21"/>
              <w:highlight w:val="none"/>
            </w:rPr>
            <w:t>《北京市市容环境卫生条例》案由56项</w:t>
          </w:r>
          <w:r>
            <w:tab/>
          </w:r>
          <w:r>
            <w:fldChar w:fldCharType="begin"/>
          </w:r>
          <w:r>
            <w:instrText xml:space="preserve"> PAGEREF _Toc1181220958 \h </w:instrText>
          </w:r>
          <w:r>
            <w:fldChar w:fldCharType="separate"/>
          </w:r>
          <w:r>
            <w:t>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_Toc395853207 </w:instrText>
          </w:r>
          <w:r>
            <w:rPr>
              <w:highlight w:val="none"/>
            </w:rPr>
            <w:fldChar w:fldCharType="separate"/>
          </w:r>
          <w:r>
            <w:rPr>
              <w:rFonts w:hint="eastAsia" w:asciiTheme="minorEastAsia" w:hAnsiTheme="minorEastAsia" w:eastAsiaTheme="minorEastAsia"/>
              <w:szCs w:val="21"/>
              <w:highlight w:val="none"/>
            </w:rPr>
            <w:t>《北京市生活垃圾管理条例》案由</w:t>
          </w:r>
          <w:r>
            <w:rPr>
              <w:rFonts w:asciiTheme="minorEastAsia" w:hAnsiTheme="minorEastAsia" w:eastAsiaTheme="minorEastAsia"/>
              <w:szCs w:val="21"/>
              <w:highlight w:val="none"/>
            </w:rPr>
            <w:t>36</w:t>
          </w:r>
          <w:r>
            <w:rPr>
              <w:rFonts w:hint="eastAsia" w:asciiTheme="minorEastAsia" w:hAnsiTheme="minorEastAsia" w:eastAsiaTheme="minorEastAsia"/>
              <w:szCs w:val="21"/>
              <w:highlight w:val="none"/>
            </w:rPr>
            <w:t>项</w:t>
          </w:r>
          <w:r>
            <w:tab/>
          </w:r>
          <w:r>
            <w:fldChar w:fldCharType="begin"/>
          </w:r>
          <w:r>
            <w:instrText xml:space="preserve"> PAGEREF _Toc395853207 \h </w:instrText>
          </w:r>
          <w:r>
            <w:fldChar w:fldCharType="separate"/>
          </w:r>
          <w:r>
            <w:t>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_Toc1980421881 </w:instrText>
          </w:r>
          <w:r>
            <w:rPr>
              <w:highlight w:val="none"/>
            </w:rPr>
            <w:fldChar w:fldCharType="separate"/>
          </w:r>
          <w:r>
            <w:rPr>
              <w:rFonts w:hint="eastAsia" w:asciiTheme="minorEastAsia" w:hAnsiTheme="minorEastAsia" w:eastAsiaTheme="minorEastAsia"/>
              <w:szCs w:val="20"/>
              <w:highlight w:val="none"/>
            </w:rPr>
            <w:t>《城市生活垃圾管理办法》案由11项</w:t>
          </w:r>
          <w:r>
            <w:tab/>
          </w:r>
          <w:r>
            <w:fldChar w:fldCharType="begin"/>
          </w:r>
          <w:r>
            <w:instrText xml:space="preserve"> PAGEREF _Toc1980421881 \h </w:instrText>
          </w:r>
          <w:r>
            <w:fldChar w:fldCharType="separate"/>
          </w:r>
          <w:r>
            <w:t>20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_Toc1648294656 </w:instrText>
          </w:r>
          <w:r>
            <w:rPr>
              <w:highlight w:val="none"/>
            </w:rPr>
            <w:fldChar w:fldCharType="separate"/>
          </w:r>
          <w:r>
            <w:rPr>
              <w:rFonts w:hint="eastAsia" w:asciiTheme="minorEastAsia" w:hAnsiTheme="minorEastAsia" w:eastAsiaTheme="minorEastAsia"/>
              <w:szCs w:val="20"/>
              <w:highlight w:val="none"/>
            </w:rPr>
            <w:t>《城市建筑垃圾管理规定》案由11项</w:t>
          </w:r>
          <w:r>
            <w:tab/>
          </w:r>
          <w:r>
            <w:fldChar w:fldCharType="begin"/>
          </w:r>
          <w:r>
            <w:instrText xml:space="preserve"> PAGEREF _Toc1648294656 \h </w:instrText>
          </w:r>
          <w:r>
            <w:fldChar w:fldCharType="separate"/>
          </w:r>
          <w:r>
            <w:t>22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_Toc843432053 </w:instrText>
          </w:r>
          <w:r>
            <w:rPr>
              <w:highlight w:val="none"/>
            </w:rPr>
            <w:fldChar w:fldCharType="separate"/>
          </w:r>
          <w:r>
            <w:rPr>
              <w:rFonts w:hint="eastAsia" w:asciiTheme="minorEastAsia" w:hAnsiTheme="minorEastAsia" w:eastAsiaTheme="minorEastAsia"/>
              <w:szCs w:val="20"/>
              <w:highlight w:val="none"/>
            </w:rPr>
            <w:t>《中华人民共和国固体废物污染环境防治法》案由</w:t>
          </w:r>
          <w:r>
            <w:rPr>
              <w:rFonts w:asciiTheme="minorEastAsia" w:hAnsiTheme="minorEastAsia" w:eastAsiaTheme="minorEastAsia"/>
              <w:szCs w:val="20"/>
              <w:highlight w:val="none"/>
            </w:rPr>
            <w:t>10</w:t>
          </w:r>
          <w:r>
            <w:rPr>
              <w:rFonts w:hint="eastAsia" w:asciiTheme="minorEastAsia" w:hAnsiTheme="minorEastAsia" w:eastAsiaTheme="minorEastAsia"/>
              <w:szCs w:val="20"/>
              <w:highlight w:val="none"/>
            </w:rPr>
            <w:t>项</w:t>
          </w:r>
          <w:r>
            <w:tab/>
          </w:r>
          <w:r>
            <w:fldChar w:fldCharType="begin"/>
          </w:r>
          <w:r>
            <w:instrText xml:space="preserve"> PAGEREF _Toc843432053 \h </w:instrText>
          </w:r>
          <w:r>
            <w:fldChar w:fldCharType="separate"/>
          </w:r>
          <w:r>
            <w:t>25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_Toc1151600262 </w:instrText>
          </w:r>
          <w:r>
            <w:rPr>
              <w:highlight w:val="none"/>
            </w:rPr>
            <w:fldChar w:fldCharType="separate"/>
          </w:r>
          <w:r>
            <w:rPr>
              <w:rFonts w:hint="eastAsia" w:asciiTheme="minorEastAsia" w:hAnsiTheme="minorEastAsia" w:eastAsiaTheme="minorEastAsia"/>
              <w:szCs w:val="20"/>
              <w:highlight w:val="none"/>
            </w:rPr>
            <w:t>《北京市“门前三包”责任制管理办法》案由1项</w:t>
          </w:r>
          <w:r>
            <w:tab/>
          </w:r>
          <w:r>
            <w:fldChar w:fldCharType="begin"/>
          </w:r>
          <w:r>
            <w:instrText xml:space="preserve"> PAGEREF _Toc1151600262 \h </w:instrText>
          </w:r>
          <w:r>
            <w:fldChar w:fldCharType="separate"/>
          </w:r>
          <w:r>
            <w:t>29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_Toc1842550281 </w:instrText>
          </w:r>
          <w:r>
            <w:rPr>
              <w:highlight w:val="none"/>
            </w:rPr>
            <w:fldChar w:fldCharType="separate"/>
          </w:r>
          <w:r>
            <w:rPr>
              <w:rFonts w:hint="eastAsia" w:asciiTheme="minorEastAsia" w:hAnsiTheme="minorEastAsia" w:eastAsiaTheme="minorEastAsia"/>
              <w:szCs w:val="20"/>
              <w:highlight w:val="none"/>
            </w:rPr>
            <w:t>《北京市人民政府关于扫雪铲冰管理的规定》案由1项</w:t>
          </w:r>
          <w:r>
            <w:tab/>
          </w:r>
          <w:r>
            <w:fldChar w:fldCharType="begin"/>
          </w:r>
          <w:r>
            <w:instrText xml:space="preserve"> PAGEREF _Toc1842550281 \h </w:instrText>
          </w:r>
          <w:r>
            <w:fldChar w:fldCharType="separate"/>
          </w:r>
          <w:r>
            <w:t>29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_Toc402666320 </w:instrText>
          </w:r>
          <w:r>
            <w:rPr>
              <w:highlight w:val="none"/>
            </w:rPr>
            <w:fldChar w:fldCharType="separate"/>
          </w:r>
          <w:r>
            <w:rPr>
              <w:rFonts w:hint="eastAsia" w:asciiTheme="minorEastAsia" w:hAnsiTheme="minorEastAsia" w:eastAsiaTheme="minorEastAsia"/>
              <w:szCs w:val="20"/>
              <w:highlight w:val="none"/>
            </w:rPr>
            <w:t>《北京市户外广告设施、牌匾标识和标语宣传品设置管理条例》案由14项</w:t>
          </w:r>
          <w:r>
            <w:tab/>
          </w:r>
          <w:r>
            <w:fldChar w:fldCharType="begin"/>
          </w:r>
          <w:r>
            <w:instrText xml:space="preserve"> PAGEREF _Toc402666320 \h </w:instrText>
          </w:r>
          <w:r>
            <w:fldChar w:fldCharType="separate"/>
          </w:r>
          <w:r>
            <w:t>29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_Toc934789775 </w:instrText>
          </w:r>
          <w:r>
            <w:rPr>
              <w:highlight w:val="none"/>
            </w:rPr>
            <w:fldChar w:fldCharType="separate"/>
          </w:r>
          <w:r>
            <w:rPr>
              <w:rFonts w:hint="eastAsia" w:asciiTheme="minorEastAsia" w:hAnsiTheme="minorEastAsia" w:eastAsiaTheme="minorEastAsia"/>
              <w:szCs w:val="21"/>
              <w:highlight w:val="none"/>
            </w:rPr>
            <w:t>《北京市标语宣传品设置管理规定》案由6项</w:t>
          </w:r>
          <w:r>
            <w:tab/>
          </w:r>
          <w:r>
            <w:fldChar w:fldCharType="begin"/>
          </w:r>
          <w:r>
            <w:instrText xml:space="preserve"> PAGEREF _Toc934789775 \h </w:instrText>
          </w:r>
          <w:r>
            <w:fldChar w:fldCharType="separate"/>
          </w:r>
          <w:r>
            <w:t>32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_Toc867089699 </w:instrText>
          </w:r>
          <w:r>
            <w:rPr>
              <w:highlight w:val="none"/>
            </w:rPr>
            <w:fldChar w:fldCharType="separate"/>
          </w:r>
          <w:r>
            <w:rPr>
              <w:rFonts w:hint="eastAsia" w:asciiTheme="minorEastAsia" w:hAnsiTheme="minorEastAsia" w:eastAsiaTheme="minorEastAsia"/>
              <w:szCs w:val="21"/>
              <w:highlight w:val="none"/>
            </w:rPr>
            <w:t>《北京市城市道路和公共场所环境卫生管理若干规定》案由7项</w:t>
          </w:r>
          <w:r>
            <w:tab/>
          </w:r>
          <w:r>
            <w:fldChar w:fldCharType="begin"/>
          </w:r>
          <w:r>
            <w:instrText xml:space="preserve"> PAGEREF _Toc867089699 \h </w:instrText>
          </w:r>
          <w:r>
            <w:fldChar w:fldCharType="separate"/>
          </w:r>
          <w:r>
            <w:t>33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_Toc203612924 </w:instrText>
          </w:r>
          <w:r>
            <w:rPr>
              <w:highlight w:val="none"/>
            </w:rPr>
            <w:fldChar w:fldCharType="separate"/>
          </w:r>
          <w:r>
            <w:rPr>
              <w:rFonts w:hint="eastAsia" w:asciiTheme="minorEastAsia" w:hAnsiTheme="minorEastAsia" w:eastAsiaTheme="minorEastAsia"/>
              <w:szCs w:val="21"/>
              <w:highlight w:val="none"/>
            </w:rPr>
            <w:t>《北京市建筑</w:t>
          </w:r>
          <w:r>
            <w:rPr>
              <w:rFonts w:asciiTheme="minorEastAsia" w:hAnsiTheme="minorEastAsia" w:eastAsiaTheme="minorEastAsia"/>
              <w:szCs w:val="21"/>
              <w:highlight w:val="none"/>
            </w:rPr>
            <w:t>垃圾处置管理规定</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24</w:t>
          </w:r>
          <w:r>
            <w:rPr>
              <w:rFonts w:hint="eastAsia" w:asciiTheme="minorEastAsia" w:hAnsiTheme="minorEastAsia" w:eastAsiaTheme="minorEastAsia"/>
              <w:szCs w:val="21"/>
              <w:highlight w:val="none"/>
            </w:rPr>
            <w:t>项</w:t>
          </w:r>
          <w:r>
            <w:tab/>
          </w:r>
          <w:r>
            <w:fldChar w:fldCharType="begin"/>
          </w:r>
          <w:r>
            <w:instrText xml:space="preserve"> PAGEREF _Toc203612924 \h </w:instrText>
          </w:r>
          <w:r>
            <w:fldChar w:fldCharType="separate"/>
          </w:r>
          <w:r>
            <w:t>34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_Toc302443057 </w:instrText>
          </w:r>
          <w:r>
            <w:rPr>
              <w:highlight w:val="none"/>
            </w:rPr>
            <w:fldChar w:fldCharType="separate"/>
          </w:r>
          <w:r>
            <w:rPr>
              <w:rFonts w:hint="eastAsia" w:asciiTheme="minorEastAsia" w:hAnsiTheme="minorEastAsia" w:eastAsiaTheme="minorEastAsia"/>
              <w:szCs w:val="21"/>
              <w:highlight w:val="none"/>
            </w:rPr>
            <w:t>《北京市养犬管理规定》案由1项</w:t>
          </w:r>
          <w:r>
            <w:tab/>
          </w:r>
          <w:r>
            <w:fldChar w:fldCharType="begin"/>
          </w:r>
          <w:r>
            <w:instrText xml:space="preserve"> PAGEREF _Toc302443057 \h </w:instrText>
          </w:r>
          <w:r>
            <w:fldChar w:fldCharType="separate"/>
          </w:r>
          <w:r>
            <w:t>42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_Toc1997999416 </w:instrText>
          </w:r>
          <w:r>
            <w:rPr>
              <w:highlight w:val="none"/>
            </w:rPr>
            <w:fldChar w:fldCharType="separate"/>
          </w:r>
          <w:r>
            <w:rPr>
              <w:rFonts w:hint="eastAsia" w:asciiTheme="minorEastAsia" w:hAnsiTheme="minorEastAsia" w:eastAsiaTheme="minorEastAsia"/>
              <w:szCs w:val="21"/>
              <w:highlight w:val="none"/>
            </w:rPr>
            <w:t>《北京市长城保护管理办法》案由1项</w:t>
          </w:r>
          <w:r>
            <w:tab/>
          </w:r>
          <w:r>
            <w:fldChar w:fldCharType="begin"/>
          </w:r>
          <w:r>
            <w:instrText xml:space="preserve"> PAGEREF _Toc1997999416 \h </w:instrText>
          </w:r>
          <w:r>
            <w:fldChar w:fldCharType="separate"/>
          </w:r>
          <w:r>
            <w:t>42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_Toc639737773 </w:instrText>
          </w:r>
          <w:r>
            <w:rPr>
              <w:highlight w:val="none"/>
            </w:rPr>
            <w:fldChar w:fldCharType="separate"/>
          </w:r>
          <w:r>
            <w:rPr>
              <w:rFonts w:hint="eastAsia" w:asciiTheme="minorEastAsia" w:hAnsiTheme="minorEastAsia" w:eastAsiaTheme="minorEastAsia"/>
              <w:szCs w:val="21"/>
              <w:highlight w:val="none"/>
            </w:rPr>
            <w:t>《北京历史文化名城保护条例》案由1项</w:t>
          </w:r>
          <w:r>
            <w:tab/>
          </w:r>
          <w:r>
            <w:fldChar w:fldCharType="begin"/>
          </w:r>
          <w:r>
            <w:instrText xml:space="preserve"> PAGEREF _Toc639737773 \h </w:instrText>
          </w:r>
          <w:r>
            <w:fldChar w:fldCharType="separate"/>
          </w:r>
          <w:r>
            <w:t>42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_Toc1472007365 </w:instrText>
          </w:r>
          <w:r>
            <w:rPr>
              <w:highlight w:val="none"/>
            </w:rPr>
            <w:fldChar w:fldCharType="separate"/>
          </w:r>
          <w:r>
            <w:rPr>
              <w:rFonts w:hint="eastAsia" w:asciiTheme="minorEastAsia" w:hAnsiTheme="minorEastAsia" w:eastAsiaTheme="minorEastAsia"/>
              <w:szCs w:val="21"/>
              <w:highlight w:val="none"/>
            </w:rPr>
            <w:t>《北京市架空线管理若干规定》案由</w:t>
          </w:r>
          <w:r>
            <w:rPr>
              <w:rFonts w:asciiTheme="minorEastAsia" w:hAnsiTheme="minorEastAsia" w:eastAsiaTheme="minorEastAsia"/>
              <w:szCs w:val="21"/>
              <w:highlight w:val="none"/>
            </w:rPr>
            <w:t>7</w:t>
          </w:r>
          <w:r>
            <w:rPr>
              <w:rFonts w:hint="eastAsia" w:asciiTheme="minorEastAsia" w:hAnsiTheme="minorEastAsia" w:eastAsiaTheme="minorEastAsia"/>
              <w:szCs w:val="21"/>
              <w:highlight w:val="none"/>
            </w:rPr>
            <w:t>项</w:t>
          </w:r>
          <w:r>
            <w:tab/>
          </w:r>
          <w:r>
            <w:fldChar w:fldCharType="begin"/>
          </w:r>
          <w:r>
            <w:instrText xml:space="preserve"> PAGEREF _Toc1472007365 \h </w:instrText>
          </w:r>
          <w:r>
            <w:fldChar w:fldCharType="separate"/>
          </w:r>
          <w:r>
            <w:t>43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_Toc661947609 </w:instrText>
          </w:r>
          <w:r>
            <w:rPr>
              <w:highlight w:val="none"/>
            </w:rPr>
            <w:fldChar w:fldCharType="separate"/>
          </w:r>
          <w:r>
            <w:rPr>
              <w:rFonts w:hint="eastAsia" w:asciiTheme="minorEastAsia" w:hAnsiTheme="minorEastAsia" w:eastAsiaTheme="minorEastAsia"/>
              <w:szCs w:val="21"/>
              <w:highlight w:val="none"/>
            </w:rPr>
            <w:t>《城市照明管理规定》案由2项</w:t>
          </w:r>
          <w:r>
            <w:tab/>
          </w:r>
          <w:r>
            <w:fldChar w:fldCharType="begin"/>
          </w:r>
          <w:r>
            <w:instrText xml:space="preserve"> PAGEREF _Toc661947609 \h </w:instrText>
          </w:r>
          <w:r>
            <w:fldChar w:fldCharType="separate"/>
          </w:r>
          <w:r>
            <w:t>44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_Toc728280952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物业管理条例</w:t>
          </w:r>
          <w:r>
            <w:rPr>
              <w:rFonts w:hint="eastAsia" w:asciiTheme="minorEastAsia" w:hAnsiTheme="minorEastAsia" w:eastAsiaTheme="minorEastAsia"/>
              <w:szCs w:val="21"/>
              <w:highlight w:val="none"/>
            </w:rPr>
            <w:t>》案由1项</w:t>
          </w:r>
          <w:r>
            <w:tab/>
          </w:r>
          <w:r>
            <w:fldChar w:fldCharType="begin"/>
          </w:r>
          <w:r>
            <w:instrText xml:space="preserve"> PAGEREF _Toc728280952 \h </w:instrText>
          </w:r>
          <w:r>
            <w:fldChar w:fldCharType="separate"/>
          </w:r>
          <w:r>
            <w:t>44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_Toc1703767576 </w:instrText>
          </w:r>
          <w:r>
            <w:rPr>
              <w:highlight w:val="none"/>
            </w:rPr>
            <w:fldChar w:fldCharType="separate"/>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zh-CN"/>
            </w:rPr>
            <w:t>北京市国际交往语言环境建设条例</w:t>
          </w:r>
          <w:r>
            <w:rPr>
              <w:rFonts w:hint="eastAsia" w:asciiTheme="minorEastAsia" w:hAnsiTheme="minorEastAsia" w:eastAsiaTheme="minorEastAsia"/>
              <w:szCs w:val="21"/>
              <w:highlight w:val="none"/>
            </w:rPr>
            <w:t>》案由4项</w:t>
          </w:r>
          <w:r>
            <w:tab/>
          </w:r>
          <w:r>
            <w:fldChar w:fldCharType="begin"/>
          </w:r>
          <w:r>
            <w:instrText xml:space="preserve"> PAGEREF _Toc1703767576 \h </w:instrText>
          </w:r>
          <w:r>
            <w:fldChar w:fldCharType="separate"/>
          </w:r>
          <w:r>
            <w:t>44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_Toc1507608365 </w:instrText>
          </w:r>
          <w:r>
            <w:rPr>
              <w:highlight w:val="none"/>
            </w:rPr>
            <w:fldChar w:fldCharType="separate"/>
          </w:r>
          <w:r>
            <w:rPr>
              <w:rFonts w:hint="eastAsia" w:ascii="黑体" w:hAnsi="黑体" w:eastAsia="黑体" w:cs="黑体"/>
              <w:bCs w:val="0"/>
              <w:highlight w:val="none"/>
            </w:rPr>
            <w:t>市政管理方面</w:t>
          </w:r>
          <w:r>
            <w:tab/>
          </w:r>
          <w:r>
            <w:fldChar w:fldCharType="begin"/>
          </w:r>
          <w:r>
            <w:instrText xml:space="preserve"> PAGEREF _Toc1507608365 \h </w:instrText>
          </w:r>
          <w:r>
            <w:fldChar w:fldCharType="separate"/>
          </w:r>
          <w:r>
            <w:t>45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_Toc777481926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_Toc777481926 \h </w:instrText>
          </w:r>
          <w:r>
            <w:fldChar w:fldCharType="separate"/>
          </w:r>
          <w:r>
            <w:t>45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_Toc1444775777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_Toc1444775777 \h </w:instrText>
          </w:r>
          <w:r>
            <w:fldChar w:fldCharType="separate"/>
          </w:r>
          <w:r>
            <w:t>46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_Toc2065453114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_Toc2065453114 \h </w:instrText>
          </w:r>
          <w:r>
            <w:fldChar w:fldCharType="separate"/>
          </w:r>
          <w:r>
            <w:t>47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_Toc1054887660 </w:instrText>
          </w:r>
          <w:r>
            <w:rPr>
              <w:highlight w:val="none"/>
            </w:rPr>
            <w:fldChar w:fldCharType="separate"/>
          </w:r>
          <w:r>
            <w:rPr>
              <w:rFonts w:hint="eastAsia" w:asciiTheme="minorEastAsia" w:hAnsiTheme="minorEastAsia" w:eastAsiaTheme="minorEastAsia"/>
              <w:szCs w:val="21"/>
              <w:highlight w:val="none"/>
            </w:rPr>
            <w:t>《北京市地下设施检查井井盖管理规定》案由5项</w:t>
          </w:r>
          <w:r>
            <w:tab/>
          </w:r>
          <w:r>
            <w:fldChar w:fldCharType="begin"/>
          </w:r>
          <w:r>
            <w:instrText xml:space="preserve"> PAGEREF _Toc1054887660 \h </w:instrText>
          </w:r>
          <w:r>
            <w:fldChar w:fldCharType="separate"/>
          </w:r>
          <w:r>
            <w:t>50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_Toc127354969 </w:instrText>
          </w:r>
          <w:r>
            <w:rPr>
              <w:highlight w:val="none"/>
            </w:rPr>
            <w:fldChar w:fldCharType="separate"/>
          </w:r>
          <w:r>
            <w:rPr>
              <w:rFonts w:hint="eastAsia" w:ascii="黑体" w:hAnsi="黑体" w:eastAsia="黑体"/>
              <w:szCs w:val="36"/>
              <w:highlight w:val="none"/>
            </w:rPr>
            <w:t>公用事业管理方面</w:t>
          </w:r>
          <w:r>
            <w:tab/>
          </w:r>
          <w:r>
            <w:fldChar w:fldCharType="begin"/>
          </w:r>
          <w:r>
            <w:instrText xml:space="preserve"> PAGEREF _Toc127354969 \h </w:instrText>
          </w:r>
          <w:r>
            <w:fldChar w:fldCharType="separate"/>
          </w:r>
          <w:r>
            <w:t>51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_Toc186777701 </w:instrText>
          </w:r>
          <w:r>
            <w:rPr>
              <w:highlight w:val="none"/>
            </w:rPr>
            <w:fldChar w:fldCharType="separate"/>
          </w:r>
          <w:r>
            <w:rPr>
              <w:rFonts w:hint="eastAsia" w:asciiTheme="minorEastAsia" w:hAnsiTheme="minorEastAsia" w:eastAsiaTheme="minorEastAsia"/>
              <w:szCs w:val="21"/>
              <w:highlight w:val="none"/>
            </w:rPr>
            <w:t>《城镇燃气管理条例》案由30项</w:t>
          </w:r>
          <w:r>
            <w:tab/>
          </w:r>
          <w:r>
            <w:fldChar w:fldCharType="begin"/>
          </w:r>
          <w:r>
            <w:instrText xml:space="preserve"> PAGEREF _Toc186777701 \h </w:instrText>
          </w:r>
          <w:r>
            <w:fldChar w:fldCharType="separate"/>
          </w:r>
          <w:r>
            <w:t>51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_Toc1196070723 </w:instrText>
          </w:r>
          <w:r>
            <w:rPr>
              <w:highlight w:val="none"/>
            </w:rPr>
            <w:fldChar w:fldCharType="separate"/>
          </w:r>
          <w:r>
            <w:rPr>
              <w:rFonts w:hint="eastAsia" w:asciiTheme="minorEastAsia" w:hAnsiTheme="minorEastAsia" w:eastAsiaTheme="minorEastAsia"/>
              <w:szCs w:val="21"/>
              <w:highlight w:val="none"/>
            </w:rPr>
            <w:t>《北京市燃气管理条例》案由26项</w:t>
          </w:r>
          <w:r>
            <w:tab/>
          </w:r>
          <w:r>
            <w:fldChar w:fldCharType="begin"/>
          </w:r>
          <w:r>
            <w:instrText xml:space="preserve"> PAGEREF _Toc1196070723 \h </w:instrText>
          </w:r>
          <w:r>
            <w:fldChar w:fldCharType="separate"/>
          </w:r>
          <w:r>
            <w:t>61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_Toc820743127 </w:instrText>
          </w:r>
          <w:r>
            <w:rPr>
              <w:highlight w:val="none"/>
            </w:rPr>
            <w:fldChar w:fldCharType="separate"/>
          </w:r>
          <w:r>
            <w:rPr>
              <w:rFonts w:hint="eastAsia" w:asciiTheme="minorEastAsia" w:hAnsiTheme="minorEastAsia" w:eastAsiaTheme="minorEastAsia"/>
              <w:szCs w:val="21"/>
              <w:highlight w:val="none"/>
            </w:rPr>
            <w:t>《北京市消防条例》案由1项</w:t>
          </w:r>
          <w:r>
            <w:tab/>
          </w:r>
          <w:r>
            <w:fldChar w:fldCharType="begin"/>
          </w:r>
          <w:r>
            <w:instrText xml:space="preserve"> PAGEREF _Toc820743127 \h </w:instrText>
          </w:r>
          <w:r>
            <w:fldChar w:fldCharType="separate"/>
          </w:r>
          <w:r>
            <w:t>71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_Toc913761828 </w:instrText>
          </w:r>
          <w:r>
            <w:rPr>
              <w:highlight w:val="none"/>
            </w:rPr>
            <w:fldChar w:fldCharType="separate"/>
          </w:r>
          <w:r>
            <w:rPr>
              <w:rFonts w:hint="eastAsia" w:asciiTheme="minorEastAsia" w:hAnsiTheme="minorEastAsia" w:eastAsiaTheme="minorEastAsia"/>
              <w:szCs w:val="21"/>
              <w:highlight w:val="none"/>
            </w:rPr>
            <w:t>《北京市清洁燃料车辆加气站管理规定》案由7项</w:t>
          </w:r>
          <w:r>
            <w:tab/>
          </w:r>
          <w:r>
            <w:fldChar w:fldCharType="begin"/>
          </w:r>
          <w:r>
            <w:instrText xml:space="preserve"> PAGEREF _Toc913761828 \h </w:instrText>
          </w:r>
          <w:r>
            <w:fldChar w:fldCharType="separate"/>
          </w:r>
          <w:r>
            <w:t>71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_Toc1699908422 </w:instrText>
          </w:r>
          <w:r>
            <w:rPr>
              <w:highlight w:val="none"/>
            </w:rPr>
            <w:fldChar w:fldCharType="separate"/>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北京市供热采暖管理办法</w:t>
          </w:r>
          <w:r>
            <w:rPr>
              <w:rFonts w:hint="eastAsia" w:asciiTheme="minorEastAsia" w:hAnsiTheme="minorEastAsia" w:eastAsiaTheme="minorEastAsia"/>
              <w:szCs w:val="21"/>
              <w:highlight w:val="none"/>
            </w:rPr>
            <w:t>》案由19项</w:t>
          </w:r>
          <w:r>
            <w:tab/>
          </w:r>
          <w:r>
            <w:fldChar w:fldCharType="begin"/>
          </w:r>
          <w:r>
            <w:instrText xml:space="preserve"> PAGEREF _Toc1699908422 \h </w:instrText>
          </w:r>
          <w:r>
            <w:fldChar w:fldCharType="separate"/>
          </w:r>
          <w:r>
            <w:t>72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_Toc273540101 </w:instrText>
          </w:r>
          <w:r>
            <w:rPr>
              <w:highlight w:val="none"/>
            </w:rPr>
            <w:fldChar w:fldCharType="separate"/>
          </w:r>
          <w:r>
            <w:rPr>
              <w:rFonts w:hint="eastAsia" w:asciiTheme="minorEastAsia" w:hAnsiTheme="minorEastAsia" w:eastAsiaTheme="minorEastAsia"/>
              <w:szCs w:val="21"/>
              <w:highlight w:val="none"/>
            </w:rPr>
            <w:t>《北京市民用建筑节能管理办法》案由2项</w:t>
          </w:r>
          <w:r>
            <w:tab/>
          </w:r>
          <w:r>
            <w:fldChar w:fldCharType="begin"/>
          </w:r>
          <w:r>
            <w:instrText xml:space="preserve"> PAGEREF _Toc273540101 \h </w:instrText>
          </w:r>
          <w:r>
            <w:fldChar w:fldCharType="separate"/>
          </w:r>
          <w:r>
            <w:t>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_Toc1463731904 </w:instrText>
          </w:r>
          <w:r>
            <w:rPr>
              <w:highlight w:val="none"/>
            </w:rPr>
            <w:fldChar w:fldCharType="separate"/>
          </w:r>
          <w:r>
            <w:rPr>
              <w:rFonts w:hint="eastAsia" w:cs="宋体" w:asciiTheme="minorEastAsia" w:hAnsiTheme="minorEastAsia" w:eastAsiaTheme="minorEastAsia"/>
              <w:szCs w:val="21"/>
              <w:highlight w:val="none"/>
              <w:lang w:val="en-US" w:eastAsia="zh-CN"/>
            </w:rPr>
            <w:t>《北京市建筑绿色发展条例》案由1项</w:t>
          </w:r>
          <w:r>
            <w:tab/>
          </w:r>
          <w:r>
            <w:fldChar w:fldCharType="begin"/>
          </w:r>
          <w:r>
            <w:instrText xml:space="preserve"> PAGEREF _Toc1463731904 \h </w:instrText>
          </w:r>
          <w:r>
            <w:fldChar w:fldCharType="separate"/>
          </w:r>
          <w:r>
            <w:t>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_Toc733645733 </w:instrText>
          </w:r>
          <w:r>
            <w:rPr>
              <w:highlight w:val="none"/>
            </w:rPr>
            <w:fldChar w:fldCharType="separate"/>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lang w:eastAsia="zh-Hans"/>
            </w:rPr>
            <w:t>中华人民共和国安全生产法</w:t>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rPr>
            <w:t>《北京市安全生产条例》</w:t>
          </w:r>
          <w:r>
            <w:rPr>
              <w:rFonts w:asciiTheme="minorEastAsia" w:hAnsiTheme="minorEastAsia" w:eastAsiaTheme="minorEastAsia"/>
              <w:szCs w:val="21"/>
              <w:highlight w:val="none"/>
              <w:lang w:eastAsia="zh-Hans"/>
            </w:rPr>
            <w:t>案由</w:t>
          </w:r>
          <w:r>
            <w:rPr>
              <w:rFonts w:hint="eastAsia" w:asciiTheme="minorEastAsia" w:hAnsiTheme="minorEastAsia" w:eastAsiaTheme="minorEastAsia"/>
              <w:szCs w:val="21"/>
              <w:highlight w:val="none"/>
            </w:rPr>
            <w:t>12</w:t>
          </w:r>
          <w:r>
            <w:rPr>
              <w:rFonts w:asciiTheme="minorEastAsia" w:hAnsiTheme="minorEastAsia" w:eastAsiaTheme="minorEastAsia"/>
              <w:szCs w:val="21"/>
              <w:highlight w:val="none"/>
              <w:lang w:eastAsia="zh-Hans"/>
            </w:rPr>
            <w:t>项</w:t>
          </w:r>
          <w:r>
            <w:tab/>
          </w:r>
          <w:r>
            <w:fldChar w:fldCharType="begin"/>
          </w:r>
          <w:r>
            <w:instrText xml:space="preserve"> PAGEREF _Toc733645733 \h </w:instrText>
          </w:r>
          <w:r>
            <w:fldChar w:fldCharType="separate"/>
          </w:r>
          <w:r>
            <w:t>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_Toc669393308 </w:instrText>
          </w:r>
          <w:r>
            <w:rPr>
              <w:highlight w:val="none"/>
            </w:rPr>
            <w:fldChar w:fldCharType="separate"/>
          </w:r>
          <w:r>
            <w:rPr>
              <w:rFonts w:hint="eastAsia" w:asciiTheme="minorEastAsia" w:hAnsiTheme="minorEastAsia" w:eastAsiaTheme="minorEastAsia"/>
              <w:szCs w:val="21"/>
              <w:highlight w:val="none"/>
            </w:rPr>
            <w:t>《北京市生产安全事故隐患排查治理办法》</w:t>
          </w:r>
          <w:r>
            <w:rPr>
              <w:rFonts w:hint="eastAsia" w:asciiTheme="minorEastAsia" w:hAnsiTheme="minorEastAsia" w:eastAsiaTheme="minorEastAsia"/>
              <w:szCs w:val="21"/>
              <w:highlight w:val="none"/>
              <w:lang w:eastAsia="zh-Hans"/>
            </w:rPr>
            <w:t>案由</w:t>
          </w:r>
          <w:r>
            <w:rPr>
              <w:rFonts w:asciiTheme="minorEastAsia" w:hAnsiTheme="minorEastAsia" w:eastAsiaTheme="minorEastAsia"/>
              <w:szCs w:val="21"/>
              <w:highlight w:val="none"/>
              <w:lang w:eastAsia="zh-Hans"/>
            </w:rPr>
            <w:t>2</w:t>
          </w:r>
          <w:r>
            <w:rPr>
              <w:rFonts w:hint="eastAsia" w:asciiTheme="minorEastAsia" w:hAnsiTheme="minorEastAsia" w:eastAsiaTheme="minorEastAsia"/>
              <w:szCs w:val="21"/>
              <w:highlight w:val="none"/>
              <w:lang w:eastAsia="zh-Hans"/>
            </w:rPr>
            <w:t>项</w:t>
          </w:r>
          <w:r>
            <w:tab/>
          </w:r>
          <w:r>
            <w:fldChar w:fldCharType="begin"/>
          </w:r>
          <w:r>
            <w:instrText xml:space="preserve"> PAGEREF _Toc669393308 \h </w:instrText>
          </w:r>
          <w:r>
            <w:fldChar w:fldCharType="separate"/>
          </w:r>
          <w:r>
            <w:t>79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_Toc1296670137 </w:instrText>
          </w:r>
          <w:r>
            <w:rPr>
              <w:highlight w:val="none"/>
            </w:rPr>
            <w:fldChar w:fldCharType="separate"/>
          </w:r>
          <w:r>
            <w:rPr>
              <w:rFonts w:hint="eastAsia" w:asciiTheme="minorEastAsia" w:hAnsiTheme="minorEastAsia" w:eastAsiaTheme="minorEastAsia"/>
              <w:szCs w:val="21"/>
              <w:highlight w:val="none"/>
            </w:rPr>
            <w:t>《北京市单用途预付卡管理条例》案由7项</w:t>
          </w:r>
          <w:r>
            <w:tab/>
          </w:r>
          <w:r>
            <w:fldChar w:fldCharType="begin"/>
          </w:r>
          <w:r>
            <w:instrText xml:space="preserve"> PAGEREF _Toc1296670137 \h </w:instrText>
          </w:r>
          <w:r>
            <w:fldChar w:fldCharType="separate"/>
          </w:r>
          <w:r>
            <w:t>79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_Toc234456741 </w:instrText>
          </w:r>
          <w:r>
            <w:rPr>
              <w:highlight w:val="none"/>
            </w:rPr>
            <w:fldChar w:fldCharType="separate"/>
          </w:r>
          <w:r>
            <w:rPr>
              <w:rFonts w:hint="eastAsia" w:ascii="黑体" w:hAnsi="黑体" w:eastAsia="黑体"/>
              <w:szCs w:val="36"/>
              <w:highlight w:val="none"/>
            </w:rPr>
            <w:t>园林绿化管理方面</w:t>
          </w:r>
          <w:r>
            <w:tab/>
          </w:r>
          <w:r>
            <w:fldChar w:fldCharType="begin"/>
          </w:r>
          <w:r>
            <w:instrText xml:space="preserve"> PAGEREF _Toc234456741 \h </w:instrText>
          </w:r>
          <w:r>
            <w:fldChar w:fldCharType="separate"/>
          </w:r>
          <w:r>
            <w:t>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_Toc1512825361 </w:instrText>
          </w:r>
          <w:r>
            <w:rPr>
              <w:highlight w:val="none"/>
            </w:rPr>
            <w:fldChar w:fldCharType="separate"/>
          </w:r>
          <w:r>
            <w:rPr>
              <w:rFonts w:hint="eastAsia" w:asciiTheme="minorEastAsia" w:hAnsiTheme="minorEastAsia" w:eastAsiaTheme="minorEastAsia"/>
              <w:szCs w:val="21"/>
              <w:highlight w:val="none"/>
            </w:rPr>
            <w:t>《北京市绿化条例》案由16项</w:t>
          </w:r>
          <w:r>
            <w:tab/>
          </w:r>
          <w:r>
            <w:fldChar w:fldCharType="begin"/>
          </w:r>
          <w:r>
            <w:instrText xml:space="preserve"> PAGEREF _Toc1512825361 \h </w:instrText>
          </w:r>
          <w:r>
            <w:fldChar w:fldCharType="separate"/>
          </w:r>
          <w:r>
            <w:t>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_Toc300786751 </w:instrText>
          </w:r>
          <w:r>
            <w:rPr>
              <w:highlight w:val="none"/>
            </w:rPr>
            <w:fldChar w:fldCharType="separate"/>
          </w:r>
          <w:r>
            <w:rPr>
              <w:rFonts w:hint="eastAsia" w:asciiTheme="minorEastAsia" w:hAnsiTheme="minorEastAsia" w:eastAsiaTheme="minorEastAsia"/>
              <w:szCs w:val="21"/>
              <w:highlight w:val="none"/>
            </w:rPr>
            <w:t>《北京市物业</w:t>
          </w:r>
          <w:r>
            <w:rPr>
              <w:rFonts w:asciiTheme="minorEastAsia" w:hAnsiTheme="minorEastAsia" w:eastAsiaTheme="minorEastAsia"/>
              <w:szCs w:val="21"/>
              <w:highlight w:val="none"/>
            </w:rPr>
            <w:t>管理条例</w:t>
          </w:r>
          <w:r>
            <w:rPr>
              <w:rFonts w:hint="eastAsia" w:asciiTheme="minorEastAsia" w:hAnsiTheme="minorEastAsia" w:eastAsiaTheme="minorEastAsia"/>
              <w:szCs w:val="21"/>
              <w:highlight w:val="none"/>
            </w:rPr>
            <w:t>》案由1项</w:t>
          </w:r>
          <w:r>
            <w:tab/>
          </w:r>
          <w:r>
            <w:fldChar w:fldCharType="begin"/>
          </w:r>
          <w:r>
            <w:instrText xml:space="preserve"> PAGEREF _Toc300786751 \h </w:instrText>
          </w:r>
          <w:r>
            <w:fldChar w:fldCharType="separate"/>
          </w:r>
          <w:r>
            <w:t>84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_Toc2077007023 </w:instrText>
          </w:r>
          <w:r>
            <w:rPr>
              <w:highlight w:val="none"/>
            </w:rPr>
            <w:fldChar w:fldCharType="separate"/>
          </w:r>
          <w:r>
            <w:rPr>
              <w:rFonts w:hint="eastAsia" w:asciiTheme="minorEastAsia" w:hAnsiTheme="minorEastAsia" w:eastAsiaTheme="minorEastAsia"/>
              <w:szCs w:val="21"/>
              <w:highlight w:val="none"/>
            </w:rPr>
            <w:t>《北京市古树名木保护管理条例》案由11项</w:t>
          </w:r>
          <w:r>
            <w:tab/>
          </w:r>
          <w:r>
            <w:fldChar w:fldCharType="begin"/>
          </w:r>
          <w:r>
            <w:instrText xml:space="preserve"> PAGEREF _Toc2077007023 \h </w:instrText>
          </w:r>
          <w:r>
            <w:fldChar w:fldCharType="separate"/>
          </w:r>
          <w:r>
            <w:t>85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_Toc1915491681 </w:instrText>
          </w:r>
          <w:r>
            <w:rPr>
              <w:highlight w:val="none"/>
            </w:rPr>
            <w:fldChar w:fldCharType="separate"/>
          </w:r>
          <w:r>
            <w:rPr>
              <w:rFonts w:hint="eastAsia" w:asciiTheme="minorEastAsia" w:hAnsiTheme="minorEastAsia" w:eastAsiaTheme="minorEastAsia"/>
              <w:szCs w:val="21"/>
              <w:highlight w:val="none"/>
            </w:rPr>
            <w:t>《北京市公园条例》案由</w:t>
          </w:r>
          <w:r>
            <w:rPr>
              <w:rFonts w:asciiTheme="minorEastAsia" w:hAnsiTheme="minorEastAsia" w:eastAsiaTheme="minorEastAsia"/>
              <w:szCs w:val="21"/>
              <w:highlight w:val="none"/>
            </w:rPr>
            <w:t xml:space="preserve"> 18</w:t>
          </w:r>
          <w:r>
            <w:rPr>
              <w:rFonts w:hint="eastAsia" w:asciiTheme="minorEastAsia" w:hAnsiTheme="minorEastAsia" w:eastAsiaTheme="minorEastAsia"/>
              <w:szCs w:val="21"/>
              <w:highlight w:val="none"/>
            </w:rPr>
            <w:t>项</w:t>
          </w:r>
          <w:r>
            <w:tab/>
          </w:r>
          <w:r>
            <w:fldChar w:fldCharType="begin"/>
          </w:r>
          <w:r>
            <w:instrText xml:space="preserve"> PAGEREF _Toc1915491681 \h </w:instrText>
          </w:r>
          <w:r>
            <w:fldChar w:fldCharType="separate"/>
          </w:r>
          <w:r>
            <w:t>88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_Toc1235576526 </w:instrText>
          </w:r>
          <w:r>
            <w:rPr>
              <w:highlight w:val="none"/>
            </w:rPr>
            <w:fldChar w:fldCharType="separate"/>
          </w:r>
          <w:r>
            <w:rPr>
              <w:rFonts w:hint="eastAsia" w:ascii="黑体" w:hAnsi="黑体" w:eastAsia="黑体" w:cs="黑体"/>
              <w:bCs w:val="0"/>
              <w:highlight w:val="none"/>
            </w:rPr>
            <w:t>环境保护管理方面</w:t>
          </w:r>
          <w:r>
            <w:tab/>
          </w:r>
          <w:r>
            <w:fldChar w:fldCharType="begin"/>
          </w:r>
          <w:r>
            <w:instrText xml:space="preserve"> PAGEREF _Toc1235576526 \h </w:instrText>
          </w:r>
          <w:r>
            <w:fldChar w:fldCharType="separate"/>
          </w:r>
          <w:r>
            <w:t>90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_Toc796613074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_Toc796613074 \h </w:instrText>
          </w:r>
          <w:r>
            <w:fldChar w:fldCharType="separate"/>
          </w:r>
          <w:r>
            <w:t>90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_Toc2119104605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_Toc2119104605 \h </w:instrText>
          </w:r>
          <w:r>
            <w:fldChar w:fldCharType="separate"/>
          </w:r>
          <w:r>
            <w:t>94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_Toc1538019583 </w:instrText>
          </w:r>
          <w:r>
            <w:rPr>
              <w:highlight w:val="none"/>
            </w:rPr>
            <w:fldChar w:fldCharType="separate"/>
          </w:r>
          <w:r>
            <w:rPr>
              <w:rFonts w:hint="eastAsia" w:asciiTheme="minorEastAsia" w:hAnsiTheme="minorEastAsia" w:eastAsiaTheme="minorEastAsia"/>
              <w:szCs w:val="21"/>
              <w:highlight w:val="none"/>
            </w:rPr>
            <w:t>《北京市环境噪声污染防治办法》案由2项</w:t>
          </w:r>
          <w:r>
            <w:tab/>
          </w:r>
          <w:r>
            <w:fldChar w:fldCharType="begin"/>
          </w:r>
          <w:r>
            <w:instrText xml:space="preserve"> PAGEREF _Toc1538019583 \h </w:instrText>
          </w:r>
          <w:r>
            <w:fldChar w:fldCharType="separate"/>
          </w:r>
          <w:r>
            <w:t>95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_Toc647128843 </w:instrText>
          </w:r>
          <w:r>
            <w:rPr>
              <w:highlight w:val="none"/>
            </w:rPr>
            <w:fldChar w:fldCharType="separate"/>
          </w:r>
          <w:r>
            <w:rPr>
              <w:rFonts w:hint="eastAsia" w:asciiTheme="minorEastAsia" w:hAnsiTheme="minorEastAsia" w:eastAsiaTheme="minorEastAsia"/>
              <w:szCs w:val="21"/>
              <w:highlight w:val="none"/>
            </w:rPr>
            <w:t>《中华人民共和国噪声污染防治法》案由3项</w:t>
          </w:r>
          <w:r>
            <w:tab/>
          </w:r>
          <w:r>
            <w:fldChar w:fldCharType="begin"/>
          </w:r>
          <w:r>
            <w:instrText xml:space="preserve"> PAGEREF _Toc647128843 \h </w:instrText>
          </w:r>
          <w:r>
            <w:fldChar w:fldCharType="separate"/>
          </w:r>
          <w:r>
            <w:t>95</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_Toc611358730 </w:instrText>
          </w:r>
          <w:r>
            <w:rPr>
              <w:highlight w:val="none"/>
            </w:rPr>
            <w:fldChar w:fldCharType="separate"/>
          </w:r>
          <w:r>
            <w:rPr>
              <w:rFonts w:hint="eastAsia" w:ascii="黑体" w:hAnsi="黑体" w:eastAsia="黑体"/>
              <w:szCs w:val="36"/>
              <w:highlight w:val="none"/>
            </w:rPr>
            <w:t>施工现场管理方面</w:t>
          </w:r>
          <w:r>
            <w:tab/>
          </w:r>
          <w:r>
            <w:fldChar w:fldCharType="begin"/>
          </w:r>
          <w:r>
            <w:instrText xml:space="preserve"> PAGEREF _Toc611358730 \h </w:instrText>
          </w:r>
          <w:r>
            <w:fldChar w:fldCharType="separate"/>
          </w:r>
          <w:r>
            <w:t>96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_Toc862543300 </w:instrText>
          </w:r>
          <w:r>
            <w:rPr>
              <w:highlight w:val="none"/>
            </w:rPr>
            <w:fldChar w:fldCharType="separate"/>
          </w:r>
          <w:r>
            <w:rPr>
              <w:rFonts w:hint="eastAsia" w:asciiTheme="minorEastAsia" w:hAnsiTheme="minorEastAsia" w:eastAsiaTheme="minorEastAsia"/>
              <w:szCs w:val="21"/>
              <w:highlight w:val="none"/>
            </w:rPr>
            <w:t>《北京市大气污染防治条例》施工现场执法案由16项</w:t>
          </w:r>
          <w:r>
            <w:tab/>
          </w:r>
          <w:r>
            <w:fldChar w:fldCharType="begin"/>
          </w:r>
          <w:r>
            <w:instrText xml:space="preserve"> PAGEREF _Toc862543300 \h </w:instrText>
          </w:r>
          <w:r>
            <w:fldChar w:fldCharType="separate"/>
          </w:r>
          <w:r>
            <w:t>96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_Toc1309076452 </w:instrText>
          </w:r>
          <w:r>
            <w:rPr>
              <w:highlight w:val="none"/>
            </w:rPr>
            <w:fldChar w:fldCharType="separate"/>
          </w:r>
          <w:r>
            <w:rPr>
              <w:rFonts w:hint="eastAsia" w:asciiTheme="minorEastAsia" w:hAnsiTheme="minorEastAsia" w:eastAsiaTheme="minorEastAsia"/>
              <w:szCs w:val="21"/>
              <w:highlight w:val="none"/>
            </w:rPr>
            <w:t>《北京市建设工程施工现场管理办法》案由13项</w:t>
          </w:r>
          <w:r>
            <w:tab/>
          </w:r>
          <w:r>
            <w:fldChar w:fldCharType="begin"/>
          </w:r>
          <w:r>
            <w:instrText xml:space="preserve"> PAGEREF _Toc1309076452 \h </w:instrText>
          </w:r>
          <w:r>
            <w:fldChar w:fldCharType="separate"/>
          </w:r>
          <w:r>
            <w:t>98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_Toc1339639682 </w:instrText>
          </w:r>
          <w:r>
            <w:rPr>
              <w:highlight w:val="none"/>
            </w:rPr>
            <w:fldChar w:fldCharType="separate"/>
          </w:r>
          <w:r>
            <w:rPr>
              <w:rFonts w:hint="eastAsia" w:ascii="黑体" w:hAnsi="黑体" w:eastAsia="黑体"/>
              <w:szCs w:val="36"/>
              <w:highlight w:val="none"/>
            </w:rPr>
            <w:t>停车场管理方面案由</w:t>
          </w:r>
          <w:r>
            <w:tab/>
          </w:r>
          <w:r>
            <w:fldChar w:fldCharType="begin"/>
          </w:r>
          <w:r>
            <w:instrText xml:space="preserve"> PAGEREF _Toc1339639682 \h </w:instrText>
          </w:r>
          <w:r>
            <w:fldChar w:fldCharType="separate"/>
          </w:r>
          <w:r>
            <w:t>101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_Toc418827229 </w:instrText>
          </w:r>
          <w:r>
            <w:rPr>
              <w:highlight w:val="none"/>
            </w:rPr>
            <w:fldChar w:fldCharType="separate"/>
          </w:r>
          <w:r>
            <w:rPr>
              <w:rFonts w:hint="eastAsia" w:asciiTheme="minorEastAsia" w:hAnsiTheme="minorEastAsia" w:eastAsiaTheme="minorEastAsia"/>
              <w:szCs w:val="21"/>
              <w:highlight w:val="none"/>
            </w:rPr>
            <w:t>《北京市机动车停车管理办法》案由13项</w:t>
          </w:r>
          <w:r>
            <w:tab/>
          </w:r>
          <w:r>
            <w:fldChar w:fldCharType="begin"/>
          </w:r>
          <w:r>
            <w:instrText xml:space="preserve"> PAGEREF _Toc418827229 \h </w:instrText>
          </w:r>
          <w:r>
            <w:fldChar w:fldCharType="separate"/>
          </w:r>
          <w:r>
            <w:t>101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_Toc669201170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机动车停车条例</w:t>
          </w:r>
          <w:r>
            <w:rPr>
              <w:rFonts w:hint="eastAsia" w:asciiTheme="minorEastAsia" w:hAnsiTheme="minorEastAsia" w:eastAsiaTheme="minorEastAsia"/>
              <w:szCs w:val="21"/>
              <w:highlight w:val="none"/>
            </w:rPr>
            <w:t>》案由6项</w:t>
          </w:r>
          <w:r>
            <w:tab/>
          </w:r>
          <w:r>
            <w:fldChar w:fldCharType="begin"/>
          </w:r>
          <w:r>
            <w:instrText xml:space="preserve"> PAGEREF _Toc669201170 \h </w:instrText>
          </w:r>
          <w:r>
            <w:fldChar w:fldCharType="separate"/>
          </w:r>
          <w:r>
            <w:t>104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_Toc2117121609 </w:instrText>
          </w:r>
          <w:r>
            <w:rPr>
              <w:highlight w:val="none"/>
            </w:rPr>
            <w:fldChar w:fldCharType="separate"/>
          </w:r>
          <w:r>
            <w:rPr>
              <w:rFonts w:hint="eastAsia" w:asciiTheme="minorEastAsia" w:hAnsiTheme="minorEastAsia" w:eastAsiaTheme="minorEastAsia"/>
              <w:szCs w:val="21"/>
              <w:highlight w:val="none"/>
            </w:rPr>
            <w:t>《北京市非机动车停车管理办法》《北京市</w:t>
          </w:r>
          <w:r>
            <w:rPr>
              <w:rFonts w:asciiTheme="minorEastAsia" w:hAnsiTheme="minorEastAsia" w:eastAsiaTheme="minorEastAsia"/>
              <w:szCs w:val="21"/>
              <w:highlight w:val="none"/>
            </w:rPr>
            <w:t>非机动车</w:t>
          </w:r>
          <w:r>
            <w:rPr>
              <w:rFonts w:hint="eastAsia" w:asciiTheme="minorEastAsia" w:hAnsiTheme="minorEastAsia" w:eastAsiaTheme="minorEastAsia"/>
              <w:szCs w:val="21"/>
              <w:highlight w:val="none"/>
            </w:rPr>
            <w:t>管理</w:t>
          </w:r>
          <w:r>
            <w:rPr>
              <w:rFonts w:asciiTheme="minorEastAsia" w:hAnsiTheme="minorEastAsia" w:eastAsiaTheme="minorEastAsia"/>
              <w:szCs w:val="21"/>
              <w:highlight w:val="none"/>
            </w:rPr>
            <w:t>条例</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_Toc2117121609 \h </w:instrText>
          </w:r>
          <w:r>
            <w:fldChar w:fldCharType="separate"/>
          </w:r>
          <w:r>
            <w:t>105</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_Toc1863603006 </w:instrText>
          </w:r>
          <w:r>
            <w:rPr>
              <w:highlight w:val="none"/>
            </w:rPr>
            <w:fldChar w:fldCharType="separate"/>
          </w:r>
          <w:r>
            <w:rPr>
              <w:rFonts w:hint="eastAsia" w:ascii="黑体" w:hAnsi="黑体" w:eastAsia="黑体"/>
              <w:szCs w:val="36"/>
              <w:highlight w:val="none"/>
            </w:rPr>
            <w:t>交通运输管理方面</w:t>
          </w:r>
          <w:r>
            <w:tab/>
          </w:r>
          <w:r>
            <w:fldChar w:fldCharType="begin"/>
          </w:r>
          <w:r>
            <w:instrText xml:space="preserve"> PAGEREF _Toc1863603006 \h </w:instrText>
          </w:r>
          <w:r>
            <w:fldChar w:fldCharType="separate"/>
          </w:r>
          <w:r>
            <w:t>106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_Toc587170636 </w:instrText>
          </w:r>
          <w:r>
            <w:rPr>
              <w:highlight w:val="none"/>
            </w:rPr>
            <w:fldChar w:fldCharType="separate"/>
          </w:r>
          <w:r>
            <w:rPr>
              <w:rFonts w:hint="eastAsia" w:asciiTheme="minorEastAsia" w:hAnsiTheme="minorEastAsia" w:eastAsiaTheme="minorEastAsia"/>
              <w:bCs/>
              <w:strike w:val="0"/>
              <w:dstrike w:val="0"/>
              <w:szCs w:val="21"/>
              <w:highlight w:val="none"/>
            </w:rPr>
            <w:t>《巡游出租汽车经营服务管理规定》案由1项</w:t>
          </w:r>
          <w:r>
            <w:tab/>
          </w:r>
          <w:r>
            <w:fldChar w:fldCharType="begin"/>
          </w:r>
          <w:r>
            <w:instrText xml:space="preserve"> PAGEREF _Toc587170636 \h </w:instrText>
          </w:r>
          <w:r>
            <w:fldChar w:fldCharType="separate"/>
          </w:r>
          <w:r>
            <w:t>106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_Toc1024525621 </w:instrText>
          </w:r>
          <w:r>
            <w:rPr>
              <w:highlight w:val="none"/>
            </w:rPr>
            <w:fldChar w:fldCharType="separate"/>
          </w:r>
          <w:r>
            <w:rPr>
              <w:rFonts w:hint="eastAsia" w:asciiTheme="minorEastAsia" w:hAnsiTheme="minorEastAsia" w:eastAsiaTheme="minorEastAsia"/>
              <w:szCs w:val="21"/>
              <w:highlight w:val="none"/>
            </w:rPr>
            <w:t>《北京市查处非法客运若干规定》案由2项</w:t>
          </w:r>
          <w:r>
            <w:tab/>
          </w:r>
          <w:r>
            <w:fldChar w:fldCharType="begin"/>
          </w:r>
          <w:r>
            <w:instrText xml:space="preserve"> PAGEREF _Toc1024525621 \h </w:instrText>
          </w:r>
          <w:r>
            <w:fldChar w:fldCharType="separate"/>
          </w:r>
          <w:r>
            <w:t>107</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_Toc1990957976 </w:instrText>
          </w:r>
          <w:r>
            <w:rPr>
              <w:highlight w:val="none"/>
            </w:rPr>
            <w:fldChar w:fldCharType="separate"/>
          </w:r>
          <w:r>
            <w:rPr>
              <w:rFonts w:hint="eastAsia" w:ascii="黑体" w:hAnsi="黑体" w:eastAsia="黑体"/>
              <w:szCs w:val="36"/>
              <w:highlight w:val="none"/>
            </w:rPr>
            <w:t>市场监督管理（流动无照经营）方面</w:t>
          </w:r>
          <w:r>
            <w:tab/>
          </w:r>
          <w:r>
            <w:fldChar w:fldCharType="begin"/>
          </w:r>
          <w:r>
            <w:instrText xml:space="preserve"> PAGEREF _Toc1990957976 \h </w:instrText>
          </w:r>
          <w:r>
            <w:fldChar w:fldCharType="separate"/>
          </w:r>
          <w:r>
            <w:t>107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_Toc773948337 </w:instrText>
          </w:r>
          <w:r>
            <w:rPr>
              <w:highlight w:val="none"/>
            </w:rPr>
            <w:fldChar w:fldCharType="separate"/>
          </w:r>
          <w:r>
            <w:rPr>
              <w:rFonts w:hint="eastAsia" w:asciiTheme="minorEastAsia" w:hAnsiTheme="minorEastAsia" w:eastAsiaTheme="minorEastAsia"/>
              <w:szCs w:val="21"/>
              <w:highlight w:val="none"/>
            </w:rPr>
            <w:t>《无证</w:t>
          </w:r>
          <w:r>
            <w:rPr>
              <w:rFonts w:asciiTheme="minorEastAsia" w:hAnsiTheme="minorEastAsia" w:eastAsiaTheme="minorEastAsia"/>
              <w:szCs w:val="21"/>
              <w:highlight w:val="none"/>
            </w:rPr>
            <w:t>无照经营查处办法</w:t>
          </w:r>
          <w:r>
            <w:rPr>
              <w:rFonts w:hint="eastAsia" w:asciiTheme="minorEastAsia" w:hAnsiTheme="minorEastAsia" w:eastAsiaTheme="minorEastAsia"/>
              <w:szCs w:val="21"/>
              <w:highlight w:val="none"/>
            </w:rPr>
            <w:t>》案由3项</w:t>
          </w:r>
          <w:r>
            <w:tab/>
          </w:r>
          <w:r>
            <w:fldChar w:fldCharType="begin"/>
          </w:r>
          <w:r>
            <w:instrText xml:space="preserve"> PAGEREF _Toc773948337 \h </w:instrText>
          </w:r>
          <w:r>
            <w:fldChar w:fldCharType="separate"/>
          </w:r>
          <w:r>
            <w:t>107</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_Toc73112696 </w:instrText>
          </w:r>
          <w:r>
            <w:rPr>
              <w:highlight w:val="none"/>
            </w:rPr>
            <w:fldChar w:fldCharType="separate"/>
          </w:r>
          <w:r>
            <w:rPr>
              <w:rFonts w:hint="eastAsia" w:ascii="黑体" w:hAnsi="黑体" w:eastAsia="黑体"/>
              <w:szCs w:val="36"/>
              <w:highlight w:val="none"/>
            </w:rPr>
            <w:t>城市规划管理方面</w:t>
          </w:r>
          <w:r>
            <w:tab/>
          </w:r>
          <w:r>
            <w:fldChar w:fldCharType="begin"/>
          </w:r>
          <w:r>
            <w:instrText xml:space="preserve"> PAGEREF _Toc73112696 \h </w:instrText>
          </w:r>
          <w:r>
            <w:fldChar w:fldCharType="separate"/>
          </w:r>
          <w:r>
            <w:t>108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_Toc664217455 </w:instrText>
          </w:r>
          <w:r>
            <w:rPr>
              <w:highlight w:val="none"/>
            </w:rPr>
            <w:fldChar w:fldCharType="separate"/>
          </w:r>
          <w:r>
            <w:rPr>
              <w:rFonts w:hint="eastAsia" w:asciiTheme="minorEastAsia" w:hAnsiTheme="minorEastAsia" w:eastAsiaTheme="minorEastAsia"/>
              <w:szCs w:val="21"/>
              <w:highlight w:val="none"/>
            </w:rPr>
            <w:t>《中华人民共和国城乡规划法》《北京市城乡规划条例》</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案由2项</w:t>
          </w:r>
          <w:r>
            <w:tab/>
          </w:r>
          <w:r>
            <w:fldChar w:fldCharType="begin"/>
          </w:r>
          <w:r>
            <w:instrText xml:space="preserve"> PAGEREF _Toc664217455 \h </w:instrText>
          </w:r>
          <w:r>
            <w:fldChar w:fldCharType="separate"/>
          </w:r>
          <w:r>
            <w:t>108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_Toc1687710166 </w:instrText>
          </w:r>
          <w:r>
            <w:rPr>
              <w:highlight w:val="none"/>
            </w:rPr>
            <w:fldChar w:fldCharType="separate"/>
          </w:r>
          <w:r>
            <w:rPr>
              <w:rFonts w:hint="eastAsia" w:ascii="黑体" w:hAnsi="黑体" w:eastAsia="黑体"/>
              <w:szCs w:val="36"/>
              <w:highlight w:val="none"/>
            </w:rPr>
            <w:t>旅游管理（黑导游）方面</w:t>
          </w:r>
          <w:r>
            <w:tab/>
          </w:r>
          <w:r>
            <w:fldChar w:fldCharType="begin"/>
          </w:r>
          <w:r>
            <w:instrText xml:space="preserve"> PAGEREF _Toc1687710166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_Toc1773021119 </w:instrText>
          </w:r>
          <w:r>
            <w:rPr>
              <w:highlight w:val="none"/>
            </w:rPr>
            <w:fldChar w:fldCharType="separate"/>
          </w:r>
          <w:r>
            <w:rPr>
              <w:rFonts w:hint="eastAsia" w:asciiTheme="minorEastAsia" w:hAnsiTheme="minorEastAsia" w:eastAsiaTheme="minorEastAsia"/>
              <w:szCs w:val="21"/>
              <w:highlight w:val="none"/>
            </w:rPr>
            <w:t>《中华人民共和国旅游法》案由1项</w:t>
          </w:r>
          <w:r>
            <w:tab/>
          </w:r>
          <w:r>
            <w:fldChar w:fldCharType="begin"/>
          </w:r>
          <w:r>
            <w:instrText xml:space="preserve"> PAGEREF _Toc1773021119 \h </w:instrText>
          </w:r>
          <w:r>
            <w:fldChar w:fldCharType="separate"/>
          </w:r>
          <w:r>
            <w:t>109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_Toc937757556 </w:instrText>
          </w:r>
          <w:r>
            <w:rPr>
              <w:highlight w:val="none"/>
            </w:rPr>
            <w:fldChar w:fldCharType="separate"/>
          </w:r>
          <w:r>
            <w:rPr>
              <w:rFonts w:hint="eastAsia" w:ascii="黑体" w:hAnsi="黑体" w:eastAsia="黑体"/>
              <w:szCs w:val="36"/>
              <w:highlight w:val="none"/>
            </w:rPr>
            <w:t>食品安全管理方面</w:t>
          </w:r>
          <w:r>
            <w:tab/>
          </w:r>
          <w:r>
            <w:fldChar w:fldCharType="begin"/>
          </w:r>
          <w:r>
            <w:instrText xml:space="preserve"> PAGEREF _Toc937757556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_Toc1003958422 </w:instrText>
          </w:r>
          <w:r>
            <w:rPr>
              <w:highlight w:val="none"/>
            </w:rPr>
            <w:fldChar w:fldCharType="separate"/>
          </w:r>
          <w:r>
            <w:rPr>
              <w:rFonts w:hint="eastAsia" w:asciiTheme="minorEastAsia" w:hAnsiTheme="minorEastAsia" w:eastAsiaTheme="minorEastAsia"/>
              <w:szCs w:val="21"/>
              <w:highlight w:val="none"/>
            </w:rPr>
            <w:t>《北京市小规模食品生产经营管理规定》案由23项</w:t>
          </w:r>
          <w:r>
            <w:tab/>
          </w:r>
          <w:r>
            <w:fldChar w:fldCharType="begin"/>
          </w:r>
          <w:r>
            <w:instrText xml:space="preserve"> PAGEREF _Toc1003958422 \h </w:instrText>
          </w:r>
          <w:r>
            <w:fldChar w:fldCharType="separate"/>
          </w:r>
          <w:r>
            <w:t>109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_Toc359183204 </w:instrText>
          </w:r>
          <w:r>
            <w:rPr>
              <w:highlight w:val="none"/>
            </w:rPr>
            <w:fldChar w:fldCharType="separate"/>
          </w:r>
          <w:r>
            <w:rPr>
              <w:rFonts w:hint="eastAsia" w:ascii="黑体" w:hAnsi="黑体" w:eastAsia="黑体"/>
              <w:szCs w:val="36"/>
              <w:highlight w:val="none"/>
            </w:rPr>
            <w:t>能源运行管理方面</w:t>
          </w:r>
          <w:r>
            <w:tab/>
          </w:r>
          <w:r>
            <w:fldChar w:fldCharType="begin"/>
          </w:r>
          <w:r>
            <w:instrText xml:space="preserve"> PAGEREF _Toc359183204 \h </w:instrText>
          </w:r>
          <w:r>
            <w:fldChar w:fldCharType="separate"/>
          </w:r>
          <w:r>
            <w:t>115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_Toc1607150865 </w:instrText>
          </w:r>
          <w:r>
            <w:rPr>
              <w:highlight w:val="none"/>
            </w:rPr>
            <w:fldChar w:fldCharType="separate"/>
          </w:r>
          <w:r>
            <w:rPr>
              <w:rFonts w:hint="eastAsia" w:asciiTheme="minorEastAsia" w:hAnsiTheme="minorEastAsia" w:eastAsiaTheme="minorEastAsia"/>
              <w:szCs w:val="21"/>
              <w:highlight w:val="none"/>
            </w:rPr>
            <w:t>《中华人民共和国煤炭法》案由</w:t>
          </w:r>
          <w:r>
            <w:rPr>
              <w:rFonts w:asciiTheme="minorEastAsia" w:hAnsiTheme="minorEastAsia" w:eastAsiaTheme="minorEastAsia"/>
              <w:szCs w:val="21"/>
              <w:highlight w:val="none"/>
            </w:rPr>
            <w:t>3</w:t>
          </w:r>
          <w:r>
            <w:rPr>
              <w:rFonts w:hint="eastAsia" w:asciiTheme="minorEastAsia" w:hAnsiTheme="minorEastAsia" w:eastAsiaTheme="minorEastAsia"/>
              <w:szCs w:val="21"/>
              <w:highlight w:val="none"/>
            </w:rPr>
            <w:t>项</w:t>
          </w:r>
          <w:r>
            <w:tab/>
          </w:r>
          <w:r>
            <w:fldChar w:fldCharType="begin"/>
          </w:r>
          <w:r>
            <w:instrText xml:space="preserve"> PAGEREF _Toc1607150865 \h </w:instrText>
          </w:r>
          <w:r>
            <w:fldChar w:fldCharType="separate"/>
          </w:r>
          <w:r>
            <w:t>115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_Toc153144911 </w:instrText>
          </w:r>
          <w:r>
            <w:rPr>
              <w:highlight w:val="none"/>
            </w:rPr>
            <w:fldChar w:fldCharType="separate"/>
          </w:r>
          <w:r>
            <w:rPr>
              <w:rFonts w:hint="eastAsia" w:asciiTheme="minorEastAsia" w:hAnsiTheme="minorEastAsia" w:eastAsiaTheme="minorEastAsia"/>
              <w:szCs w:val="21"/>
              <w:highlight w:val="none"/>
            </w:rPr>
            <w:t>《中华人民共和国可再生能源法》案由2项</w:t>
          </w:r>
          <w:r>
            <w:tab/>
          </w:r>
          <w:r>
            <w:fldChar w:fldCharType="begin"/>
          </w:r>
          <w:r>
            <w:instrText xml:space="preserve"> PAGEREF _Toc153144911 \h </w:instrText>
          </w:r>
          <w:r>
            <w:fldChar w:fldCharType="separate"/>
          </w:r>
          <w:r>
            <w:t>115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_Toc593639945 </w:instrText>
          </w:r>
          <w:r>
            <w:rPr>
              <w:highlight w:val="none"/>
            </w:rPr>
            <w:fldChar w:fldCharType="separate"/>
          </w:r>
          <w:r>
            <w:rPr>
              <w:rFonts w:hint="eastAsia" w:asciiTheme="minorEastAsia" w:hAnsiTheme="minorEastAsia" w:eastAsiaTheme="minorEastAsia"/>
              <w:szCs w:val="21"/>
              <w:highlight w:val="none"/>
            </w:rPr>
            <w:t>《中华人民共和国电力法》《电力供应与使用条例》案由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_Toc593639945 \h </w:instrText>
          </w:r>
          <w:r>
            <w:fldChar w:fldCharType="separate"/>
          </w:r>
          <w:r>
            <w:t>116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_Toc972492578 </w:instrText>
          </w:r>
          <w:r>
            <w:rPr>
              <w:highlight w:val="none"/>
            </w:rPr>
            <w:fldChar w:fldCharType="separate"/>
          </w:r>
          <w:r>
            <w:rPr>
              <w:rFonts w:hint="eastAsia" w:asciiTheme="minorEastAsia" w:hAnsiTheme="minorEastAsia" w:eastAsiaTheme="minorEastAsia"/>
              <w:szCs w:val="21"/>
              <w:highlight w:val="none"/>
            </w:rPr>
            <w:t>《电力设施保护条例》《电力设施保护条例实施细则》案由5项</w:t>
          </w:r>
          <w:r>
            <w:tab/>
          </w:r>
          <w:r>
            <w:fldChar w:fldCharType="begin"/>
          </w:r>
          <w:r>
            <w:instrText xml:space="preserve"> PAGEREF _Toc972492578 \h </w:instrText>
          </w:r>
          <w:r>
            <w:fldChar w:fldCharType="separate"/>
          </w:r>
          <w:r>
            <w:t>117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_Toc453931662 </w:instrText>
          </w:r>
          <w:r>
            <w:rPr>
              <w:highlight w:val="none"/>
            </w:rPr>
            <w:fldChar w:fldCharType="separate"/>
          </w:r>
          <w:r>
            <w:rPr>
              <w:rFonts w:hint="eastAsia" w:asciiTheme="minorEastAsia" w:hAnsiTheme="minorEastAsia" w:eastAsiaTheme="minorEastAsia"/>
              <w:szCs w:val="21"/>
              <w:highlight w:val="none"/>
            </w:rPr>
            <w:t>《中华人民共和国石油天然气管道保护法》案由22项</w:t>
          </w:r>
          <w:r>
            <w:tab/>
          </w:r>
          <w:r>
            <w:fldChar w:fldCharType="begin"/>
          </w:r>
          <w:r>
            <w:instrText xml:space="preserve"> PAGEREF _Toc453931662 \h </w:instrText>
          </w:r>
          <w:r>
            <w:fldChar w:fldCharType="separate"/>
          </w:r>
          <w:r>
            <w:t>118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_Toc523163320 </w:instrText>
          </w:r>
          <w:r>
            <w:rPr>
              <w:highlight w:val="none"/>
            </w:rPr>
            <w:fldChar w:fldCharType="separate"/>
          </w:r>
          <w:r>
            <w:rPr>
              <w:rFonts w:hint="eastAsia"/>
              <w:szCs w:val="21"/>
            </w:rPr>
            <w:t>生态环境管理方面4项</w:t>
          </w:r>
          <w:r>
            <w:tab/>
          </w:r>
          <w:r>
            <w:fldChar w:fldCharType="begin"/>
          </w:r>
          <w:r>
            <w:instrText xml:space="preserve"> PAGEREF _Toc523163320 \h </w:instrText>
          </w:r>
          <w:r>
            <w:fldChar w:fldCharType="separate"/>
          </w:r>
          <w:r>
            <w:t>122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_Toc740500612 </w:instrText>
          </w:r>
          <w:r>
            <w:rPr>
              <w:highlight w:val="none"/>
            </w:rPr>
            <w:fldChar w:fldCharType="separate"/>
          </w:r>
          <w:r>
            <w:rPr>
              <w:rFonts w:hint="eastAsia"/>
              <w:szCs w:val="21"/>
            </w:rPr>
            <w:t>水务管理方面20项</w:t>
          </w:r>
          <w:r>
            <w:tab/>
          </w:r>
          <w:r>
            <w:fldChar w:fldCharType="begin"/>
          </w:r>
          <w:r>
            <w:instrText xml:space="preserve"> PAGEREF _Toc740500612 \h </w:instrText>
          </w:r>
          <w:r>
            <w:fldChar w:fldCharType="separate"/>
          </w:r>
          <w:r>
            <w:t>124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_Toc1689508188 </w:instrText>
          </w:r>
          <w:r>
            <w:rPr>
              <w:highlight w:val="none"/>
            </w:rPr>
            <w:fldChar w:fldCharType="separate"/>
          </w:r>
          <w:r>
            <w:rPr>
              <w:rFonts w:hint="eastAsia"/>
              <w:szCs w:val="21"/>
            </w:rPr>
            <w:t>农业农村管理方面1项</w:t>
          </w:r>
          <w:r>
            <w:tab/>
          </w:r>
          <w:r>
            <w:fldChar w:fldCharType="begin"/>
          </w:r>
          <w:r>
            <w:instrText xml:space="preserve"> PAGEREF _Toc1689508188 \h </w:instrText>
          </w:r>
          <w:r>
            <w:fldChar w:fldCharType="separate"/>
          </w:r>
          <w:r>
            <w:t>128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_Toc1319776395 </w:instrText>
          </w:r>
          <w:r>
            <w:rPr>
              <w:highlight w:val="none"/>
            </w:rPr>
            <w:fldChar w:fldCharType="separate"/>
          </w:r>
          <w:r>
            <w:rPr>
              <w:rFonts w:hint="eastAsia"/>
              <w:szCs w:val="21"/>
            </w:rPr>
            <w:t>卫生健康管理方面12项</w:t>
          </w:r>
          <w:r>
            <w:tab/>
          </w:r>
          <w:r>
            <w:fldChar w:fldCharType="begin"/>
          </w:r>
          <w:r>
            <w:instrText xml:space="preserve"> PAGEREF _Toc1319776395 \h </w:instrText>
          </w:r>
          <w:r>
            <w:fldChar w:fldCharType="separate"/>
          </w:r>
          <w:r>
            <w:t>129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_Toc712121569 </w:instrText>
          </w:r>
          <w:r>
            <w:rPr>
              <w:highlight w:val="none"/>
            </w:rPr>
            <w:fldChar w:fldCharType="separate"/>
          </w:r>
          <w:r>
            <w:rPr>
              <w:rFonts w:hint="eastAsia"/>
              <w:bCs/>
              <w:szCs w:val="21"/>
              <w:lang w:eastAsia="zh-CN"/>
            </w:rPr>
            <w:t>住建部门</w:t>
          </w:r>
          <w:r>
            <w:rPr>
              <w:rFonts w:hint="eastAsia"/>
              <w:bCs/>
              <w:szCs w:val="21"/>
              <w:lang w:val="en-US" w:eastAsia="zh-CN"/>
            </w:rPr>
            <w:t>3项</w:t>
          </w:r>
          <w:r>
            <w:tab/>
          </w:r>
          <w:r>
            <w:fldChar w:fldCharType="begin"/>
          </w:r>
          <w:r>
            <w:instrText xml:space="preserve"> PAGEREF _Toc712121569 \h </w:instrText>
          </w:r>
          <w:r>
            <w:fldChar w:fldCharType="separate"/>
          </w:r>
          <w:r>
            <w:t>130</w:t>
          </w:r>
          <w:r>
            <w:fldChar w:fldCharType="end"/>
          </w:r>
          <w:r>
            <w:rPr>
              <w:color w:val="auto"/>
              <w:highlight w:val="none"/>
            </w:rPr>
            <w:fldChar w:fldCharType="end"/>
          </w:r>
        </w:p>
        <w:p>
          <w:pPr>
            <w:pStyle w:val="2"/>
            <w:tabs>
              <w:tab w:val="left" w:pos="1516"/>
            </w:tabs>
            <w:ind w:left="0" w:leftChars="0" w:firstLine="0" w:firstLineChars="0"/>
            <w:rPr>
              <w:color w:val="auto"/>
              <w:highlight w:val="none"/>
            </w:rPr>
          </w:pPr>
          <w:r>
            <w:rPr>
              <w:color w:val="auto"/>
              <w:highlight w:val="none"/>
            </w:rPr>
            <w:fldChar w:fldCharType="end"/>
          </w:r>
        </w:p>
      </w:sdtContent>
    </w:sdt>
    <w:p>
      <w:pPr>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0" w:num="1"/>
          <w:rtlGutter w:val="0"/>
          <w:docGrid w:linePitch="634" w:charSpace="0"/>
        </w:sectPr>
      </w:pPr>
    </w:p>
    <w:p>
      <w:pPr>
        <w:pStyle w:val="2"/>
        <w:rPr>
          <w:rFonts w:hint="eastAsia"/>
          <w:color w:val="auto"/>
          <w:highlight w:val="none"/>
        </w:rPr>
      </w:pPr>
    </w:p>
    <w:tbl>
      <w:tblPr>
        <w:tblStyle w:val="22"/>
        <w:tblW w:w="14218"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500"/>
        <w:gridCol w:w="2789"/>
        <w:gridCol w:w="851"/>
        <w:gridCol w:w="840"/>
        <w:gridCol w:w="2304"/>
        <w:gridCol w:w="1785"/>
        <w:gridCol w:w="2385"/>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9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50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789"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2304"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变量系数</w:t>
            </w:r>
          </w:p>
        </w:tc>
        <w:tc>
          <w:tcPr>
            <w:tcW w:w="178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238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c>
          <w:tcPr>
            <w:tcW w:w="824"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行使</w:t>
            </w:r>
          </w:p>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pPr>
              <w:pStyle w:val="4"/>
              <w:keepNext w:val="0"/>
              <w:keepLines w:val="0"/>
              <w:rPr>
                <w:rFonts w:ascii="黑体" w:hAnsi="黑体" w:eastAsia="黑体"/>
                <w:b w:val="0"/>
                <w:color w:val="auto"/>
                <w:sz w:val="28"/>
                <w:szCs w:val="28"/>
                <w:highlight w:val="none"/>
              </w:rPr>
            </w:pPr>
            <w:bookmarkStart w:id="0" w:name="_Toc110851435"/>
            <w:bookmarkStart w:id="1" w:name="_Toc1748547838"/>
            <w:bookmarkStart w:id="2" w:name="_Toc549970075"/>
            <w:r>
              <w:rPr>
                <w:rFonts w:hint="eastAsia" w:ascii="黑体" w:hAnsi="黑体" w:eastAsia="黑体"/>
                <w:b w:val="0"/>
                <w:color w:val="auto"/>
                <w:sz w:val="28"/>
                <w:szCs w:val="28"/>
                <w:highlight w:val="none"/>
              </w:rPr>
              <w:t>市容环境卫生管理方面</w:t>
            </w:r>
            <w:bookmarkEnd w:id="0"/>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pPr>
              <w:pStyle w:val="5"/>
              <w:widowControl w:val="0"/>
              <w:spacing w:line="232" w:lineRule="exact"/>
              <w:rPr>
                <w:rFonts w:asciiTheme="minorEastAsia" w:hAnsiTheme="minorEastAsia" w:eastAsiaTheme="minorEastAsia"/>
                <w:color w:val="auto"/>
                <w:sz w:val="15"/>
                <w:szCs w:val="15"/>
                <w:highlight w:val="none"/>
              </w:rPr>
            </w:pPr>
            <w:bookmarkStart w:id="3" w:name="_Toc110851436"/>
            <w:bookmarkStart w:id="4" w:name="_Toc1181220958"/>
            <w:bookmarkStart w:id="5" w:name="_Toc1944272260"/>
            <w:r>
              <w:rPr>
                <w:rFonts w:hint="eastAsia" w:asciiTheme="minorEastAsia" w:hAnsiTheme="minorEastAsia" w:eastAsiaTheme="minorEastAsia"/>
                <w:color w:val="auto"/>
                <w:sz w:val="21"/>
                <w:szCs w:val="21"/>
                <w:highlight w:val="none"/>
              </w:rPr>
              <w:t>《北京市市容环境卫生条例》案由56项</w:t>
            </w:r>
            <w:bookmarkEnd w:id="3"/>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bookmarkStart w:id="6" w:name="OLE_LINK1"/>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未按要求履行维护市容环境卫生责任</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【城镇地区】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【农村地区】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（注：单位：</w:t>
            </w:r>
            <w:r>
              <w:rPr>
                <w:rFonts w:hint="eastAsia" w:cs="宋体" w:asciiTheme="minorEastAsia" w:hAnsiTheme="minorEastAsia" w:eastAsiaTheme="minorEastAsia"/>
                <w:bCs/>
                <w:color w:val="auto"/>
                <w:kern w:val="0"/>
                <w:sz w:val="15"/>
                <w:szCs w:val="15"/>
                <w:highlight w:val="none"/>
              </w:rPr>
              <w:t>元，下同</w:t>
            </w:r>
            <w:r>
              <w:rPr>
                <w:rFonts w:hint="eastAsia"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擅自在临街的建筑物上设置装饰物品</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建筑物顶部、外走廊等未保持整洁或堆物堆料</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规定区域内建筑物顶部、阳台外和窗外设置不符合容貌景观标准的设施</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规定区域内建筑物顶部、阳台外和窗外吊挂、晾晒、摆放物品</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规定区域内建筑物平台、阳台内堆放物品超出护栏高度</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其它设施处工程造价1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300元／㎡</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为违法建筑面积</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造价</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（构筑物、设施）</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按照法规规定执行。</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4" w:hRule="atLeast"/>
          <w:jc w:val="center"/>
        </w:trPr>
        <w:tc>
          <w:tcPr>
            <w:tcW w:w="9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未按规定管护井盖雨箅</w:t>
            </w:r>
          </w:p>
        </w:tc>
        <w:tc>
          <w:tcPr>
            <w:tcW w:w="2789"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违反条款：第三十一条第一款；处罚条款：第三十一条第二款，责令改正，并可处200元以上2000元以下罚款。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8" w:hRule="atLeast"/>
          <w:jc w:val="center"/>
        </w:trPr>
        <w:tc>
          <w:tcPr>
            <w:tcW w:w="940" w:type="dxa"/>
            <w:shd w:val="clear" w:color="auto" w:fill="auto"/>
            <w:vAlign w:val="center"/>
          </w:tcPr>
          <w:p>
            <w:pPr>
              <w:pStyle w:val="9"/>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未经批准或未按照批准要求在公共场所设置设施</w:t>
            </w:r>
          </w:p>
        </w:tc>
        <w:tc>
          <w:tcPr>
            <w:tcW w:w="2789"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shd w:val="clear" w:color="auto" w:fill="auto"/>
            <w:vAlign w:val="center"/>
          </w:tcPr>
          <w:p>
            <w:pPr>
              <w:pStyle w:val="9"/>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pStyle w:val="9"/>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非罚款处罚。</w:t>
            </w:r>
          </w:p>
        </w:tc>
        <w:tc>
          <w:tcPr>
            <w:tcW w:w="824" w:type="dxa"/>
            <w:shd w:val="clear" w:color="auto" w:fill="auto"/>
            <w:vAlign w:val="center"/>
          </w:tcPr>
          <w:p>
            <w:pPr>
              <w:pStyle w:val="9"/>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pStyle w:val="9"/>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未按规定管护公共设施</w:t>
            </w:r>
          </w:p>
        </w:tc>
        <w:tc>
          <w:tcPr>
            <w:tcW w:w="2789"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违反、处罚条款：第三十四条，责令限期改正，并可处500元以上5000元以下罚款。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未按照要求</w:t>
            </w:r>
            <w:r>
              <w:rPr>
                <w:rFonts w:hint="eastAsia" w:cs="宋体" w:asciiTheme="minorEastAsia" w:hAnsiTheme="minorEastAsia" w:eastAsiaTheme="minorEastAsia"/>
                <w:color w:val="auto"/>
                <w:kern w:val="0"/>
                <w:sz w:val="15"/>
                <w:szCs w:val="15"/>
                <w:highlight w:val="none"/>
              </w:rPr>
              <w:t>维修、更换、清洗或者补设</w:t>
            </w:r>
            <w:r>
              <w:rPr>
                <w:rFonts w:hint="eastAsia" w:cs="宋体" w:asciiTheme="minorEastAsia" w:hAnsiTheme="minorEastAsia" w:eastAsiaTheme="minorEastAsia"/>
                <w:color w:val="auto"/>
                <w:kern w:val="0"/>
                <w:sz w:val="15"/>
                <w:szCs w:val="15"/>
                <w:highlight w:val="none"/>
                <w:lang w:eastAsia="zh-CN"/>
              </w:rPr>
              <w:t>，影响设施正常使用或者造成其他严重影响，系数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擅自摆摊设点</w:t>
            </w:r>
          </w:p>
        </w:tc>
        <w:tc>
          <w:tcPr>
            <w:tcW w:w="2789"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0" w:lineRule="exact"/>
              <w:rPr>
                <w:color w:val="auto"/>
                <w:highlight w:val="none"/>
                <w:lang w:val="en-US" w:eastAsia="zh-CN"/>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占用过街桥、地下过街通道的，系数1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2.占用非机动车道或者其它公共场所，面积较大，系数1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.占用无障碍设施或者机动车道的，系数</w:t>
            </w:r>
            <w:r>
              <w:rPr>
                <w:rFonts w:hint="eastAsia" w:cs="宋体" w:asciiTheme="minorEastAsia" w:hAnsiTheme="minorEastAsia" w:eastAsiaTheme="minorEastAsia"/>
                <w:b w:val="0"/>
                <w:bCs w:val="0"/>
                <w:color w:val="auto"/>
                <w:kern w:val="0"/>
                <w:sz w:val="15"/>
                <w:szCs w:val="15"/>
                <w:highlight w:val="none"/>
                <w:lang w:val="en-US" w:eastAsia="zh-CN"/>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default" w:cs="宋体" w:asciiTheme="minorEastAsia" w:hAnsiTheme="minorEastAsia" w:eastAsiaTheme="minorEastAsia"/>
                <w:b w:val="0"/>
                <w:bCs w:val="0"/>
                <w:color w:val="auto"/>
                <w:kern w:val="0"/>
                <w:sz w:val="15"/>
                <w:szCs w:val="15"/>
                <w:highlight w:val="none"/>
                <w:lang w:val="en-US"/>
              </w:rPr>
              <w:t>4</w:t>
            </w:r>
            <w:r>
              <w:rPr>
                <w:rFonts w:hint="eastAsia" w:cs="宋体" w:asciiTheme="minorEastAsia" w:hAnsiTheme="minorEastAsia" w:eastAsiaTheme="minorEastAsia"/>
                <w:b w:val="0"/>
                <w:bCs w:val="0"/>
                <w:color w:val="auto"/>
                <w:kern w:val="0"/>
                <w:sz w:val="15"/>
                <w:szCs w:val="15"/>
                <w:highlight w:val="none"/>
              </w:rPr>
              <w:t>.使用畜力车、农用运输车及其它机动车、电动车为工具的，</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系数1-3</w:t>
            </w:r>
            <w:r>
              <w:rPr>
                <w:rFonts w:hint="eastAsia" w:cs="宋体" w:asciiTheme="minorEastAsia" w:hAnsiTheme="minorEastAsia" w:eastAsiaTheme="minorEastAsia"/>
                <w:b w:val="0"/>
                <w:bCs w:val="0"/>
                <w:color w:val="auto"/>
                <w:kern w:val="0"/>
                <w:sz w:val="15"/>
                <w:szCs w:val="15"/>
                <w:highlight w:val="none"/>
              </w:rPr>
              <w:t>；</w:t>
            </w:r>
            <w:r>
              <w:rPr>
                <w:rFonts w:hint="default"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eastAsia="zh-CN"/>
              </w:rPr>
              <w:t>使用液化石油气瓶</w:t>
            </w:r>
            <w:r>
              <w:rPr>
                <w:rFonts w:hint="eastAsia" w:cs="宋体" w:asciiTheme="minorEastAsia" w:hAnsiTheme="minorEastAsia" w:eastAsiaTheme="minorEastAsia"/>
                <w:b w:val="0"/>
                <w:bCs w:val="0"/>
                <w:color w:val="auto"/>
                <w:kern w:val="0"/>
                <w:sz w:val="15"/>
                <w:szCs w:val="15"/>
                <w:highlight w:val="none"/>
              </w:rPr>
              <w:t>现场加工制作食品的，系数</w:t>
            </w:r>
            <w:r>
              <w:rPr>
                <w:rFonts w:hint="default" w:cs="宋体" w:asciiTheme="minorEastAsia" w:hAnsiTheme="minorEastAsia" w:eastAsiaTheme="minorEastAsia"/>
                <w:b w:val="0"/>
                <w:bCs w:val="0"/>
                <w:color w:val="auto"/>
                <w:kern w:val="0"/>
                <w:sz w:val="15"/>
                <w:szCs w:val="15"/>
                <w:highlight w:val="none"/>
                <w:lang w:val="en-US" w:eastAsia="zh-CN"/>
              </w:rPr>
              <w:t>5-9</w:t>
            </w:r>
            <w:r>
              <w:rPr>
                <w:rFonts w:hint="eastAsia" w:cs="宋体" w:asciiTheme="minorEastAsia" w:hAnsiTheme="minorEastAsia" w:eastAsiaTheme="minorEastAsia"/>
                <w:b w:val="0"/>
                <w:bCs w:val="0"/>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.造成交通秩序、市容秩序严重混乱的，系数5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；7.摆设摊点经营违禁品的，系数9。</w:t>
            </w:r>
          </w:p>
        </w:tc>
        <w:tc>
          <w:tcPr>
            <w:tcW w:w="17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p>
            <w:pPr>
              <w:pStyle w:val="2"/>
              <w:spacing w:after="0" w:line="230" w:lineRule="exact"/>
              <w:ind w:firstLine="300"/>
              <w:rPr>
                <w:rFonts w:cs="宋体" w:asciiTheme="minorEastAsia" w:hAnsiTheme="minorEastAsia" w:eastAsiaTheme="minorEastAsia"/>
                <w:color w:val="auto"/>
                <w:kern w:val="0"/>
                <w:sz w:val="15"/>
                <w:szCs w:val="15"/>
                <w:highlight w:val="none"/>
              </w:rPr>
            </w:pPr>
          </w:p>
          <w:p>
            <w:pPr>
              <w:pStyle w:val="2"/>
              <w:spacing w:after="0" w:line="230" w:lineRule="exact"/>
              <w:ind w:firstLine="300"/>
              <w:rPr>
                <w:rFonts w:cs="宋体" w:asciiTheme="minorEastAsia" w:hAnsiTheme="minorEastAsia" w:eastAsiaTheme="minorEastAsia"/>
                <w:color w:val="auto"/>
                <w:kern w:val="0"/>
                <w:sz w:val="15"/>
                <w:szCs w:val="15"/>
                <w:highlight w:val="none"/>
              </w:rPr>
            </w:pPr>
          </w:p>
          <w:p>
            <w:pPr>
              <w:spacing w:line="23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乱堆物料</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b w:val="0"/>
                <w:bCs w:val="0"/>
                <w:color w:val="auto"/>
                <w:kern w:val="0"/>
                <w:sz w:val="15"/>
                <w:szCs w:val="15"/>
                <w:highlight w:val="none"/>
                <w:lang w:val="en-US"/>
              </w:rPr>
              <w:t>1.占用过街桥、地下过街通道的，系数为1-3；2.占用非机动车道或者其它公共场所，面积较大，系数为1-3；3.占用无障碍设施或者机动车道的，系数为4-6；4.在公共绿地、燃气、热力等保护范围、管理范围堆放的，系数4-6；5.堆放易燃易爆等危险物品的，系数为5-9；6.造成交通秩序、市容秩序严重混乱的，系数5-9；7.造成人员伤亡的，系数7-9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未按规定举办活动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处罚条款：第三十五条第五款：责令改正，并可处1000元以上1万元以下的罚款。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eastAsiaTheme="minorEastAsia"/>
                <w:color w:val="auto"/>
                <w:highlight w:val="none"/>
                <w:lang w:val="en-US" w:eastAsia="zh-CN"/>
              </w:rPr>
            </w:pPr>
            <w:r>
              <w:rPr>
                <w:rFonts w:hint="default" w:cs="宋体" w:asciiTheme="minorEastAsia" w:hAnsiTheme="minorEastAsia" w:eastAsiaTheme="minorEastAsia"/>
                <w:b w:val="0"/>
                <w:bCs w:val="0"/>
                <w:color w:val="auto"/>
                <w:kern w:val="0"/>
                <w:sz w:val="15"/>
                <w:szCs w:val="15"/>
                <w:highlight w:val="none"/>
                <w:lang w:val="en-US"/>
              </w:rPr>
              <w:t>1.</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占用过街桥、地下过街通道的，系数为1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占用非机动车道或者其它公共场所，面积较大，系数为1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占用无障碍设施或者机动车道的，系数为4-6</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造成交通秩序、市容秩序严重混乱的，系数5</w:t>
            </w:r>
            <w:r>
              <w:rPr>
                <w:rFonts w:hint="eastAsia" w:cs="宋体" w:asciiTheme="minorEastAsia" w:hAnsiTheme="minorEastAsia" w:eastAsiaTheme="minorEastAsia"/>
                <w:b w:val="0"/>
                <w:bCs w:val="0"/>
                <w:color w:val="auto"/>
                <w:kern w:val="0"/>
                <w:sz w:val="15"/>
                <w:szCs w:val="15"/>
                <w:highlight w:val="none"/>
                <w:lang w:val="en-US" w:eastAsia="zh-CN"/>
              </w:rPr>
              <w:t>-9</w:t>
            </w:r>
            <w:r>
              <w:rPr>
                <w:rFonts w:hint="eastAsia" w:cs="宋体" w:asciiTheme="minorEastAsia" w:hAnsiTheme="minorEastAsia" w:eastAsiaTheme="minorEastAsia"/>
                <w:b/>
                <w:bCs/>
                <w:color w:val="auto"/>
                <w:kern w:val="0"/>
                <w:sz w:val="15"/>
                <w:szCs w:val="15"/>
                <w:highlight w:val="none"/>
                <w:lang w:val="en-US" w:eastAsia="zh-CN"/>
              </w:rPr>
              <w:t>。</w:t>
            </w:r>
          </w:p>
        </w:tc>
        <w:tc>
          <w:tcPr>
            <w:tcW w:w="17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店外经营</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违反条款：第三十五条第三款；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处罚条款：第三十五条第五款：责令改正，并可处300元以上3000元以下的罚款。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1.占用非机动车道或者其它公共场所，面积较大，系数</w:t>
            </w:r>
            <w:r>
              <w:rPr>
                <w:rFonts w:hint="eastAsia" w:cs="宋体" w:asciiTheme="minorEastAsia" w:hAnsiTheme="minorEastAsia" w:eastAsiaTheme="minorEastAsia"/>
                <w:b/>
                <w:bCs/>
                <w:color w:val="auto"/>
                <w:kern w:val="0"/>
                <w:sz w:val="15"/>
                <w:szCs w:val="15"/>
                <w:highlight w:val="none"/>
              </w:rPr>
              <w:t>1</w:t>
            </w:r>
            <w:r>
              <w:rPr>
                <w:rFonts w:hint="eastAsia" w:cs="宋体" w:asciiTheme="minorEastAsia" w:hAnsiTheme="minorEastAsia" w:eastAsiaTheme="minorEastAsia"/>
                <w:b/>
                <w:bCs/>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;2.占用无障碍设施或者机动车道、</w:t>
            </w:r>
            <w:r>
              <w:rPr>
                <w:rFonts w:hint="eastAsia" w:cs="宋体" w:asciiTheme="minorEastAsia" w:hAnsiTheme="minorEastAsia" w:eastAsiaTheme="minorEastAsia"/>
                <w:b w:val="0"/>
                <w:bCs w:val="0"/>
                <w:color w:val="auto"/>
                <w:kern w:val="0"/>
                <w:sz w:val="15"/>
                <w:szCs w:val="15"/>
                <w:highlight w:val="none"/>
                <w:u w:val="none"/>
              </w:rPr>
              <w:t>绿地的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.经营违禁品的，系数9。</w:t>
            </w: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在城市道路及其它公共场所晾晒衣物、吊挂物品</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违反条款：第三十六条第一款；</w:t>
            </w:r>
          </w:p>
          <w:p>
            <w:pPr>
              <w:spacing w:line="21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处罚条款：第三十六条第二款：责令改正，并可处20元以上50元以下罚款。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按照简易程序执行</w:t>
            </w: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违反规划设置户外广告设施</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pacing w:val="-3"/>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10"/>
              <w:rPr>
                <w:rFonts w:hint="eastAsia"/>
                <w:color w:val="auto"/>
                <w:highlight w:val="none"/>
              </w:rPr>
            </w:pP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1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设置户外广告设施不符合安全技术标准</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2"/>
              <w:spacing w:after="0" w:line="232" w:lineRule="exact"/>
              <w:ind w:firstLine="300"/>
              <w:rPr>
                <w:rFonts w:asciiTheme="minorEastAsia" w:hAnsiTheme="minorEastAsia" w:eastAsiaTheme="minorEastAsia"/>
                <w:color w:val="auto"/>
                <w:sz w:val="15"/>
                <w:szCs w:val="15"/>
                <w:highlight w:val="none"/>
              </w:rPr>
            </w:pPr>
          </w:p>
          <w:p>
            <w:pPr>
              <w:spacing w:line="232" w:lineRule="exact"/>
              <w:rPr>
                <w:rFonts w:cs="宋体" w:asciiTheme="minorEastAsia" w:hAnsiTheme="minorEastAsia" w:eastAsiaTheme="minorEastAsia"/>
                <w:strike/>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未按规定设置牌匾标识</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违反、处罚条款：第三十九第一款 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olor w:val="auto"/>
                <w:highlight w:val="none"/>
                <w:lang w:val="en-US"/>
              </w:rPr>
            </w:pPr>
            <w:r>
              <w:rPr>
                <w:rFonts w:hint="eastAsia" w:asciiTheme="minorEastAsia" w:hAnsiTheme="minorEastAsia" w:eastAsiaTheme="minorEastAsia"/>
                <w:color w:val="auto"/>
                <w:sz w:val="15"/>
                <w:szCs w:val="15"/>
                <w:highlight w:val="none"/>
              </w:rPr>
              <w:t>1.违法设置大型固定式牌匾标识的，系数2；2.违法设置距地十米以上的固定式牌匾标识的，系数2；3.违法设置2处牌匾标识的，系数为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大型固定式牌匾标识，是指任意边长大于等于四米，或者面积大于等于十平方米的牌匾标识。</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未按规定管护牌匾标识</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违反、处罚条款：第三十九第二款 责令停止使用，限期修复，并可处500元以上5000元以下罚款。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color w:val="auto"/>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擅自（散发、悬挂、张贴、刻画、涂写、喷涂）宣传品、广告</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2.张贴、悬挂，系数为2；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0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1.因散发、悬挂等行为影响交通通行的，系数为2；2.张贴、喷涂等污损名胜古迹的，或者严重污损市政、环卫、电信等设施、城市道路、墙体的，系数5；3.其它情形按照《基准》的规定执行。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1.一类地区小广告违法行为，按照此档处罚；特殊情况下需给予1000元以下罚款的，报经案审会审核。</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2.“涉黑”、“涉黄”等内容违法的小广告违法行为，如刻章办证、卖药、销售假冒伪劣商品、交友等，按照此档处罚。</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3.现场发现小广告数量达到500张以上，悬挂、张贴达到20张以上的，刻画、喷涂、涂写达到10条以上的，按照此档实施处罚。</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擅自利用或者组织（张贴、涂写、刻画、喷涂、散发）（标语、宣传品、广告）进行宣传</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4.其它按照《基准》的规定执行。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u w:val="singl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7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组织利用</w:t>
            </w:r>
            <w:r>
              <w:rPr>
                <w:rFonts w:cs="宋体" w:asciiTheme="minorEastAsia" w:hAnsiTheme="minorEastAsia" w:eastAsiaTheme="minorEastAsia"/>
                <w:color w:val="auto"/>
                <w:kern w:val="0"/>
                <w:sz w:val="15"/>
                <w:szCs w:val="15"/>
                <w:highlight w:val="none"/>
              </w:rPr>
              <w:t>不满十周岁的未成年</w:t>
            </w:r>
            <w:r>
              <w:rPr>
                <w:rFonts w:hint="eastAsia" w:cs="宋体" w:asciiTheme="minorEastAsia" w:hAnsiTheme="minorEastAsia" w:eastAsiaTheme="minorEastAsia"/>
                <w:color w:val="auto"/>
                <w:kern w:val="0"/>
                <w:sz w:val="15"/>
                <w:szCs w:val="15"/>
                <w:highlight w:val="none"/>
              </w:rPr>
              <w:t>人进行宣传的；组织利用三名以上（含三名）</w:t>
            </w:r>
            <w:r>
              <w:rPr>
                <w:rFonts w:cs="宋体" w:asciiTheme="minorEastAsia" w:hAnsiTheme="minorEastAsia" w:eastAsiaTheme="minorEastAsia"/>
                <w:color w:val="auto"/>
                <w:kern w:val="0"/>
                <w:sz w:val="15"/>
                <w:szCs w:val="15"/>
                <w:highlight w:val="none"/>
              </w:rPr>
              <w:t>十周岁以上的</w:t>
            </w:r>
            <w:r>
              <w:rPr>
                <w:rFonts w:hint="eastAsia" w:cs="宋体" w:asciiTheme="minorEastAsia" w:hAnsiTheme="minorEastAsia" w:eastAsiaTheme="minorEastAsia"/>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其它严重危害情节的，可视为情节严重。</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未按规划要求设置夜景照明设施</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违反条款：第四十三条第一款；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未经审核实施夜景照明方案</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违反条款：第四十三条第二款；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
              <w:ind w:left="0" w:leftChars="0" w:firstLine="0"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未按照许可要求设置夜景照明设施</w:t>
            </w:r>
          </w:p>
        </w:tc>
        <w:tc>
          <w:tcPr>
            <w:tcW w:w="2789" w:type="dxa"/>
            <w:shd w:val="clear" w:color="auto" w:fill="auto"/>
            <w:vAlign w:val="center"/>
          </w:tcPr>
          <w:p>
            <w:pPr>
              <w:spacing w:line="25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违反条款：第四十三条第四款；处罚条款：第四十三条第四款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未按规定管护照明设施</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未按规定开闭照明设施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未按规定清扫保洁</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违反、处罚条款：第四十五条 责令改正，并可处100元以上1000元以下罚款。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建设工程未按规定设置围挡、临时厕所和垃圾收集设施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
              <w:ind w:left="0" w:leftChars="0" w:firstLine="0" w:firstLineChars="0"/>
              <w:rPr>
                <w:color w:val="auto"/>
                <w:highlight w:val="none"/>
              </w:rPr>
            </w:pPr>
            <w:r>
              <w:rPr>
                <w:rFonts w:hint="eastAsia" w:asciiTheme="minorEastAsia" w:hAnsiTheme="minorEastAsia" w:eastAsiaTheme="minorEastAsia"/>
                <w:color w:val="auto"/>
                <w:sz w:val="15"/>
                <w:szCs w:val="15"/>
                <w:highlight w:val="none"/>
              </w:rPr>
              <w:t>1.未按规定</w:t>
            </w:r>
            <w:r>
              <w:rPr>
                <w:rFonts w:hint="eastAsia" w:asciiTheme="minorEastAsia" w:hAnsiTheme="minorEastAsia" w:eastAsiaTheme="minorEastAsia"/>
                <w:color w:val="auto"/>
                <w:sz w:val="15"/>
                <w:szCs w:val="15"/>
                <w:highlight w:val="none"/>
                <w:lang w:eastAsia="zh-CN"/>
              </w:rPr>
              <w:t>设置</w:t>
            </w:r>
            <w:r>
              <w:rPr>
                <w:rFonts w:hint="eastAsia" w:asciiTheme="minorEastAsia" w:hAnsiTheme="minorEastAsia" w:eastAsiaTheme="minorEastAsia"/>
                <w:color w:val="auto"/>
                <w:sz w:val="15"/>
                <w:szCs w:val="15"/>
                <w:highlight w:val="none"/>
              </w:rPr>
              <w:t>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建设工程未按规定采取防尘措施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bottom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建设工程现场污水流溢</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建筑垃圾未日产日清</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未及时清除施工弃物弃料或者临时设施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1.废料占地面积10㎡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逾期不清除临时设施的，每逾期2天，系数为１，以此累加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33</w:t>
            </w:r>
          </w:p>
        </w:tc>
        <w:tc>
          <w:tcPr>
            <w:tcW w:w="15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公共设施管护作业未按规定清除废弃物</w:t>
            </w:r>
            <w:r>
              <w:rPr>
                <w:rFonts w:hint="eastAsia" w:asciiTheme="minorEastAsia" w:hAnsiTheme="minorEastAsia" w:eastAsiaTheme="minorEastAsia"/>
                <w:b w:val="0"/>
                <w:bCs w:val="0"/>
                <w:color w:val="auto"/>
                <w:sz w:val="15"/>
                <w:szCs w:val="15"/>
                <w:highlight w:val="none"/>
              </w:rPr>
              <w:t xml:space="preserve"> </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违反、处罚条款：第四十七条 责令限期清理，并可处500元以上5000元以下罚款。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34</w:t>
            </w:r>
          </w:p>
        </w:tc>
        <w:tc>
          <w:tcPr>
            <w:tcW w:w="15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城市绿地管理养护单位未保持绿地整洁</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绿化作业未按规定清除废弃物</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占用公共场所从事车辆清洗、维修业务</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违反条款：第五十条第一款；</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处罚条款：第五十第三款 责令改正，并处50元以上300元以下罚款；情节严重的，处300元以上3000元以下罚款。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b/>
                <w:color w:val="auto"/>
                <w:kern w:val="0"/>
                <w:sz w:val="15"/>
                <w:szCs w:val="15"/>
                <w:highlight w:val="none"/>
              </w:rPr>
            </w:pP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1.占用非机动车道或者占用其它公共场所面积较大，或者造成通行秩序、市容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秩序混乱的</w:t>
            </w:r>
            <w:r>
              <w:rPr>
                <w:rFonts w:hint="eastAsia" w:cs="宋体" w:asciiTheme="minorEastAsia" w:hAnsiTheme="minorEastAsia" w:eastAsiaTheme="minorEastAsia"/>
                <w:strike w:val="0"/>
                <w:dstrike w:val="0"/>
                <w:color w:val="auto"/>
                <w:kern w:val="0"/>
                <w:sz w:val="15"/>
                <w:szCs w:val="15"/>
                <w:highlight w:val="none"/>
              </w:rPr>
              <w:t>，系数为1</w:t>
            </w:r>
            <w:r>
              <w:rPr>
                <w:rFonts w:hint="eastAsia" w:cs="宋体" w:asciiTheme="minorEastAsia" w:hAnsiTheme="minorEastAsia" w:eastAsiaTheme="minorEastAsia"/>
                <w:strike w:val="0"/>
                <w:dstrike w:val="0"/>
                <w:color w:val="auto"/>
                <w:kern w:val="0"/>
                <w:sz w:val="15"/>
                <w:szCs w:val="15"/>
                <w:highlight w:val="none"/>
                <w:lang w:val="en-US" w:eastAsia="zh-CN"/>
              </w:rPr>
              <w:t>-3</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占用无障碍设施、机动车道、绿地的，系数</w:t>
            </w:r>
            <w:r>
              <w:rPr>
                <w:rFonts w:hint="eastAsia" w:cs="宋体" w:asciiTheme="minorEastAsia" w:hAnsiTheme="minorEastAsia" w:eastAsiaTheme="minorEastAsia"/>
                <w:color w:val="auto"/>
                <w:kern w:val="0"/>
                <w:sz w:val="15"/>
                <w:szCs w:val="15"/>
                <w:highlight w:val="none"/>
                <w:lang w:eastAsia="zh-CN"/>
              </w:rPr>
              <w:t>为</w:t>
            </w:r>
            <w:r>
              <w:rPr>
                <w:rFonts w:hint="eastAsia" w:cs="宋体" w:asciiTheme="minorEastAsia" w:hAnsiTheme="minorEastAsia" w:eastAsiaTheme="minorEastAsia"/>
                <w:color w:val="auto"/>
                <w:kern w:val="0"/>
                <w:sz w:val="15"/>
                <w:szCs w:val="15"/>
                <w:highlight w:val="none"/>
                <w:lang w:val="en-US" w:eastAsia="zh-CN"/>
              </w:rPr>
              <w:t>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构成变量系数一栏中相关情节的，视为情节严重，适用此档处罚。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37</w:t>
            </w:r>
          </w:p>
        </w:tc>
        <w:tc>
          <w:tcPr>
            <w:tcW w:w="1500"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车辆作业场所环境脏乱</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违反条款：第五十条第二款；</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处罚条款：第五十条第三款 责令改正，并处50元以上300元以下罚款；情节严重的，处300元以上3000元以下罚款。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罚款数额＝50×（1＋区域系数）。</w:t>
            </w:r>
          </w:p>
        </w:tc>
        <w:tc>
          <w:tcPr>
            <w:tcW w:w="2385" w:type="dxa"/>
            <w:shd w:val="clear" w:color="auto" w:fill="auto"/>
            <w:vAlign w:val="center"/>
          </w:tcPr>
          <w:p>
            <w:pPr>
              <w:spacing w:line="240"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违法行为发生在一类地区的，或者构成</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情节之一的，视为情节严重。</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38</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废品收购场所环境脏乱</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违反、处罚条款：第五十一条 责令限期改正，并处300元以上3000元以下罚款。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39</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焚烧废旧物品</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eastAsiaTheme="minorEastAsia"/>
                <w:color w:val="auto"/>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2。</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其它需要从轻处罚的，报案审会决定。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40</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废品储存场所未采取遮挡措施</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随地吐痰</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随地便溺</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随地丢弃废弃物</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违反条款：第五十二条第一款第（二）项；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44</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乱倒污水、垃圾</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焚烧树叶、垃圾</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在城镇地区饲养家禽家畜</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违反、处罚条款：第五十三条第一款责令限期改正，并可按照每只（头）处20元以上50元以下罚款。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根据实际情况执行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饲养鸽子影响市容环境卫生</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1.导致建筑物外立面污损的，系数3；2.导致地面污染面积5㎡</w:t>
            </w:r>
            <w:r>
              <w:rPr>
                <w:rFonts w:hint="eastAsia" w:cs="仿宋_GB2312" w:asciiTheme="minorEastAsia" w:hAnsiTheme="minorEastAsia" w:eastAsiaTheme="minorEastAsia"/>
                <w:color w:val="auto"/>
                <w:kern w:val="0"/>
                <w:sz w:val="15"/>
                <w:szCs w:val="15"/>
                <w:highlight w:val="none"/>
              </w:rPr>
              <w:t>以上的，系数</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擅自设置建筑垃圾、渣土消纳场所</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违反、处罚条款：第五十五条 责令改正，并处5000元以上1万元以下罚款。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未按规定管护公共厕所</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违反、处罚条款：第五十七条第二款 责令限期改正，并可处500元以上3000元以下罚款。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3-5；2严重影响使用或者造成其他较大影响的，系数5。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未按规定排入粪便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未按规定清掏（运输）粪便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52</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随意倾倒粪便</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随意倾倒粪便的，处5000元以上5万元以下罚款。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default" w:cs="宋体" w:asciiTheme="minorEastAsia" w:hAnsiTheme="minorEastAsia" w:eastAsiaTheme="minorEastAsia"/>
                <w:color w:val="auto"/>
                <w:kern w:val="0"/>
                <w:sz w:val="15"/>
                <w:szCs w:val="15"/>
                <w:highlight w:val="none"/>
                <w:lang w:val="en-US"/>
              </w:rPr>
              <w:t>.</w:t>
            </w:r>
            <w:r>
              <w:rPr>
                <w:rFonts w:hint="eastAsia" w:cs="宋体" w:asciiTheme="minorEastAsia" w:hAnsiTheme="minorEastAsia" w:eastAsiaTheme="minorEastAsia"/>
                <w:color w:val="auto"/>
                <w:kern w:val="0"/>
                <w:sz w:val="15"/>
                <w:szCs w:val="15"/>
                <w:highlight w:val="none"/>
              </w:rPr>
              <w:t>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strike w:val="0"/>
                <w:dstrike w:val="0"/>
                <w:color w:val="auto"/>
                <w:kern w:val="0"/>
                <w:sz w:val="15"/>
                <w:szCs w:val="15"/>
                <w:highlight w:val="none"/>
              </w:rPr>
              <w:t>1；6－10㎡</w:t>
            </w:r>
            <w:r>
              <w:rPr>
                <w:rFonts w:hint="eastAsia" w:cs="仿宋_GB2312" w:asciiTheme="minorEastAsia" w:hAnsiTheme="minorEastAsia" w:eastAsiaTheme="minorEastAsia"/>
                <w:strike w:val="0"/>
                <w:dstrike w:val="0"/>
                <w:color w:val="auto"/>
                <w:kern w:val="0"/>
                <w:sz w:val="15"/>
                <w:szCs w:val="15"/>
                <w:highlight w:val="none"/>
              </w:rPr>
              <w:t>，系数</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；2.倾倒在绿地、城市道路等公共场所，或者燃气、供暖等公用管道和设施保护（管理）范围的，或者</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内的，系数3。</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53</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环卫设施未经验收（验收不合格）投入使用</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违反条款：第六十条第二款；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处罚条款：第六十条第三款 责令限期改正，并处5000元以上3万元以下罚款。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54</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擅自占用、损毁环卫设施</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违反条款：第六十一条第一款；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责令恢复原状或者赔偿损失，并处500元以上3000元以下罚款。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占用、损毁车站、机场、居民小区、医院、学校、体育场馆、影剧院、繁华商业街区、旅游景区等人口集中地区环卫设施的，系数为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擅自拆除、迁移、改建、停用环卫设施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拆除、迁移、改建、停用车站、机场、居民小区、医院、学校、体育场馆、影剧院、繁华商业街区、旅游景区等人口集中地区环卫设施的，系数为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擅自改变环卫设施用途</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0"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 w:name="_Toc1542301765"/>
            <w:bookmarkStart w:id="8" w:name="_Toc110851437"/>
            <w:bookmarkStart w:id="9" w:name="_Toc395853207"/>
            <w:r>
              <w:rPr>
                <w:rFonts w:hint="eastAsia" w:asciiTheme="minorEastAsia" w:hAnsiTheme="minorEastAsia" w:eastAsiaTheme="minorEastAsia"/>
                <w:color w:val="auto"/>
                <w:sz w:val="21"/>
                <w:szCs w:val="21"/>
                <w:highlight w:val="none"/>
              </w:rPr>
              <w:t>《北京市生活垃圾管理条例》案由</w:t>
            </w:r>
            <w:r>
              <w:rPr>
                <w:rFonts w:asciiTheme="minorEastAsia" w:hAnsiTheme="minorEastAsia" w:eastAsiaTheme="minorEastAsia"/>
                <w:color w:val="auto"/>
                <w:sz w:val="21"/>
                <w:szCs w:val="21"/>
                <w:highlight w:val="none"/>
              </w:rPr>
              <w:t>36</w:t>
            </w:r>
            <w:r>
              <w:rPr>
                <w:rFonts w:hint="eastAsia" w:asciiTheme="minorEastAsia" w:hAnsiTheme="minorEastAsia" w:eastAsiaTheme="minorEastAsia"/>
                <w:color w:val="auto"/>
                <w:sz w:val="21"/>
                <w:szCs w:val="21"/>
                <w:highlight w:val="none"/>
              </w:rPr>
              <w:t>项</w:t>
            </w:r>
            <w:bookmarkEnd w:id="7"/>
            <w:bookmarkEnd w:id="8"/>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主动向消费者提供一次性用品</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变量系数为1；（以餐饮服务许可标注的类别为准）</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2.旅馆经营单位，符合《星级饭店评定标准》四星及以上的或至少有40间（套）可供出租的客房的，变量系数为1。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初次违反适用此情形。</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；（以餐饮服务许可标注的类别为准）2.旅馆经营单位，符合《星级饭店评定标准》四星及以上的或至少有40间（套）可供出租的客房的，变量系数为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一年度内</w:t>
            </w:r>
            <w:r>
              <w:rPr>
                <w:rFonts w:hint="eastAsia" w:cs="宋体" w:asciiTheme="minorEastAsia" w:hAnsiTheme="minorEastAsia" w:eastAsiaTheme="minorEastAsia"/>
                <w:color w:val="auto"/>
                <w:kern w:val="0"/>
                <w:sz w:val="15"/>
                <w:szCs w:val="15"/>
                <w:highlight w:val="none"/>
                <w:lang w:eastAsia="zh-CN"/>
              </w:rPr>
              <w:t>因</w:t>
            </w:r>
            <w:r>
              <w:rPr>
                <w:rFonts w:hint="eastAsia" w:cs="宋体" w:asciiTheme="minorEastAsia" w:hAnsiTheme="minorEastAsia" w:eastAsiaTheme="minorEastAsia"/>
                <w:color w:val="auto"/>
                <w:kern w:val="0"/>
                <w:sz w:val="15"/>
                <w:szCs w:val="15"/>
                <w:highlight w:val="none"/>
              </w:rPr>
              <w:t>同类性质违法行为</w:t>
            </w:r>
            <w:r>
              <w:rPr>
                <w:rFonts w:hint="eastAsia" w:cs="宋体" w:asciiTheme="minorEastAsia" w:hAnsiTheme="minorEastAsia" w:eastAsiaTheme="minorEastAsia"/>
                <w:color w:val="auto"/>
                <w:kern w:val="0"/>
                <w:sz w:val="15"/>
                <w:szCs w:val="15"/>
                <w:highlight w:val="none"/>
                <w:lang w:eastAsia="zh-CN"/>
              </w:rPr>
              <w:t>再次</w:t>
            </w:r>
            <w:r>
              <w:rPr>
                <w:rFonts w:hint="eastAsia" w:cs="宋体" w:asciiTheme="minorEastAsia" w:hAnsiTheme="minorEastAsia" w:eastAsiaTheme="minorEastAsia"/>
                <w:color w:val="auto"/>
                <w:kern w:val="0"/>
                <w:sz w:val="15"/>
                <w:szCs w:val="15"/>
                <w:highlight w:val="none"/>
              </w:rPr>
              <w:t>受到</w:t>
            </w:r>
            <w:r>
              <w:rPr>
                <w:rFonts w:hint="eastAsia" w:cs="宋体" w:asciiTheme="minorEastAsia" w:hAnsiTheme="minorEastAsia" w:eastAsiaTheme="minorEastAsia"/>
                <w:color w:val="auto"/>
                <w:kern w:val="0"/>
                <w:sz w:val="15"/>
                <w:szCs w:val="15"/>
                <w:highlight w:val="none"/>
                <w:lang w:eastAsia="zh-CN"/>
              </w:rPr>
              <w:t>市区城管执法部门以及</w:t>
            </w:r>
            <w:r>
              <w:rPr>
                <w:rFonts w:hint="eastAsia" w:cs="宋体" w:asciiTheme="minorEastAsia" w:hAnsiTheme="minorEastAsia" w:eastAsiaTheme="minorEastAsia"/>
                <w:color w:val="auto"/>
                <w:kern w:val="0"/>
                <w:sz w:val="15"/>
                <w:szCs w:val="15"/>
                <w:highlight w:val="none"/>
              </w:rPr>
              <w:t>街道办事处、乡镇人民政府书面告诫或者处罚的</w:t>
            </w:r>
            <w:r>
              <w:rPr>
                <w:rFonts w:hint="eastAsia" w:cs="宋体" w:asciiTheme="minorEastAsia" w:hAnsiTheme="minorEastAsia" w:eastAsiaTheme="minorEastAsia"/>
                <w:color w:val="auto"/>
                <w:kern w:val="0"/>
                <w:sz w:val="15"/>
                <w:szCs w:val="15"/>
                <w:highlight w:val="none"/>
                <w:lang w:eastAsia="zh-CN"/>
              </w:rPr>
              <w:t>常量</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不适用本案由。</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未将生活垃圾分别投入相应标识的收集容器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；2.其他垃圾未投入相应标识的收集容器系数为0-3；3.厨余垃圾未投入相应标识的收集容器系数为1-5；4.有害垃圾 未投入相应标识的收集容器系数为1-5。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厨余垃圾、有害垃圾未投入</w:t>
            </w:r>
            <w:r>
              <w:rPr>
                <w:rFonts w:hint="eastAsia" w:asciiTheme="minorEastAsia" w:hAnsiTheme="minorEastAsia" w:eastAsiaTheme="minorEastAsia"/>
                <w:color w:val="auto"/>
                <w:sz w:val="15"/>
                <w:szCs w:val="15"/>
                <w:highlight w:val="none"/>
              </w:rPr>
              <w:t>相应标识的收集容器视为情节严重；可回收物、其他垃圾</w:t>
            </w:r>
            <w:r>
              <w:rPr>
                <w:rFonts w:hint="eastAsia" w:cs="宋体" w:asciiTheme="minorEastAsia" w:hAnsiTheme="minorEastAsia" w:eastAsiaTheme="minorEastAsia"/>
                <w:color w:val="auto"/>
                <w:kern w:val="0"/>
                <w:sz w:val="15"/>
                <w:szCs w:val="15"/>
                <w:highlight w:val="none"/>
              </w:rPr>
              <w:t>未投入</w:t>
            </w:r>
            <w:r>
              <w:rPr>
                <w:rFonts w:hint="eastAsia" w:asciiTheme="minorEastAsia" w:hAnsiTheme="minorEastAsia" w:eastAsiaTheme="minorEastAsia"/>
                <w:color w:val="auto"/>
                <w:sz w:val="15"/>
                <w:szCs w:val="15"/>
                <w:highlight w:val="none"/>
              </w:rPr>
              <w:t>相应标识的收集容器，垃圾投入量较大,造成垃圾满冒或随意堆放的情况视为情节严重。</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asciiTheme="minorEastAsia" w:hAnsiTheme="minorEastAsia" w:eastAsiaTheme="minorEastAsia"/>
                <w:color w:val="auto"/>
                <w:spacing w:val="-4"/>
                <w:sz w:val="15"/>
                <w:szCs w:val="15"/>
                <w:highlight w:val="none"/>
              </w:rPr>
              <w:t>.</w:t>
            </w:r>
            <w:r>
              <w:rPr>
                <w:rFonts w:hint="eastAsia" w:asciiTheme="minorEastAsia" w:hAnsiTheme="minorEastAsia" w:eastAsiaTheme="minorEastAsia"/>
                <w:color w:val="auto"/>
                <w:spacing w:val="-4"/>
                <w:sz w:val="15"/>
                <w:szCs w:val="15"/>
                <w:highlight w:val="none"/>
              </w:rPr>
              <w:t>有害垃圾未投入相应标识的收集容器系数为1-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pacing w:val="-4"/>
                <w:sz w:val="15"/>
                <w:szCs w:val="15"/>
                <w:highlight w:val="none"/>
              </w:rPr>
              <w:t>。</w:t>
            </w: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9"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体积较大的废弃物品未单独堆放</w:t>
            </w:r>
          </w:p>
        </w:tc>
        <w:tc>
          <w:tcPr>
            <w:tcW w:w="2789" w:type="dxa"/>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堆放在城市道路、居住小区消防通道</w:t>
            </w:r>
            <w:r>
              <w:rPr>
                <w:rFonts w:hint="eastAsia" w:asciiTheme="minorEastAsia" w:hAnsiTheme="minorEastAsia" w:eastAsiaTheme="minorEastAsia"/>
                <w:color w:val="auto"/>
                <w:sz w:val="15"/>
                <w:szCs w:val="15"/>
                <w:highlight w:val="none"/>
                <w:shd w:val="clear" w:color="auto" w:fill="FFFFFF"/>
              </w:rPr>
              <w:t>等共用部位</w:t>
            </w:r>
            <w:r>
              <w:rPr>
                <w:rFonts w:hint="eastAsia" w:cs="宋体" w:asciiTheme="minorEastAsia" w:hAnsiTheme="minorEastAsia" w:eastAsiaTheme="minorEastAsia"/>
                <w:color w:val="auto"/>
                <w:kern w:val="0"/>
                <w:sz w:val="15"/>
                <w:szCs w:val="15"/>
                <w:highlight w:val="none"/>
              </w:rPr>
              <w:t>；占压燃气、供暖等公用管道和设施保护（管理）范围的，或者绿地、林地、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内的，视为情节严重。</w:t>
            </w: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3"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未单独堆放在生活垃圾分类管理责任人指定的地点，系数为0-1；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9"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农村村民产生的灰土未按规定投放的</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1.未单独投放在相应的容器或者生活垃圾分类管理责任人指定的地点，系数为0-1；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7"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居民装饰装修房屋过程中产生的建筑垃圾未按指定的时间、地点和要求单独堆放</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未建立生活垃圾分类日常管理制度</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违反条款：第三十六条第一款第（一）项；处罚条款：第六十九条第一款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1.同时存在第三十六条第一款第（一）、（二）、（三）、（四）、（六）项违法行为中2项行为的，系数为1-2；3项及以上行为的，系数为3-5；2．生活垃圾分类</w:t>
            </w:r>
            <w:r>
              <w:rPr>
                <w:rFonts w:asciiTheme="minorEastAsia" w:hAnsiTheme="minorEastAsia" w:eastAsiaTheme="minorEastAsia"/>
                <w:color w:val="auto"/>
                <w:sz w:val="15"/>
                <w:szCs w:val="15"/>
                <w:highlight w:val="none"/>
              </w:rPr>
              <w:t>管理责任人未履行法律规定</w:t>
            </w:r>
            <w:r>
              <w:rPr>
                <w:rFonts w:hint="eastAsia" w:asciiTheme="minorEastAsia" w:hAnsiTheme="minorEastAsia" w:eastAsiaTheme="minorEastAsia"/>
                <w:color w:val="auto"/>
                <w:sz w:val="15"/>
                <w:szCs w:val="15"/>
                <w:highlight w:val="none"/>
              </w:rPr>
              <w:t>责任</w:t>
            </w:r>
            <w:r>
              <w:rPr>
                <w:rFonts w:asciiTheme="minorEastAsia" w:hAnsiTheme="minorEastAsia" w:eastAsiaTheme="minorEastAsia"/>
                <w:color w:val="auto"/>
                <w:sz w:val="15"/>
                <w:szCs w:val="15"/>
                <w:highlight w:val="none"/>
              </w:rPr>
              <w:t>或</w:t>
            </w:r>
            <w:r>
              <w:rPr>
                <w:rFonts w:hint="eastAsia" w:asciiTheme="minorEastAsia" w:hAnsiTheme="minorEastAsia" w:eastAsiaTheme="minorEastAsia"/>
                <w:color w:val="auto"/>
                <w:sz w:val="15"/>
                <w:szCs w:val="15"/>
                <w:highlight w:val="none"/>
              </w:rPr>
              <w:t>因生活垃圾分类收集容器配备不足造成垃圾满冒或随意堆放造成环境秩序较严重影响的，系数为3-5</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未开展宣传或未指定专人负责指导、监督垃圾分类工作</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违反条款：第三十六条第一款第（二）项；处罚条款：第六十九条第一款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未按规定设置生活垃圾分类收集容器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未按规定管护生活垃圾分类收集容器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未明确生活垃圾投放的时间、地点</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分类管理责任人未分类收集、贮存生活垃圾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未及时制止翻拣、混合已分类生活垃圾的行为</w:t>
            </w:r>
          </w:p>
        </w:tc>
        <w:tc>
          <w:tcPr>
            <w:tcW w:w="2789"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违反条款：第三十六条第一款第（六）项；处罚条款：第六十九条第一款 责令立即改正，处三千元以上三万元以下罚款。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将生活垃圾交由未经许可或者备案的企业和个人进行处置</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违反条款：第三十六条第一款第（五）项；处罚条款：第六十九条第二款 责令立即改正，处一万元以上十万元以下罚款。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1.违法行为持续时间较长，系数为2-3；2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垃圾产生量较大，系数为3-4；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.造成环境秩序较严重影响的，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5-9</w:t>
            </w:r>
            <w:r>
              <w:rPr>
                <w:rFonts w:hint="eastAsia" w:asciiTheme="minorEastAsia" w:hAnsiTheme="minorEastAsia" w:eastAsiaTheme="minorEastAsia"/>
                <w:b/>
                <w:bCs/>
                <w:color w:val="auto"/>
                <w:sz w:val="15"/>
                <w:szCs w:val="15"/>
                <w:highlight w:val="none"/>
                <w:lang w:val="en-US" w:eastAsia="zh-CN"/>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餐饮服务单位未按规定收集、交运、处理厨余垃圾的行为，优先适用</w:t>
            </w:r>
            <w:r>
              <w:rPr>
                <w:rFonts w:hint="eastAsia" w:asciiTheme="minorEastAsia" w:hAnsiTheme="minorEastAsia" w:eastAsiaTheme="minorEastAsia"/>
                <w:color w:val="auto"/>
                <w:sz w:val="15"/>
                <w:szCs w:val="15"/>
                <w:highlight w:val="none"/>
              </w:rPr>
              <w:t>第四十八条第二款的规定，依据第七十四条第一款予以处罚。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分类管理责任人未办理生活垃圾排放登记</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　</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pacing w:val="-4"/>
                <w:sz w:val="15"/>
                <w:szCs w:val="15"/>
                <w:highlight w:val="none"/>
              </w:rPr>
              <w:t>造成环境秩序较严重影响的，系数</w:t>
            </w:r>
            <w:r>
              <w:rPr>
                <w:rFonts w:hint="eastAsia" w:asciiTheme="minorEastAsia" w:hAnsiTheme="minorEastAsia" w:eastAsiaTheme="minorEastAsia"/>
                <w:strike w:val="0"/>
                <w:dstrike w:val="0"/>
                <w:color w:val="auto"/>
                <w:spacing w:val="-4"/>
                <w:sz w:val="15"/>
                <w:szCs w:val="15"/>
                <w:highlight w:val="none"/>
                <w:lang w:val="en-US" w:eastAsia="zh-CN"/>
              </w:rPr>
              <w:t>2-4</w:t>
            </w:r>
            <w:r>
              <w:rPr>
                <w:rFonts w:hint="eastAsia" w:asciiTheme="minorEastAsia" w:hAnsiTheme="minorEastAsia" w:eastAsiaTheme="minorEastAsia"/>
                <w:color w:val="auto"/>
                <w:spacing w:val="-4"/>
                <w:sz w:val="15"/>
                <w:szCs w:val="15"/>
                <w:highlight w:val="none"/>
              </w:rPr>
              <w:t>。</w:t>
            </w:r>
          </w:p>
        </w:tc>
        <w:tc>
          <w:tcPr>
            <w:tcW w:w="1785"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分类管理责任人未如实办理生活垃圾排放登记</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1.排放登记内容每缺少一项，系数加1；2</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pacing w:val="-4"/>
                <w:sz w:val="15"/>
                <w:szCs w:val="15"/>
                <w:highlight w:val="none"/>
                <w:lang w:eastAsia="zh-CN"/>
              </w:rPr>
              <w:t>登记</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分类管理责任人未建立生活垃圾管理台账</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Theme="minorEastAsia" w:hAnsiTheme="minorEastAsia" w:eastAsiaTheme="minorEastAsia"/>
                <w:strike w:val="0"/>
                <w:dstrike w:val="0"/>
                <w:color w:val="auto"/>
                <w:sz w:val="15"/>
                <w:szCs w:val="15"/>
                <w:highlight w:val="none"/>
              </w:rPr>
              <w:t>.违法行为持续时间较长，垃圾产生量较</w:t>
            </w:r>
            <w:r>
              <w:rPr>
                <w:rFonts w:hint="eastAsia" w:asciiTheme="minorEastAsia" w:hAnsiTheme="minorEastAsia" w:eastAsiaTheme="minorEastAsia"/>
                <w:strike w:val="0"/>
                <w:dstrike w:val="0"/>
                <w:color w:val="auto"/>
                <w:spacing w:val="-4"/>
                <w:sz w:val="15"/>
                <w:szCs w:val="15"/>
                <w:highlight w:val="none"/>
              </w:rPr>
              <w:t>大，系数为2-4；</w:t>
            </w:r>
            <w:r>
              <w:rPr>
                <w:rFonts w:hint="eastAsia" w:asciiTheme="minorEastAsia" w:hAnsiTheme="minorEastAsia" w:eastAsiaTheme="minorEastAsia"/>
                <w:strike w:val="0"/>
                <w:dstrike w:val="0"/>
                <w:color w:val="auto"/>
                <w:spacing w:val="-4"/>
                <w:sz w:val="15"/>
                <w:szCs w:val="15"/>
                <w:highlight w:val="none"/>
                <w:lang w:val="en-US" w:eastAsia="zh-CN"/>
              </w:rPr>
              <w:t>2</w:t>
            </w:r>
            <w:r>
              <w:rPr>
                <w:rFonts w:hint="eastAsia" w:asciiTheme="minorEastAsia" w:hAnsiTheme="minorEastAsia" w:eastAsiaTheme="minorEastAsia"/>
                <w:strike w:val="0"/>
                <w:dstrike w:val="0"/>
                <w:color w:val="auto"/>
                <w:spacing w:val="-4"/>
                <w:sz w:val="15"/>
                <w:szCs w:val="15"/>
                <w:highlight w:val="none"/>
              </w:rPr>
              <w:t>.造成环境秩序较严重影响的，系数5-9。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分类管理责任人未如实记录生活垃圾排放情况</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hint="default" w:asciiTheme="minorEastAsia" w:hAnsiTheme="minorEastAsia" w:eastAsiaTheme="minorEastAsia"/>
                <w:color w:val="auto"/>
                <w:sz w:val="15"/>
                <w:szCs w:val="15"/>
                <w:highlight w:val="none"/>
                <w:lang w:val="en-US"/>
              </w:rPr>
            </w:pPr>
            <w:r>
              <w:rPr>
                <w:rFonts w:hint="eastAsia" w:asciiTheme="minorEastAsia" w:hAnsiTheme="minorEastAsia" w:eastAsiaTheme="minorEastAsia"/>
                <w:color w:val="auto"/>
                <w:sz w:val="15"/>
                <w:szCs w:val="15"/>
                <w:highlight w:val="none"/>
              </w:rPr>
              <w:t>1.台账未记录实际产生的生活垃圾的种类、数量、运输者、去向等情况，系数为记录内容</w:t>
            </w:r>
            <w:r>
              <w:rPr>
                <w:rFonts w:asciiTheme="minorEastAsia" w:hAnsiTheme="minorEastAsia" w:eastAsiaTheme="minorEastAsia"/>
                <w:color w:val="auto"/>
                <w:sz w:val="15"/>
                <w:szCs w:val="15"/>
                <w:highlight w:val="none"/>
              </w:rPr>
              <w:t>每</w:t>
            </w:r>
            <w:r>
              <w:rPr>
                <w:rFonts w:hint="eastAsia" w:asciiTheme="minorEastAsia" w:hAnsiTheme="minorEastAsia" w:eastAsiaTheme="minorEastAsia"/>
                <w:color w:val="auto"/>
                <w:sz w:val="15"/>
                <w:szCs w:val="15"/>
                <w:highlight w:val="none"/>
              </w:rPr>
              <w:t>缺少1项</w:t>
            </w:r>
            <w:r>
              <w:rPr>
                <w:rFonts w:asciiTheme="minorEastAsia" w:hAnsiTheme="minorEastAsia" w:eastAsiaTheme="minorEastAsia"/>
                <w:color w:val="auto"/>
                <w:sz w:val="15"/>
                <w:szCs w:val="15"/>
                <w:highlight w:val="none"/>
              </w:rPr>
              <w:t>系数加</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strike w:val="0"/>
                <w:dstrike w:val="0"/>
                <w:color w:val="auto"/>
                <w:sz w:val="15"/>
                <w:szCs w:val="15"/>
                <w:highlight w:val="none"/>
              </w:rPr>
              <w:t>2.</w:t>
            </w:r>
            <w:r>
              <w:rPr>
                <w:rFonts w:hint="eastAsia" w:asciiTheme="minorEastAsia" w:hAnsiTheme="minorEastAsia" w:eastAsiaTheme="minorEastAsia"/>
                <w:color w:val="auto"/>
                <w:spacing w:val="-4"/>
                <w:sz w:val="15"/>
                <w:szCs w:val="15"/>
                <w:highlight w:val="none"/>
                <w:lang w:eastAsia="zh-CN"/>
              </w:rPr>
              <w:t>记录</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收集、运输单位未按时、分类收集、运输生活垃圾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1.未按时、分类收运生活垃圾的，系数为0-1；2.违法行为持续时间较长；收集、运输垃圾量较大，系数为1-2；3.造成环境秩序较严重影响的</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系数为1-2。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生活垃圾收集工具、运输车辆、人员不符合要求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1.工具、车辆、人员其中两类不符合要求的，系数1；2.工具、车辆、人员都不符合要求的，系数2。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1.造成泄漏遗撒的，按照专项案由从重处罚。</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收集、运输单位未按要求将生活垃圾运输至集中收集设施或者转运、处理设施</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1.违法行为持续时间较长，系数为2-3；2.垃圾运输量较大，系数为3-5；</w:t>
            </w:r>
            <w:r>
              <w:rPr>
                <w:rFonts w:asciiTheme="minorEastAsia" w:hAnsiTheme="minorEastAsia" w:eastAsiaTheme="minorEastAsia"/>
                <w:color w:val="auto"/>
                <w:sz w:val="15"/>
                <w:szCs w:val="15"/>
                <w:highlight w:val="none"/>
              </w:rPr>
              <w:t>3.</w:t>
            </w:r>
            <w:r>
              <w:rPr>
                <w:rFonts w:hint="eastAsia" w:asciiTheme="minorEastAsia" w:hAnsiTheme="minorEastAsia" w:eastAsiaTheme="minorEastAsia"/>
                <w:color w:val="auto"/>
                <w:sz w:val="15"/>
                <w:szCs w:val="15"/>
                <w:highlight w:val="none"/>
              </w:rPr>
              <w:t>造成环境秩序较严重影响的，系数6-9。</w:t>
            </w: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numPr>
                <w:ilvl w:val="0"/>
                <w:numId w:val="1"/>
              </w:num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收集、运输单位将生活垃圾混装混运</w:t>
            </w: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1.将厨余垃圾混装混运，系数为1；</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2.将有害垃圾混装混运，系数为2；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3.混装混运生活垃圾总量较大、违法行为持续时间较长，系数3-5；</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收集、运输单位随意倾倒、丢弃、遗撒、堆放生活垃圾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2.垃圾占地面积在5㎡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耕地、公厕、河道、铁路、轨道交通、桥下空间等公共场所及周边</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w:t>
            </w:r>
            <w:r>
              <w:rPr>
                <w:rFonts w:hint="eastAsia" w:cs="宋体" w:asciiTheme="minorEastAsia" w:hAnsiTheme="minorEastAsia" w:eastAsiaTheme="minorEastAsia"/>
                <w:color w:val="auto"/>
                <w:kern w:val="0"/>
                <w:sz w:val="15"/>
                <w:szCs w:val="15"/>
                <w:highlight w:val="none"/>
                <w:lang w:eastAsia="zh-CN"/>
              </w:rPr>
              <w:t>、石油长输管道、供水、排水、电力、通信</w:t>
            </w:r>
            <w:r>
              <w:rPr>
                <w:rFonts w:hint="eastAsia" w:cs="宋体" w:asciiTheme="minorEastAsia" w:hAnsiTheme="minorEastAsia" w:eastAsiaTheme="minorEastAsia"/>
                <w:color w:val="auto"/>
                <w:kern w:val="0"/>
                <w:sz w:val="15"/>
                <w:szCs w:val="15"/>
                <w:highlight w:val="none"/>
              </w:rPr>
              <w:t>等公用管道和设施保护（管理）范围的，系数为3；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hint="eastAsia"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pStyle w:val="10"/>
              <w:rPr>
                <w:color w:val="auto"/>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收集、运输单位未落实生活垃圾管理台</w:t>
            </w:r>
            <w:r>
              <w:rPr>
                <w:rFonts w:hint="eastAsia" w:asciiTheme="minorEastAsia" w:hAnsiTheme="minorEastAsia" w:eastAsiaTheme="minorEastAsia"/>
                <w:color w:val="auto"/>
                <w:sz w:val="15"/>
                <w:szCs w:val="15"/>
                <w:highlight w:val="none"/>
                <w:shd w:val="clear" w:fill="FF0000"/>
                <w:lang w:eastAsia="zh-CN"/>
              </w:rPr>
              <w:t>账</w:t>
            </w:r>
            <w:r>
              <w:rPr>
                <w:rFonts w:hint="eastAsia" w:asciiTheme="minorEastAsia" w:hAnsiTheme="minorEastAsia" w:eastAsiaTheme="minorEastAsia"/>
                <w:color w:val="auto"/>
                <w:sz w:val="15"/>
                <w:szCs w:val="15"/>
                <w:highlight w:val="none"/>
              </w:rPr>
              <w:t>制度</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1.已建立</w:t>
            </w:r>
            <w:r>
              <w:rPr>
                <w:rFonts w:hint="eastAsia" w:cs="宋体" w:asciiTheme="minorEastAsia" w:hAnsiTheme="minorEastAsia" w:eastAsiaTheme="minorEastAsia"/>
                <w:color w:val="auto"/>
                <w:kern w:val="0"/>
                <w:sz w:val="15"/>
                <w:szCs w:val="15"/>
                <w:highlight w:val="none"/>
                <w:lang w:eastAsia="zh-CN"/>
              </w:rPr>
              <w:t>台账</w:t>
            </w:r>
            <w:r>
              <w:rPr>
                <w:rFonts w:hint="eastAsia" w:cs="宋体" w:asciiTheme="minorEastAsia" w:hAnsiTheme="minorEastAsia" w:eastAsiaTheme="minorEastAsia"/>
                <w:color w:val="auto"/>
                <w:kern w:val="0"/>
                <w:sz w:val="15"/>
                <w:szCs w:val="15"/>
                <w:highlight w:val="none"/>
              </w:rPr>
              <w:t>而记录内容不完整的，系数为0-</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；2.未建立</w:t>
            </w:r>
            <w:r>
              <w:rPr>
                <w:rFonts w:hint="eastAsia" w:cs="宋体" w:asciiTheme="minorEastAsia" w:hAnsiTheme="minorEastAsia" w:eastAsiaTheme="minorEastAsia"/>
                <w:color w:val="auto"/>
                <w:kern w:val="0"/>
                <w:sz w:val="15"/>
                <w:szCs w:val="15"/>
                <w:highlight w:val="none"/>
                <w:lang w:eastAsia="zh-CN"/>
              </w:rPr>
              <w:t>台账</w:t>
            </w:r>
            <w:r>
              <w:rPr>
                <w:rFonts w:hint="eastAsia" w:cs="宋体" w:asciiTheme="minorEastAsia" w:hAnsiTheme="minorEastAsia" w:eastAsiaTheme="minorEastAsia"/>
                <w:color w:val="auto"/>
                <w:kern w:val="0"/>
                <w:sz w:val="15"/>
                <w:szCs w:val="15"/>
                <w:highlight w:val="none"/>
              </w:rPr>
              <w:t>的</w:t>
            </w:r>
            <w:r>
              <w:rPr>
                <w:rFonts w:hint="eastAsia" w:cs="仿宋_GB2312" w:asciiTheme="minorEastAsia" w:hAnsiTheme="minorEastAsia" w:eastAsiaTheme="minorEastAsia"/>
                <w:color w:val="auto"/>
                <w:kern w:val="0"/>
                <w:sz w:val="15"/>
                <w:szCs w:val="15"/>
                <w:highlight w:val="none"/>
              </w:rPr>
              <w:t>，系数为3-</w:t>
            </w:r>
            <w:r>
              <w:rPr>
                <w:rFonts w:cs="仿宋_GB2312"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；3.台账记录存在弄虚作假或其它较严重影响的情形，系数7-9。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3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未按规定接收、分类处理生活垃圾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w:t>
            </w:r>
            <w:r>
              <w:rPr>
                <w:rFonts w:hint="eastAsia" w:cs="宋体" w:asciiTheme="minorEastAsia" w:hAnsiTheme="minorEastAsia" w:eastAsiaTheme="minorEastAsia"/>
                <w:color w:val="auto"/>
                <w:kern w:val="0"/>
                <w:sz w:val="15"/>
                <w:szCs w:val="15"/>
                <w:highlight w:val="none"/>
                <w:lang w:val="en-US" w:eastAsia="zh-CN"/>
              </w:rPr>
              <w:t>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未按规定交运、处理建筑垃圾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违反条款：第四十七条第一款；处罚条款：第七十三条 责令限期改正，处一万元以上十万元以下罚款。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违法行为持续时间较长、建筑垃圾产生量较大、造成环境秩序较严重影响的，系数4-9。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b w:val="0"/>
                <w:bCs w:val="0"/>
                <w:color w:val="auto"/>
                <w:kern w:val="0"/>
                <w:sz w:val="15"/>
                <w:szCs w:val="15"/>
                <w:highlight w:val="none"/>
                <w:lang w:eastAsia="zh-CN"/>
              </w:rPr>
              <w:t>本案由适用于建设工程的建设单位、拆除工程的承担单位；涉及施工单位</w:t>
            </w:r>
            <w:r>
              <w:rPr>
                <w:rFonts w:hint="eastAsia" w:asciiTheme="minorEastAsia" w:hAnsiTheme="minorEastAsia" w:eastAsiaTheme="minorEastAsia"/>
                <w:color w:val="auto"/>
                <w:sz w:val="15"/>
                <w:szCs w:val="15"/>
                <w:highlight w:val="none"/>
              </w:rPr>
              <w:t>未按规定交运、处理建筑垃圾</w:t>
            </w:r>
            <w:r>
              <w:rPr>
                <w:rFonts w:hint="eastAsia" w:cs="宋体" w:asciiTheme="minorEastAsia" w:hAnsiTheme="minorEastAsia" w:eastAsiaTheme="minorEastAsia"/>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餐饮服务单位未按规定收集、处理厨余垃圾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违反条款：第四十八条第二款；处罚条款：第七十四条第一款 处十万元以上一百万元以下罚款，没收违法所得。</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无资质单位和个人擅自收集、运输厨余垃圾</w:t>
            </w:r>
          </w:p>
        </w:tc>
        <w:tc>
          <w:tcPr>
            <w:tcW w:w="2789"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p>
        </w:tc>
        <w:tc>
          <w:tcPr>
            <w:tcW w:w="1785"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3" w:lineRule="exact"/>
              <w:rPr>
                <w:rFonts w:cs="宋体" w:asciiTheme="minorEastAsia" w:hAnsiTheme="minorEastAsia" w:eastAsiaTheme="minorEastAsia"/>
                <w:color w:val="auto"/>
                <w:kern w:val="0"/>
                <w:sz w:val="14"/>
                <w:szCs w:val="14"/>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集中转运、处理设施的运行管理单位未按规定和标准处理生活垃圾</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处理生活垃圾总量较大、持续时间较长、对环境秩序造成较严重影响的，系数2-3。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4"/>
                <w:szCs w:val="14"/>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4"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生活垃圾集中转运、处理设施排放未达标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处理生活垃圾总量较大、持续时间较长，系数2-3；</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未按要求对生活垃圾等处理过程中常规参数进行检测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1.未建立检测档案，系数为0-2； </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2.未设置化验室或者委托专业化验机构，对生活垃圾、渗沥液等处理过程中常规参数进行检测，系数为3-6；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未按要求对生活垃圾处理设施相关指标进行检测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1.未对生活垃圾处理设施相关指标进行检测，系数为0-2； 2.未按照要求建设在线监管系统，系数为3-6；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6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未按要求传送生活垃圾处理设施相关检测指标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1.未将检测数据传送至生活垃圾管理信息系统，系数为0-2；</w:t>
            </w:r>
            <w:r>
              <w:rPr>
                <w:rFonts w:hint="eastAsia" w:cs="宋体" w:asciiTheme="minorEastAsia" w:hAnsiTheme="minorEastAsia" w:eastAsiaTheme="minorEastAsia"/>
                <w:color w:val="auto"/>
                <w:kern w:val="0"/>
                <w:sz w:val="15"/>
                <w:szCs w:val="15"/>
                <w:highlight w:val="none"/>
              </w:rPr>
              <w:t>2.长期未按要求传送，未如实传送数据的，系数3-6；</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1"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33</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未落实生活垃圾处理台</w:t>
            </w:r>
            <w:r>
              <w:rPr>
                <w:rFonts w:hint="eastAsia" w:asciiTheme="minorEastAsia" w:hAnsiTheme="minorEastAsia" w:eastAsiaTheme="minorEastAsia"/>
                <w:color w:val="auto"/>
                <w:sz w:val="15"/>
                <w:szCs w:val="15"/>
                <w:highlight w:val="none"/>
                <w:lang w:eastAsia="zh-CN"/>
              </w:rPr>
              <w:t>账</w:t>
            </w:r>
            <w:r>
              <w:rPr>
                <w:rFonts w:hint="eastAsia" w:asciiTheme="minorEastAsia" w:hAnsiTheme="minorEastAsia" w:eastAsiaTheme="minorEastAsia"/>
                <w:color w:val="auto"/>
                <w:sz w:val="15"/>
                <w:szCs w:val="15"/>
                <w:highlight w:val="none"/>
              </w:rPr>
              <w:t>制度</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 xml:space="preserve">1.未按照要求向相关管理部门报送数据、报表以及相关情况，系数为0-2； 2.未建立生活垃圾处理台账，系数为3-6； </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0" w:hRule="atLeast"/>
          <w:jc w:val="center"/>
        </w:trPr>
        <w:tc>
          <w:tcPr>
            <w:tcW w:w="9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34</w:t>
            </w:r>
          </w:p>
        </w:tc>
        <w:tc>
          <w:tcPr>
            <w:tcW w:w="1500"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未按要求公开设施污染控制监测指标和处理设施运行数据</w:t>
            </w:r>
          </w:p>
        </w:tc>
        <w:tc>
          <w:tcPr>
            <w:tcW w:w="2789"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1.未按要求公开数据的，系数0-2；2.长期未公开数据，系数3-6；</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3.造成较严重后果的，系数7-9。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1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7"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35</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生活垃圾集中转运、处理设施的运行管理单位</w:t>
            </w:r>
            <w:r>
              <w:rPr>
                <w:rFonts w:hint="eastAsia" w:asciiTheme="minorEastAsia" w:hAnsiTheme="minorEastAsia" w:eastAsiaTheme="minorEastAsia"/>
                <w:color w:val="auto"/>
                <w:sz w:val="15"/>
                <w:szCs w:val="15"/>
                <w:highlight w:val="none"/>
              </w:rPr>
              <w:t>未按要求</w:t>
            </w:r>
            <w:r>
              <w:rPr>
                <w:rFonts w:cs="宋体" w:asciiTheme="minorEastAsia" w:hAnsiTheme="minorEastAsia" w:eastAsiaTheme="minorEastAsia"/>
                <w:color w:val="auto"/>
                <w:kern w:val="0"/>
                <w:sz w:val="15"/>
                <w:szCs w:val="15"/>
                <w:highlight w:val="none"/>
              </w:rPr>
              <w:t>配套建设相应的参观、宣传设施</w:t>
            </w:r>
            <w:r>
              <w:rPr>
                <w:rFonts w:hint="eastAsia" w:cs="宋体" w:asciiTheme="minorEastAsia" w:hAnsiTheme="minorEastAsia" w:eastAsiaTheme="minorEastAsia"/>
                <w:color w:val="auto"/>
                <w:kern w:val="0"/>
                <w:sz w:val="15"/>
                <w:szCs w:val="15"/>
                <w:highlight w:val="none"/>
              </w:rPr>
              <w:t>或者未</w:t>
            </w:r>
            <w:r>
              <w:rPr>
                <w:rFonts w:cs="宋体" w:asciiTheme="minorEastAsia" w:hAnsiTheme="minorEastAsia" w:eastAsiaTheme="minorEastAsia"/>
                <w:color w:val="auto"/>
                <w:kern w:val="0"/>
                <w:sz w:val="15"/>
                <w:szCs w:val="15"/>
                <w:highlight w:val="none"/>
              </w:rPr>
              <w:t>在规定的公众开放日接待社会公众</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5000（拒不改正的）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9"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再生资源回收经营者未分类贮存物品</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numPr>
                <w:ilvl w:val="0"/>
                <w:numId w:val="0"/>
              </w:numPr>
              <w:jc w:val="both"/>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rPr>
              <w:t>占地面积10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以下系数</w:t>
            </w:r>
            <w:r>
              <w:rPr>
                <w:rFonts w:hint="eastAsia" w:cs="宋体" w:asciiTheme="minorEastAsia" w:hAnsiTheme="minorEastAsia" w:eastAsiaTheme="minorEastAsia"/>
                <w:color w:val="auto"/>
                <w:kern w:val="0"/>
                <w:sz w:val="15"/>
                <w:szCs w:val="15"/>
                <w:highlight w:val="none"/>
              </w:rPr>
              <w:t>0，11－15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1，16－20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26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罚款数额＝1000×（1＋区域系数+变量系数）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000×（1＋区域系数）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曾因此违法行为受过到行政处罚，再次违反的适用此情形。</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3"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0" w:name="_Toc726075658"/>
            <w:bookmarkStart w:id="11" w:name="_Toc110851438"/>
            <w:bookmarkStart w:id="12" w:name="_Toc1980421881"/>
            <w:r>
              <w:rPr>
                <w:rFonts w:hint="eastAsia" w:asciiTheme="minorEastAsia" w:hAnsiTheme="minorEastAsia" w:eastAsiaTheme="minorEastAsia"/>
                <w:color w:val="auto"/>
                <w:sz w:val="20"/>
                <w:szCs w:val="20"/>
                <w:highlight w:val="none"/>
              </w:rPr>
              <w:t>《城市生活垃圾管理办法》案由11项</w:t>
            </w:r>
            <w:bookmarkEnd w:id="10"/>
            <w:bookmarkEnd w:id="11"/>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未按规定缴纳城市生活垃圾处理费</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未按规定配套建设城市生活垃圾收集设施</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违反条款：第十条；处罚条款：第三十九条，责令限期改正，并可处以1万元以下的罚款。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1.发生在</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造成较大社会影响或者严重后果的其它情形，系数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拟作出1000元以下罚款，说明理由并报案审会决定。</w:t>
            </w:r>
          </w:p>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擅自关闭、闲置或者拆除城市生活垃圾处置设施、场所</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违反条款：第十三条；处罚条款：第四十一条，责令停止违法行为，限期改正，处以1万元以上10万元以下的罚款。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cs="宋体" w:asciiTheme="minorEastAsia" w:hAnsiTheme="minorEastAsia" w:eastAsiaTheme="minorEastAsia"/>
                <w:strike/>
                <w:dstrike w:val="0"/>
                <w:color w:val="auto"/>
                <w:kern w:val="0"/>
                <w:sz w:val="15"/>
                <w:szCs w:val="15"/>
                <w:highlight w:val="none"/>
                <w:lang w:eastAsia="zh-CN"/>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4</w:t>
            </w:r>
          </w:p>
        </w:tc>
        <w:tc>
          <w:tcPr>
            <w:tcW w:w="1500" w:type="dxa"/>
            <w:vMerge w:val="restart"/>
            <w:shd w:val="clear" w:color="auto" w:fill="auto"/>
            <w:vAlign w:val="center"/>
          </w:tcPr>
          <w:p>
            <w:pPr>
              <w:spacing w:line="200"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随意倾倒、抛洒、堆放城市生活垃圾</w:t>
            </w:r>
          </w:p>
        </w:tc>
        <w:tc>
          <w:tcPr>
            <w:tcW w:w="2789" w:type="dxa"/>
            <w:vMerge w:val="restart"/>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Batang" w:asciiTheme="minorEastAsia" w:hAnsiTheme="minorEastAsia" w:eastAsiaTheme="minorEastAsia"/>
                <w:color w:val="auto"/>
                <w:sz w:val="15"/>
                <w:szCs w:val="15"/>
                <w:highlight w:val="none"/>
                <w:lang w:val="en-US" w:eastAsia="zh-CN"/>
              </w:rPr>
              <w:t>1.污染道路</w:t>
            </w:r>
            <w:r>
              <w:rPr>
                <w:rFonts w:hint="eastAsia" w:cs="宋体" w:asciiTheme="minorEastAsia" w:hAnsiTheme="minorEastAsia" w:eastAsiaTheme="minorEastAsia"/>
                <w:color w:val="auto"/>
                <w:kern w:val="0"/>
                <w:sz w:val="15"/>
                <w:szCs w:val="15"/>
                <w:highlight w:val="none"/>
                <w:lang w:eastAsia="zh-CN"/>
              </w:rPr>
              <w:t>长度</w:t>
            </w:r>
            <w:r>
              <w:rPr>
                <w:rFonts w:hint="eastAsia" w:cs="宋体" w:asciiTheme="minorEastAsia" w:hAnsiTheme="minorEastAsia" w:eastAsiaTheme="minorEastAsia"/>
                <w:color w:val="auto"/>
                <w:kern w:val="0"/>
                <w:sz w:val="15"/>
                <w:szCs w:val="15"/>
                <w:highlight w:val="none"/>
              </w:rPr>
              <w:t>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p>
            <w:pPr>
              <w:spacing w:line="20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未经批准从事城市生活垃圾经营性清扫、收集、运输活动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未经批准从事城市生活垃圾经营性处置活动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从事城市生活垃圾经营性清扫、收集、运输的企业在运输过程中沿途丢弃、遗撒生活垃圾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违反条款：第二十一条第（三）项；处罚条款：第四十四条，责令停止违法行为，限期改正，处以5000元以上5万元以下的罚款。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2.随意丢弃、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从事城市生活垃圾经营性清扫、收集、运输的企业未履行规定义务</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违反条款：第二十条；处罚条款：第四十五条，责令限期改正，并可处以5000元以上3万元以下的罚款。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2-3，存在3种及以上情形的，系数为4-5；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对环境秩序造成较严重影响的，系数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从事城市生活垃圾经营性处置的企业未履行规定义务</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违反条款：第二十八条；处罚条款：第四十五条，责令限期改正，并可处以3万元以上10万元以下的罚款。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1，存在3种及以上情形的，系数为2-3；</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造成较严重影响的，系数</w:t>
            </w:r>
            <w:r>
              <w:rPr>
                <w:rFonts w:hint="eastAsia" w:asciiTheme="minorEastAsia" w:hAnsiTheme="minorEastAsia" w:eastAsiaTheme="minorEastAsia"/>
                <w:color w:val="auto"/>
                <w:sz w:val="15"/>
                <w:szCs w:val="15"/>
                <w:highlight w:val="none"/>
                <w:lang w:val="en-US" w:eastAsia="zh-CN"/>
              </w:rPr>
              <w:t>2-3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从事城市生活垃圾经营性清扫、收集、运输的企业未经批准擅自停业、歇业的</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违反条款：第二十一条第（二）项,第三十五条第一款；处罚条款：第四十六条，责令限期改正，并可处以1万元以上3万元以下罚款。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违法行为持续时间较长、造成较严重影响的，系数1-2</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从事城市生活垃圾经营性处置的企业未经批准擅自停业、歇业的</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违反条款：第三十五条第一款；处罚条款：第四十六条，责令限期改正，并可处以5万元以上10万元以下罚款。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14218" w:type="dxa"/>
            <w:gridSpan w:val="9"/>
            <w:shd w:val="clear" w:color="auto" w:fill="auto"/>
            <w:vAlign w:val="center"/>
          </w:tcPr>
          <w:p>
            <w:pPr>
              <w:pStyle w:val="5"/>
              <w:widowControl w:val="0"/>
              <w:spacing w:line="220" w:lineRule="exact"/>
              <w:jc w:val="center"/>
              <w:rPr>
                <w:rFonts w:asciiTheme="minorEastAsia" w:hAnsiTheme="minorEastAsia" w:eastAsiaTheme="minorEastAsia"/>
                <w:color w:val="auto"/>
                <w:sz w:val="15"/>
                <w:szCs w:val="15"/>
                <w:highlight w:val="none"/>
              </w:rPr>
            </w:pPr>
            <w:bookmarkStart w:id="13" w:name="_Toc110851439"/>
            <w:bookmarkStart w:id="14" w:name="_Toc1544417110"/>
            <w:bookmarkStart w:id="15" w:name="_Toc1648294656"/>
            <w:r>
              <w:rPr>
                <w:rFonts w:hint="eastAsia" w:asciiTheme="minorEastAsia" w:hAnsiTheme="minorEastAsia" w:eastAsiaTheme="minorEastAsia"/>
                <w:color w:val="auto"/>
                <w:sz w:val="20"/>
                <w:szCs w:val="20"/>
                <w:highlight w:val="none"/>
              </w:rPr>
              <w:t>《城市建筑垃圾管理规定》案由11项</w:t>
            </w:r>
            <w:bookmarkEnd w:id="13"/>
            <w:bookmarkEnd w:id="14"/>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将建筑垃圾混入生活垃圾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违反条款：第九条；处罚条款：第二十条第一款第（一）项及第二款，责令限期改正，予以警告；对单位处3000元以下罚款；对个人处200元以下罚款。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将危险废物混入建筑垃圾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违反条款：第九条；处罚条款：第二十条第一款第（二）项及第二款，责令限期改正，予以警告；对单位处3000元以下罚款；对个人处200元以下罚款。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擅自设立弃置场受纳建筑垃圾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color w:val="auto"/>
                <w:highlight w:val="none"/>
              </w:rPr>
            </w:pPr>
            <w:r>
              <w:rPr>
                <w:rFonts w:hint="eastAsia" w:asciiTheme="minorEastAsia" w:hAnsiTheme="minorEastAsia" w:eastAsiaTheme="minorEastAsia"/>
                <w:color w:val="auto"/>
                <w:sz w:val="15"/>
                <w:szCs w:val="15"/>
                <w:highlight w:val="none"/>
              </w:rPr>
              <w:t>违法行为持续时间较长、造成较严重影响的，系数1。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b/>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建筑垃圾储运消纳场受纳工业垃圾、生活垃圾和有毒有害垃圾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违反条款：第十条；处罚条款：第二十一条，责令限期改正，给予警告，处5000元以上1万元以下罚款。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未及时清运工程施工过程中产生的建筑垃圾造成环境污染</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违反条款：第十二条；处罚条款：第二十二条第一款，责令限期改正，给予警告，处5000元以上5万元以下罚款。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w:t>
            </w:r>
            <w:r>
              <w:rPr>
                <w:rFonts w:hint="eastAsia" w:cs="宋体" w:asciiTheme="minorEastAsia" w:hAnsiTheme="minorEastAsia" w:eastAsiaTheme="minorEastAsia"/>
                <w:color w:val="auto"/>
                <w:kern w:val="0"/>
                <w:sz w:val="15"/>
                <w:szCs w:val="15"/>
                <w:highlight w:val="none"/>
              </w:rPr>
              <w:t>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施工单位将建筑垃圾交给个人或者未经核准从事建筑垃圾运输的单位处置</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违反条款：第十三条；处罚条款：第二十二条第二款，责令限期改正，给予警告，处1万元以上10万元以下罚款。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pStyle w:val="2"/>
              <w:ind w:left="0" w:leftChars="0" w:firstLine="0" w:firstLineChars="0"/>
              <w:rPr>
                <w:rFonts w:hint="default"/>
                <w:strike/>
                <w:dstrike w:val="0"/>
                <w:color w:val="auto"/>
                <w:highlight w:val="none"/>
                <w:lang w:val="en-US" w:eastAsia="zh-CN"/>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处置建筑垃圾的单位在运输建筑垃圾过程中沿途丢弃、遗撒建筑垃圾</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违反条款：第十四条；处罚条款：第二十三条，责令限期改正，给予警告，处5000元以上5万元以下罚款。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3.建筑垃圾重量在4.5吨以下的，系数0；4.5-9吨的，系数1，以此类推，40.5吨及以上的，系数9；在面积和长度无法取证的情况下，可以适用此情形。4</w:t>
            </w:r>
            <w:r>
              <w:rPr>
                <w:rFonts w:hint="eastAsia" w:cs="宋体" w:asciiTheme="minorEastAsia" w:hAnsiTheme="minorEastAsia" w:eastAsiaTheme="minorEastAsia"/>
                <w:color w:val="auto"/>
                <w:kern w:val="0"/>
                <w:sz w:val="15"/>
                <w:szCs w:val="15"/>
                <w:highlight w:val="none"/>
              </w:rPr>
              <w:t>.随意丢弃、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涂改、倒卖、出租、出借或者以其它形式非法转让城市建筑垃圾处置核准文件</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违反条款：第八条；处罚条款：第二十四条，责令限期改正，给予警告，处5000元以上2万元以下罚款。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9"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vMerge w:val="restart"/>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未经核准擅自处置建筑垃圾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（施工单位）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asciiTheme="minorEastAsia" w:hAnsiTheme="minorEastAsia" w:eastAsiaTheme="minorEastAsia"/>
                <w:strike/>
                <w:color w:val="auto"/>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（建设、运输单位）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处置超出核准范围的建筑垃圾</w:t>
            </w:r>
          </w:p>
        </w:tc>
        <w:tc>
          <w:tcPr>
            <w:tcW w:w="2789"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1.违法行为持续时间较长、处置建筑垃圾量较大，系数1-3；2.造成环境秩序较严重影响的，系数4-9。</w:t>
            </w:r>
          </w:p>
        </w:tc>
        <w:tc>
          <w:tcPr>
            <w:tcW w:w="17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2"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8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（建设、运输单位）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违反条款：第十五条；处罚条款：第二十六条：责令限期改正，给予警告，并对单位处5000元以上5万元以下罚款，对个人处200元以下罚款。</w:t>
            </w: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.将垃圾</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9"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6" w:name="_Toc110851440"/>
            <w:bookmarkStart w:id="17" w:name="_Toc80602247"/>
            <w:bookmarkStart w:id="18" w:name="_Toc843432053"/>
            <w:r>
              <w:rPr>
                <w:rFonts w:hint="eastAsia" w:asciiTheme="minorEastAsia" w:hAnsiTheme="minorEastAsia" w:eastAsiaTheme="minorEastAsia"/>
                <w:color w:val="auto"/>
                <w:sz w:val="20"/>
                <w:szCs w:val="20"/>
                <w:highlight w:val="none"/>
              </w:rPr>
              <w:t>《中华人民共和国固体废物污染环境防治法》案由</w:t>
            </w:r>
            <w:r>
              <w:rPr>
                <w:rFonts w:asciiTheme="minorEastAsia" w:hAnsiTheme="minorEastAsia" w:eastAsiaTheme="minorEastAsia"/>
                <w:color w:val="auto"/>
                <w:sz w:val="20"/>
                <w:szCs w:val="20"/>
                <w:highlight w:val="none"/>
              </w:rPr>
              <w:t>10</w:t>
            </w:r>
            <w:r>
              <w:rPr>
                <w:rFonts w:hint="eastAsia" w:asciiTheme="minorEastAsia" w:hAnsiTheme="minorEastAsia" w:eastAsiaTheme="minorEastAsia"/>
                <w:color w:val="auto"/>
                <w:sz w:val="20"/>
                <w:szCs w:val="20"/>
                <w:highlight w:val="none"/>
              </w:rPr>
              <w:t>项</w:t>
            </w:r>
            <w:bookmarkEnd w:id="16"/>
            <w:bookmarkEnd w:id="17"/>
            <w:bookmark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4"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拒绝、阻扰固体废物污染环境防治监督检查或在接受监督检查时弄虚作假</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违反条款:第一百零三条;处罚条款：第一百零三条  责令改正，处五万元以上二十万元以下的罚款；对直接负责的主管人员和其他直接责任人员，处二万元以上十万元以下的罚款。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196"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r>
              <w:rPr>
                <w:rFonts w:asciiTheme="minorEastAsia" w:hAnsiTheme="minorEastAsia" w:eastAsiaTheme="minorEastAsia"/>
                <w:color w:val="auto"/>
                <w:sz w:val="15"/>
                <w:szCs w:val="15"/>
                <w:highlight w:val="none"/>
              </w:rPr>
              <w:t>主管人员或负责人）</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工程施工单位未编制建筑垃圾处理方案报备案</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违反条款：第六十三条第一款；处罚条款：第一百一十一条第一款第（三）项、第二款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6"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3</w:t>
            </w:r>
          </w:p>
        </w:tc>
        <w:tc>
          <w:tcPr>
            <w:tcW w:w="1500" w:type="dxa"/>
            <w:shd w:val="clear" w:color="auto" w:fill="auto"/>
            <w:vAlign w:val="center"/>
          </w:tcPr>
          <w:p>
            <w:pPr>
              <w:spacing w:line="196"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单位未在指定的地点分类投放生活垃圾情节</w:t>
            </w:r>
            <w:r>
              <w:rPr>
                <w:rFonts w:cs="宋体" w:asciiTheme="minorEastAsia" w:hAnsiTheme="minorEastAsia" w:eastAsiaTheme="minorEastAsia"/>
                <w:color w:val="auto"/>
                <w:sz w:val="15"/>
                <w:szCs w:val="15"/>
                <w:highlight w:val="none"/>
              </w:rPr>
              <w:t>严重</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违反条款：第四十九条第二款；</w:t>
            </w:r>
            <w:r>
              <w:rPr>
                <w:rFonts w:cs="宋体" w:asciiTheme="minorEastAsia" w:hAnsiTheme="minorEastAsia" w:eastAsiaTheme="minorEastAsia"/>
                <w:color w:val="auto"/>
                <w:sz w:val="15"/>
                <w:szCs w:val="15"/>
                <w:highlight w:val="none"/>
              </w:rPr>
              <w:t>处罚条款：</w:t>
            </w:r>
            <w:r>
              <w:rPr>
                <w:rFonts w:hint="eastAsia" w:cs="宋体" w:asciiTheme="minorEastAsia" w:hAnsiTheme="minorEastAsia" w:eastAsiaTheme="minorEastAsia"/>
                <w:color w:val="auto"/>
                <w:sz w:val="15"/>
                <w:szCs w:val="15"/>
                <w:highlight w:val="none"/>
              </w:rPr>
              <w:t>第一百一十一条第三款 责令</w:t>
            </w:r>
            <w:r>
              <w:rPr>
                <w:rFonts w:cs="宋体" w:asciiTheme="minorEastAsia" w:hAnsiTheme="minorEastAsia" w:eastAsiaTheme="minorEastAsia"/>
                <w:color w:val="auto"/>
                <w:sz w:val="15"/>
                <w:szCs w:val="15"/>
                <w:highlight w:val="none"/>
              </w:rPr>
              <w:t>改正；情节严重的</w:t>
            </w:r>
            <w:r>
              <w:rPr>
                <w:rFonts w:hint="eastAsia" w:cs="宋体" w:asciiTheme="minorEastAsia" w:hAnsiTheme="minorEastAsia" w:eastAsiaTheme="minorEastAsia"/>
                <w:color w:val="auto"/>
                <w:sz w:val="15"/>
                <w:szCs w:val="15"/>
                <w:highlight w:val="none"/>
              </w:rPr>
              <w:t>，对单位处五万元以上五十万元以下的罚款。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1．垃圾占地面积6－10㎡，系数1；</w:t>
            </w:r>
            <w:r>
              <w:rPr>
                <w:rFonts w:hint="eastAsia" w:asciiTheme="minorEastAsia" w:hAnsiTheme="minorEastAsia" w:eastAsiaTheme="minorEastAsia"/>
                <w:color w:val="auto"/>
                <w:sz w:val="15"/>
                <w:szCs w:val="15"/>
                <w:highlight w:val="none"/>
                <w:lang w:val="en-US" w:eastAsia="zh-CN"/>
              </w:rPr>
              <w:t>11-15</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rPr>
              <w:t>随意倾倒、丢弃、堆放至城市道路、绿地、林地、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196"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构成变量系数、常量系数情形的，视为”情节严重“</w:t>
            </w:r>
          </w:p>
          <w:p>
            <w:pPr>
              <w:pStyle w:val="10"/>
              <w:rPr>
                <w:rFonts w:hint="eastAsia" w:asciiTheme="minorEastAsia" w:hAnsiTheme="minorEastAsia" w:eastAsiaTheme="minorEastAsia"/>
                <w:color w:val="auto"/>
                <w:sz w:val="15"/>
                <w:szCs w:val="15"/>
                <w:highlight w:val="none"/>
                <w:lang w:eastAsia="zh-CN"/>
              </w:rPr>
            </w:pPr>
          </w:p>
          <w:p>
            <w:pPr>
              <w:pStyle w:val="29"/>
              <w:rPr>
                <w:rFonts w:hint="eastAsia"/>
                <w:color w:val="auto"/>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3" w:hRule="atLeast"/>
          <w:jc w:val="center"/>
        </w:trPr>
        <w:tc>
          <w:tcPr>
            <w:tcW w:w="940"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随意倾倒、抛撒或者堆放生活垃圾</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违反条款：第四十九条第二款；处罚条款：第一百一十一条第一款第（一）项、第二款，责令改正，没收违法所得</w:t>
            </w:r>
            <w:r>
              <w:rPr>
                <w:rFonts w:hint="eastAsia" w:asciiTheme="minorEastAsia" w:hAnsiTheme="minorEastAsia" w:eastAsiaTheme="minorEastAsia"/>
                <w:color w:val="0000FF"/>
                <w:sz w:val="15"/>
                <w:szCs w:val="15"/>
                <w:highlight w:val="none"/>
                <w:lang w:eastAsia="zh-CN"/>
              </w:rPr>
              <w:t>；</w:t>
            </w:r>
            <w:r>
              <w:rPr>
                <w:rFonts w:hint="eastAsia" w:asciiTheme="minorEastAsia" w:hAnsiTheme="minorEastAsia" w:eastAsiaTheme="minorEastAsia"/>
                <w:color w:val="auto"/>
                <w:sz w:val="15"/>
                <w:szCs w:val="15"/>
                <w:highlight w:val="none"/>
              </w:rPr>
              <w:t>单位有前款第一项、第七项行为之一，处五万元以上五十万元以下的罚款；……个人有前款第一项、第五项、第七项行为之一，处一百元以上五百元以下的罚款。</w:t>
            </w: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垃圾占地面积在5</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下的，系数</w:t>
            </w:r>
            <w:r>
              <w:rPr>
                <w:rFonts w:hint="eastAsia" w:asciiTheme="minorEastAsia" w:hAnsiTheme="minorEastAsia" w:eastAsiaTheme="minorEastAsia"/>
                <w:color w:val="auto"/>
                <w:sz w:val="15"/>
                <w:szCs w:val="15"/>
                <w:highlight w:val="none"/>
              </w:rPr>
              <w:t>0；6－10</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1；以此类推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5" w:hRule="atLeast"/>
          <w:jc w:val="center"/>
        </w:trPr>
        <w:tc>
          <w:tcPr>
            <w:tcW w:w="940" w:type="dxa"/>
            <w:vMerge w:val="continue"/>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continue"/>
            <w:shd w:val="clear" w:color="auto" w:fill="auto"/>
          </w:tcPr>
          <w:p>
            <w:pPr>
              <w:spacing w:line="190"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continue"/>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75" w:hRule="atLeast"/>
          <w:jc w:val="center"/>
        </w:trPr>
        <w:tc>
          <w:tcPr>
            <w:tcW w:w="940" w:type="dxa"/>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5</w:t>
            </w:r>
          </w:p>
        </w:tc>
        <w:tc>
          <w:tcPr>
            <w:tcW w:w="1500"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擅自关闭、闲置或者拆除生活垃圾处理设施、场所</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违反条款：第五十五条第三款；处罚条款：第一百一十一条第一款第（二）项、第二款，责令</w:t>
            </w:r>
            <w:r>
              <w:rPr>
                <w:rFonts w:asciiTheme="minorEastAsia" w:hAnsiTheme="minorEastAsia" w:eastAsiaTheme="minorEastAsia"/>
                <w:color w:val="auto"/>
                <w:sz w:val="15"/>
                <w:szCs w:val="15"/>
                <w:highlight w:val="none"/>
              </w:rPr>
              <w:t>改正，没收违法所得，</w:t>
            </w:r>
            <w:r>
              <w:rPr>
                <w:rFonts w:hint="eastAsia" w:asciiTheme="minorEastAsia" w:hAnsiTheme="minorEastAsia" w:eastAsiaTheme="minorEastAsia"/>
                <w:color w:val="auto"/>
                <w:sz w:val="15"/>
                <w:szCs w:val="15"/>
                <w:highlight w:val="none"/>
              </w:rPr>
              <w:t>对单位处十万元以上一百万元以下的罚款。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190"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工程施工单位未及时清运施工过程中产生的固体废物</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工程施工单位擅自倾倒、抛撒或者堆放工程施工过程中产生的建筑垃圾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违反条款：第六十三条第三款；处罚条款：第一百一十一条第一款第（四）项、第二款责令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b/>
                <w:bCs/>
                <w:color w:val="auto"/>
                <w:sz w:val="15"/>
                <w:szCs w:val="15"/>
                <w:highlight w:val="none"/>
                <w:lang w:val="en-US" w:eastAsia="zh-CN"/>
              </w:rPr>
              <w:t>2</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的，系数为</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系数</w:t>
            </w:r>
            <w:r>
              <w:rPr>
                <w:rFonts w:asciiTheme="minorEastAsia" w:hAnsiTheme="minorEastAsia" w:eastAsiaTheme="minorEastAsia"/>
                <w:b w:val="0"/>
                <w:bCs w:val="0"/>
                <w:color w:val="auto"/>
                <w:sz w:val="15"/>
                <w:szCs w:val="15"/>
                <w:highlight w:val="none"/>
              </w:rPr>
              <w:t>为</w:t>
            </w:r>
            <w:r>
              <w:rPr>
                <w:rFonts w:hint="eastAsia" w:asciiTheme="minorEastAsia" w:hAnsiTheme="minorEastAsia" w:eastAsiaTheme="minorEastAsia"/>
                <w:b w:val="0"/>
                <w:bCs w:val="0"/>
                <w:color w:val="auto"/>
                <w:sz w:val="15"/>
                <w:szCs w:val="15"/>
                <w:highlight w:val="none"/>
              </w:rPr>
              <w:t>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工程施工单位未按照规定对施工过程中产生的固体废物进行利用或者处置的</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违反条款：第六十三条第二款；处罚条款：第一百一十一条第一款第（四）项、第二款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w:t>
            </w:r>
            <w:r>
              <w:rPr>
                <w:rFonts w:cs="宋体" w:asciiTheme="minorEastAsia" w:hAnsiTheme="minorEastAsia" w:eastAsiaTheme="minorEastAsia"/>
                <w:color w:val="auto"/>
                <w:kern w:val="0"/>
                <w:sz w:val="15"/>
                <w:szCs w:val="15"/>
                <w:highlight w:val="none"/>
              </w:rPr>
              <w:t>利用或处置的固体废物</w:t>
            </w:r>
            <w:r>
              <w:rPr>
                <w:rFonts w:hint="eastAsia" w:cs="宋体" w:asciiTheme="minorEastAsia" w:hAnsiTheme="minorEastAsia" w:eastAsiaTheme="minorEastAsia"/>
                <w:color w:val="auto"/>
                <w:kern w:val="0"/>
                <w:sz w:val="15"/>
                <w:szCs w:val="15"/>
                <w:highlight w:val="none"/>
              </w:rPr>
              <w:t>占地面积10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7"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未将厨余垃圾交由具备相应资质条件的单位进行无害化处理</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违反条款：第五十七条第二款；处罚条款：第一百一十一条第一款第（五）项、第二款 责令改正，没收违法所得</w:t>
            </w:r>
            <w:r>
              <w:rPr>
                <w:rFonts w:hint="eastAsia" w:asciiTheme="minorEastAsia" w:hAnsiTheme="minorEastAsia" w:eastAsiaTheme="minorEastAsia"/>
                <w:color w:val="0000FF"/>
                <w:sz w:val="15"/>
                <w:szCs w:val="15"/>
                <w:highlight w:val="none"/>
                <w:lang w:eastAsia="zh-CN"/>
              </w:rPr>
              <w:t>；</w:t>
            </w:r>
            <w:r>
              <w:rPr>
                <w:rFonts w:hint="eastAsia" w:asciiTheme="minorEastAsia" w:hAnsiTheme="minorEastAsia" w:eastAsiaTheme="minorEastAsia"/>
                <w:color w:val="auto"/>
                <w:sz w:val="15"/>
                <w:szCs w:val="15"/>
                <w:highlight w:val="none"/>
              </w:rPr>
              <w:t>单位有前款第二项、第三项、第四项、第五项、第六项行为之一，处十万元以上一百万元以下的罚款；个人有前款第一项、第五项、第七项行为之一，处一百元以上五百元以下的罚款。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cs="宋体" w:asciiTheme="minorEastAsia" w:hAnsiTheme="minorEastAsia" w:eastAsiaTheme="minorEastAsia"/>
                <w:color w:val="auto"/>
                <w:spacing w:val="-4"/>
                <w:kern w:val="0"/>
                <w:sz w:val="15"/>
                <w:szCs w:val="15"/>
                <w:highlight w:val="none"/>
                <w:lang w:val="en-US" w:eastAsia="zh-CN"/>
              </w:rPr>
              <w:t>2-4</w:t>
            </w:r>
            <w:r>
              <w:rPr>
                <w:rFonts w:hint="eastAsia" w:cs="宋体" w:asciiTheme="minorEastAsia" w:hAnsiTheme="minorEastAsia" w:eastAsiaTheme="minorEastAsia"/>
                <w:color w:val="auto"/>
                <w:spacing w:val="-4"/>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运输过程中沿途丢弃、遗撒生活垃圾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违反条款：第二十条第一款；处罚条款：第一百一十一条第一款第（七）项、第二款，责令改正</w:t>
            </w:r>
            <w:r>
              <w:rPr>
                <w:rFonts w:asciiTheme="minorEastAsia" w:hAnsiTheme="minorEastAsia" w:eastAsiaTheme="minorEastAsia"/>
                <w:color w:val="auto"/>
                <w:sz w:val="15"/>
                <w:szCs w:val="15"/>
                <w:highlight w:val="none"/>
              </w:rPr>
              <w:t>，没收违法所得</w:t>
            </w:r>
            <w:r>
              <w:rPr>
                <w:rFonts w:hint="eastAsia" w:asciiTheme="minorEastAsia" w:hAnsiTheme="minorEastAsia" w:eastAsiaTheme="minorEastAsia"/>
                <w:color w:val="auto"/>
                <w:sz w:val="15"/>
                <w:szCs w:val="15"/>
                <w:highlight w:val="none"/>
              </w:rPr>
              <w:t>，对单位五万元以上五十万元以下的罚款；对个人处一百元以上五百元以下的罚款。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numPr>
                <w:ilvl w:val="0"/>
                <w:numId w:val="0"/>
              </w:numP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随意倾</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3-9</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numPr>
                <w:ilvl w:val="0"/>
                <w:numId w:val="0"/>
              </w:num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rPr>
              <w:t>；</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w:t>
            </w:r>
            <w:r>
              <w:rPr>
                <w:rFonts w:hint="eastAsia" w:asciiTheme="minorEastAsia" w:hAnsiTheme="minorEastAsia" w:eastAsiaTheme="minorEastAsia"/>
                <w:color w:val="auto"/>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9" w:name="_Toc110851441"/>
            <w:bookmarkStart w:id="20" w:name="_Toc812078872"/>
            <w:bookmarkStart w:id="21" w:name="_Toc1151600262"/>
            <w:r>
              <w:rPr>
                <w:rFonts w:hint="eastAsia" w:asciiTheme="minorEastAsia" w:hAnsiTheme="minorEastAsia" w:eastAsiaTheme="minorEastAsia"/>
                <w:color w:val="auto"/>
                <w:sz w:val="20"/>
                <w:szCs w:val="20"/>
                <w:highlight w:val="none"/>
              </w:rPr>
              <w:t>《北京市“门前三包”责任制管理办法》案由1项</w:t>
            </w:r>
            <w:bookmarkEnd w:id="19"/>
            <w:bookmarkEnd w:id="20"/>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未落实“门前三包”责任制</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违反条款：第三条第（一）项、第（二）项、第（三）项；处罚条款：第八条，对违反本办法的单位应当责令改正，并视情节轻重，处200元以上1000元以下的罚款，并对单位负责人处20元以上50元以下的罚款。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 xml:space="preserve"> </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（对单位负责人）</w:t>
            </w: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对单位责任人的罚款，由执法部门酌情决定；单位是个体户的，仅处罚单位即可。</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2" w:name="_Toc1567388814"/>
            <w:bookmarkStart w:id="23" w:name="_Toc110851442"/>
            <w:bookmarkStart w:id="24" w:name="_Toc1842550281"/>
            <w:r>
              <w:rPr>
                <w:rFonts w:hint="eastAsia" w:asciiTheme="minorEastAsia" w:hAnsiTheme="minorEastAsia" w:eastAsiaTheme="minorEastAsia"/>
                <w:color w:val="auto"/>
                <w:sz w:val="20"/>
                <w:szCs w:val="20"/>
                <w:highlight w:val="none"/>
              </w:rPr>
              <w:t>《北京市人民政府关于扫雪铲冰管理的规定》案由1项</w:t>
            </w:r>
            <w:bookmarkEnd w:id="22"/>
            <w:bookmarkEnd w:id="23"/>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未按规定扫雪铲冰</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违反条款：第三条第一款、第二款；处罚条款：第六条，责令改正，并处200元以上1000元以下罚款。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9"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5" w:name="_Toc110851443"/>
            <w:bookmarkStart w:id="26" w:name="_Toc764526123"/>
            <w:bookmarkStart w:id="27" w:name="_Toc402666320"/>
            <w:r>
              <w:rPr>
                <w:rFonts w:hint="eastAsia" w:asciiTheme="minorEastAsia" w:hAnsiTheme="minorEastAsia" w:eastAsiaTheme="minorEastAsia"/>
                <w:color w:val="auto"/>
                <w:sz w:val="20"/>
                <w:szCs w:val="20"/>
                <w:highlight w:val="none"/>
              </w:rPr>
              <w:t>《北京市户外广告设施、牌匾标识和标语宣传品设置管理条例》案由14项</w:t>
            </w:r>
            <w:bookmarkEnd w:id="25"/>
            <w:bookmarkEnd w:id="26"/>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napToGrid w:val="0"/>
                <w:color w:val="auto"/>
                <w:kern w:val="32"/>
                <w:sz w:val="15"/>
                <w:szCs w:val="15"/>
                <w:highlight w:val="none"/>
              </w:rPr>
              <w:t>违法设置户外广告设施</w:t>
            </w:r>
          </w:p>
        </w:tc>
        <w:tc>
          <w:tcPr>
            <w:tcW w:w="2789"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违反条款：第十五条；第十六条第一款；第十七条；第十八条第三款；第二十四条；第二十五条；</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　</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hint="eastAsia" w:asciiTheme="minorEastAsia" w:hAnsiTheme="minorEastAsia" w:eastAsiaTheme="minorEastAsia"/>
                <w:strike/>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为违法设置的户外广告设施提供载体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w:t>
            </w:r>
            <w:r>
              <w:rPr>
                <w:rFonts w:asciiTheme="minorEastAsia" w:hAnsiTheme="minorEastAsia" w:eastAsiaTheme="minorEastAsia"/>
                <w:color w:val="auto"/>
                <w:sz w:val="15"/>
                <w:szCs w:val="15"/>
                <w:highlight w:val="none"/>
              </w:rPr>
              <w:t>十八条第二款</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第四十九条第二款，</w:t>
            </w:r>
            <w:r>
              <w:rPr>
                <w:rFonts w:hint="eastAsia" w:asciiTheme="minorEastAsia" w:hAnsiTheme="minorEastAsia" w:eastAsiaTheme="minorEastAsia"/>
                <w:color w:val="auto"/>
                <w:sz w:val="15"/>
                <w:szCs w:val="15"/>
                <w:highlight w:val="none"/>
              </w:rPr>
              <w:t>责令限期改正；逾期不改正的，处一万元以上十万元以下罚款。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1.违法设置大型户外广告设施的，系数为2；2.违法设置距地十米以上的户外广告设施的，系数为2；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3.为2处违法设置户外广告设施提供载体的，系数为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违法设置固定式牌匾标识</w:t>
            </w:r>
          </w:p>
          <w:p>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违反条款：第三十条；第三十一条；第三十五条第二款；</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1.违法设置大型固定式牌匾标识的，系数为2；2.违法设置距地十米以上的固定式牌匾标识的，系数为2；3.违法设置2处牌匾标识的，系数为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cs="Times New Roman" w:asciiTheme="minorEastAsia" w:hAnsiTheme="minorEastAsia" w:eastAsiaTheme="minorEastAsia"/>
                <w:color w:val="auto"/>
                <w:kern w:val="2"/>
                <w:sz w:val="15"/>
                <w:szCs w:val="15"/>
                <w:highlight w:val="none"/>
                <w:lang w:val="en-US" w:eastAsia="zh-CN" w:bidi="ar-SA"/>
              </w:rPr>
              <w:t>大型固定式牌匾标识，是指任意边长大于等于四米，或者面积大于等于十平方米的牌匾标识。</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电子显示装置不符合设置规范（或者运行时间要求）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处罚条款：第五十条，责令限期改正；逾期不改正的，处一千元以上一万元以下罚款。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1.大型电子显示装置，系数为2；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2.距地十米以上的电子显示装置，系数为2。</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未按照公共汽电车车身户外广告设置方案设置户外广告</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在非公共汽电车车身上设置广告</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w:t>
            </w:r>
          </w:p>
          <w:p>
            <w:pPr>
              <w:spacing w:line="232" w:lineRule="exact"/>
              <w:rPr>
                <w:rFonts w:asciiTheme="minorEastAsia" w:hAnsiTheme="minorEastAsia" w:eastAsiaTheme="minorEastAsia"/>
                <w:color w:val="auto"/>
                <w:spacing w:val="-6"/>
                <w:sz w:val="15"/>
                <w:szCs w:val="15"/>
                <w:highlight w:val="none"/>
              </w:rPr>
            </w:pPr>
            <w:r>
              <w:rPr>
                <w:rFonts w:hint="eastAsia" w:asciiTheme="minorEastAsia" w:hAnsiTheme="minorEastAsia" w:eastAsiaTheme="minorEastAsia"/>
                <w:color w:val="auto"/>
                <w:spacing w:val="-6"/>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公交候车亭户外广告设施不符合设置方案</w:t>
            </w:r>
          </w:p>
          <w:p>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处罚条款：第五十二条，责令限期改正；逾期不改正的，按照每个公交候车亭五千元处以罚款。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罚款数额＝5000×N（N为公交候车亭数）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设置的车身标识不符合要求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处罚条款：第五十三条，责令限期改正；逾期不改正的，按照每辆车二千元处以罚款。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未经许可设置标语宣传品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设置标语宣传品不符合相关要求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违反条款：第三十七条、第三十八条、第三十九条；（根据不同情形选择适用）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所有人未履行安全管理责任</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违反条款：第四十条第一款第(一)项、第(三)项、第(四)项、第(五)项；（根据不同情形选择适用）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eastAsiaTheme="minorEastAsia"/>
                <w:color w:val="auto"/>
                <w:highlight w:val="none"/>
                <w:lang w:val="en-US"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系数为2；3.距地十米以上的户外广告设施、牌匾标识，系数为2。</w:t>
            </w:r>
            <w:r>
              <w:rPr>
                <w:rFonts w:hint="eastAsia" w:asciiTheme="minorEastAsia" w:hAnsiTheme="minorEastAsia" w:eastAsiaTheme="minorEastAsia"/>
                <w:color w:val="auto"/>
                <w:sz w:val="15"/>
                <w:szCs w:val="15"/>
                <w:highlight w:val="none"/>
                <w:lang w:val="en-US" w:eastAsia="zh-CN"/>
              </w:rPr>
              <w:t>4.其他存在严重安全隐患或者造成安全事故的，系数9。</w:t>
            </w:r>
          </w:p>
        </w:tc>
        <w:tc>
          <w:tcPr>
            <w:tcW w:w="17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未定期对大型（或者距地十米以上的）户外广告设施进行安全鉴定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处罚条款：第五十五条第二款，责令限期改正；逾期不改正的，按照违法设置户外广告设施的行为处理，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《北京市市容环境卫生条例》第三十八条第二款，责令限期拆除，逾期未拆除的，强制拆除，并可处1万元以上10万元以下罚款。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为2；2.因未安全鉴定引发户外广告设施掉落等行为影响公共安全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实施处罚援引法律依据时，应当同时援引《条例》第五十五条第二款，以及《北京市市容环境卫生条例》第三十八条第二款规定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未定期对大型（或者距地十米以上的）固定式牌匾标识进行安全鉴定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处罚条款：第五十五条第二款，责令限期改正；逾期不改正的，按照违法设置固定式牌匾标识的行为处理，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《北京市市容环境卫生条例》第三十九条第一款，责令限期改正，逾期不改正的，予以强制拆除，并可处500元以上5000元以下罚款。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1.设置在车站、机场、居民小区、医院、学校、体育场馆、影剧院、繁华商业街区、旅游景区等人口集中地区的，系数为2；2.因未安全鉴定引发牌匾标识掉落等行为影响公共安全的，系数为9。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实施处罚援引法律依据时，应当同时援引《条例》第五十五条第二款，以及《北京市市容环境卫生条例》第三十九条第一款规定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所有人未履行日常维护责任</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违反条款：第四十一条第(一)项、第（二）项、第(三)项、第(四)项；（根据不同情形选择适用）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1.设置在环路、高（快）速路两侧，或者车站、机场、居民小区、医院、学校、体育场馆、影剧院、繁华商业街区、旅游景区等人口集中地区的，系数2；2.大型户外广告设施、固定式牌匾标识，变量系数为2；</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3.距地十米以上的户外广告设施、牌匾标识，变量系数为2。</w:t>
            </w:r>
          </w:p>
        </w:tc>
        <w:tc>
          <w:tcPr>
            <w:tcW w:w="17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8" w:name="_Toc110851445"/>
            <w:bookmarkStart w:id="29" w:name="_Toc295250662"/>
            <w:bookmarkStart w:id="30" w:name="_Toc934789775"/>
            <w:r>
              <w:rPr>
                <w:rFonts w:hint="eastAsia" w:asciiTheme="minorEastAsia" w:hAnsiTheme="minorEastAsia" w:eastAsiaTheme="minorEastAsia"/>
                <w:color w:val="auto"/>
                <w:sz w:val="21"/>
                <w:szCs w:val="21"/>
                <w:highlight w:val="none"/>
              </w:rPr>
              <w:t>《北京市标语宣传品设置管理规定》案由6项</w:t>
            </w:r>
            <w:bookmarkEnd w:id="28"/>
            <w:bookmarkEnd w:id="29"/>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标语宣传品含有商业广告内容</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改变固定宣传设施的使用性质用于商业广告</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未经批准设置标语宣传品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未按批准要求设置标语宣传品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未按规定管护宣传设施或者标语宣传品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车站、机场、居民小区、医院、学校、体育场馆、影剧院、繁华商业街区、旅游景区等人口集中地区的固定宣传设施不安全不牢固的，系数为5；上述区域污损、残缺的，系数为3。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未及时撤除标语宣传品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31" w:name="_Toc110851446"/>
            <w:bookmarkStart w:id="32" w:name="_Toc867089699"/>
            <w:bookmarkStart w:id="33" w:name="_Toc2072230684"/>
            <w:r>
              <w:rPr>
                <w:rFonts w:hint="eastAsia" w:asciiTheme="minorEastAsia" w:hAnsiTheme="minorEastAsia" w:eastAsiaTheme="minorEastAsia"/>
                <w:color w:val="auto"/>
                <w:sz w:val="21"/>
                <w:szCs w:val="21"/>
                <w:highlight w:val="none"/>
              </w:rPr>
              <w:t>《北京市城市道路和公共场所环境卫生管理若干规定》案由7项</w:t>
            </w:r>
            <w:bookmarkEnd w:id="31"/>
            <w:bookmarkEnd w:id="32"/>
            <w:bookmarkEnd w:id="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未按规定清扫保洁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根据实际情况，选择对应款项。</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不及时清理果皮箱、垃圾箱</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未保持果皮箱、垃圾箱箱体整洁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果皮箱、垃圾箱周围严重脏乱</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公共设施管护作业（绿化作业）未按规定清除废弃物</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违反条款：第七条第二款；处罚条款：第十条第（三）项，责令限期清理，并可处500元以上5000元以下罚款。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未做好施工期间压尘和清扫保洁</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建设工程竣工后未及时清除弃物弃料、围挡</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w:t>
            </w:r>
            <w:r>
              <w:rPr>
                <w:rFonts w:hint="eastAsia" w:cs="宋体" w:asciiTheme="minorEastAsia" w:hAnsiTheme="minorEastAsia" w:eastAsiaTheme="minorEastAsia"/>
                <w:color w:val="auto"/>
                <w:kern w:val="0"/>
                <w:sz w:val="15"/>
                <w:szCs w:val="15"/>
                <w:highlight w:val="none"/>
                <w:lang w:eastAsia="zh-CN"/>
              </w:rPr>
              <w:t>围挡</w:t>
            </w:r>
            <w:r>
              <w:rPr>
                <w:rFonts w:hint="eastAsia" w:cs="宋体" w:asciiTheme="minorEastAsia" w:hAnsiTheme="minorEastAsia" w:eastAsiaTheme="minorEastAsia"/>
                <w:color w:val="auto"/>
                <w:kern w:val="0"/>
                <w:sz w:val="15"/>
                <w:szCs w:val="15"/>
                <w:highlight w:val="none"/>
              </w:rPr>
              <w:t>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5" w:hRule="atLeast"/>
          <w:jc w:val="center"/>
        </w:trPr>
        <w:tc>
          <w:tcPr>
            <w:tcW w:w="14218" w:type="dxa"/>
            <w:gridSpan w:val="9"/>
            <w:shd w:val="clear" w:color="auto" w:fill="auto"/>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2"/>
                <w:rFonts w:asciiTheme="minorEastAsia" w:hAnsiTheme="minorEastAsia" w:eastAsiaTheme="minorEastAsia"/>
                <w:color w:val="auto"/>
                <w:sz w:val="15"/>
                <w:szCs w:val="15"/>
                <w:highlight w:val="none"/>
              </w:rPr>
            </w:pPr>
            <w:bookmarkStart w:id="34" w:name="_Toc110851447"/>
            <w:bookmarkStart w:id="35" w:name="_Toc203612924"/>
            <w:bookmarkStart w:id="36" w:name="_Toc660874911"/>
            <w:r>
              <w:rPr>
                <w:rStyle w:val="32"/>
                <w:rFonts w:hint="eastAsia" w:asciiTheme="minorEastAsia" w:hAnsiTheme="minorEastAsia" w:eastAsiaTheme="minorEastAsia"/>
                <w:color w:val="auto"/>
                <w:sz w:val="21"/>
                <w:szCs w:val="21"/>
                <w:highlight w:val="none"/>
              </w:rPr>
              <w:t>《北京市建筑</w:t>
            </w:r>
            <w:r>
              <w:rPr>
                <w:rStyle w:val="32"/>
                <w:rFonts w:asciiTheme="minorEastAsia" w:hAnsiTheme="minorEastAsia" w:eastAsiaTheme="minorEastAsia"/>
                <w:color w:val="auto"/>
                <w:sz w:val="21"/>
                <w:szCs w:val="21"/>
                <w:highlight w:val="none"/>
              </w:rPr>
              <w:t>垃圾处置管理规定</w:t>
            </w:r>
            <w:r>
              <w:rPr>
                <w:rStyle w:val="32"/>
                <w:rFonts w:hint="eastAsia" w:asciiTheme="minorEastAsia" w:hAnsiTheme="minorEastAsia" w:eastAsiaTheme="minorEastAsia"/>
                <w:color w:val="auto"/>
                <w:sz w:val="21"/>
                <w:szCs w:val="21"/>
                <w:highlight w:val="none"/>
              </w:rPr>
              <w:t>》案由</w:t>
            </w:r>
            <w:r>
              <w:rPr>
                <w:rStyle w:val="32"/>
                <w:rFonts w:asciiTheme="minorEastAsia" w:hAnsiTheme="minorEastAsia" w:eastAsiaTheme="minorEastAsia"/>
                <w:color w:val="auto"/>
                <w:sz w:val="21"/>
                <w:szCs w:val="21"/>
                <w:highlight w:val="none"/>
              </w:rPr>
              <w:t>24</w:t>
            </w:r>
            <w:r>
              <w:rPr>
                <w:rStyle w:val="32"/>
                <w:rFonts w:hint="eastAsia" w:asciiTheme="minorEastAsia" w:hAnsiTheme="minorEastAsia" w:eastAsiaTheme="minorEastAsia"/>
                <w:color w:val="auto"/>
                <w:sz w:val="21"/>
                <w:szCs w:val="21"/>
                <w:highlight w:val="none"/>
              </w:rPr>
              <w:t>项</w:t>
            </w:r>
            <w:bookmarkEnd w:id="34"/>
          </w:p>
          <w:bookmarkEnd w:id="35"/>
          <w:bookmarkEnd w:id="36"/>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 责令限期改正，给予警告，对单位处10万元以上100万元以下罚款，对产生建筑垃圾的个人处200元以下罚款。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b w:val="0"/>
                <w:bCs w:val="0"/>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w:t>
            </w:r>
            <w:r>
              <w:rPr>
                <w:rFonts w:hint="default"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区域台帐与倾倒、抛撒、堆放点位重叠时，系数不累加计算。</w:t>
            </w:r>
          </w:p>
          <w:p>
            <w:pPr>
              <w:pStyle w:val="10"/>
              <w:rPr>
                <w:rFonts w:hint="eastAsia"/>
                <w:color w:val="auto"/>
                <w:highlight w:val="none"/>
                <w:lang w:eastAsia="zh-CN"/>
              </w:rPr>
            </w:pPr>
          </w:p>
          <w:p>
            <w:pPr>
              <w:pStyle w:val="10"/>
              <w:rPr>
                <w:color w:val="auto"/>
                <w:highlight w:val="none"/>
              </w:rPr>
            </w:pPr>
          </w:p>
        </w:tc>
        <w:tc>
          <w:tcPr>
            <w:tcW w:w="824" w:type="dxa"/>
            <w:vMerge w:val="restart"/>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8" w:hRule="atLeast"/>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建筑垃圾与其他</w:t>
            </w:r>
            <w:r>
              <w:rPr>
                <w:rFonts w:asciiTheme="minorEastAsia" w:hAnsiTheme="minorEastAsia" w:eastAsiaTheme="minorEastAsia"/>
                <w:color w:val="auto"/>
                <w:sz w:val="15"/>
                <w:szCs w:val="15"/>
                <w:highlight w:val="none"/>
              </w:rPr>
              <w:t>生活垃圾</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危险</w:t>
            </w:r>
            <w:r>
              <w:rPr>
                <w:rFonts w:hint="eastAsia" w:asciiTheme="minorEastAsia" w:hAnsiTheme="minorEastAsia" w:eastAsiaTheme="minorEastAsia"/>
                <w:color w:val="auto"/>
                <w:sz w:val="15"/>
                <w:szCs w:val="15"/>
                <w:highlight w:val="none"/>
              </w:rPr>
              <w:t>废物</w:t>
            </w:r>
            <w:r>
              <w:rPr>
                <w:rFonts w:asciiTheme="minorEastAsia" w:hAnsiTheme="minorEastAsia" w:eastAsiaTheme="minorEastAsia"/>
                <w:color w:val="auto"/>
                <w:sz w:val="15"/>
                <w:szCs w:val="15"/>
                <w:highlight w:val="none"/>
              </w:rPr>
              <w:t>混合</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第六条第二款；</w:t>
            </w:r>
            <w:r>
              <w:rPr>
                <w:rFonts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w:t>
            </w:r>
            <w:r>
              <w:rPr>
                <w:rFonts w:asciiTheme="minorEastAsia" w:hAnsiTheme="minorEastAsia" w:eastAsiaTheme="minorEastAsia"/>
                <w:color w:val="auto"/>
                <w:sz w:val="15"/>
                <w:szCs w:val="15"/>
                <w:highlight w:val="none"/>
              </w:rPr>
              <w:t>四条第三款</w:t>
            </w:r>
            <w:r>
              <w:rPr>
                <w:rFonts w:hint="eastAsia" w:asciiTheme="minorEastAsia" w:hAnsiTheme="minorEastAsia" w:eastAsiaTheme="minorEastAsia"/>
                <w:color w:val="auto"/>
                <w:sz w:val="15"/>
                <w:szCs w:val="15"/>
                <w:highlight w:val="none"/>
              </w:rPr>
              <w:t xml:space="preserve"> 责令立即改正，处1000元罚款；再次违反规定的，处1万元以上5万元以下罚款。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（单位初次</w:t>
            </w:r>
            <w:r>
              <w:rPr>
                <w:rFonts w:asciiTheme="minorEastAsia" w:hAnsiTheme="minorEastAsia" w:eastAsiaTheme="minorEastAsia"/>
                <w:color w:val="auto"/>
                <w:sz w:val="15"/>
                <w:szCs w:val="15"/>
                <w:highlight w:val="none"/>
              </w:rPr>
              <w:t>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w:t>
            </w:r>
            <w:r>
              <w:rPr>
                <w:rFonts w:asciiTheme="minorEastAsia" w:hAnsiTheme="minorEastAsia" w:eastAsiaTheme="minorEastAsia"/>
                <w:color w:val="auto"/>
                <w:sz w:val="15"/>
                <w:szCs w:val="15"/>
                <w:highlight w:val="none"/>
              </w:rPr>
              <w:t>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（单位</w:t>
            </w:r>
            <w:r>
              <w:rPr>
                <w:rFonts w:asciiTheme="minorEastAsia" w:hAnsiTheme="minorEastAsia" w:eastAsiaTheme="minorEastAsia"/>
                <w:color w:val="auto"/>
                <w:sz w:val="15"/>
                <w:szCs w:val="15"/>
                <w:highlight w:val="none"/>
              </w:rPr>
              <w:t>再次违反）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.建筑垃圾混合危险废物的，系数为2；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.建筑垃圾同时混合生活垃圾、危险废物，系数为3；</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违法事件持续较长，建筑垃圾与其他生活垃圾、危险废物混合产生量较大，造成环境秩序较严重影响的，系数为4</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曾因此违法行为受到过行政处罚，再次违反的适用此情形。</w:t>
            </w:r>
          </w:p>
        </w:tc>
        <w:tc>
          <w:tcPr>
            <w:tcW w:w="824" w:type="dxa"/>
            <w:vMerge w:val="restart"/>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处罚条款：第三十四条第四款 给予书面警告，再次违反规定的，处50元以上200元以下罚款。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警告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个人初次</w:t>
            </w:r>
            <w:r>
              <w:rPr>
                <w:rFonts w:asciiTheme="minorEastAsia" w:hAnsiTheme="minorEastAsia" w:eastAsiaTheme="minorEastAsia"/>
                <w:color w:val="auto"/>
                <w:sz w:val="15"/>
                <w:szCs w:val="15"/>
                <w:highlight w:val="none"/>
              </w:rPr>
              <w:t>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个人拒不听从生活垃圾分类管理责任人劝阻，且拒不改正的，适用此情形。初次违反的，书面警告。</w:t>
            </w:r>
          </w:p>
        </w:tc>
        <w:tc>
          <w:tcPr>
            <w:tcW w:w="824"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r>
              <w:rPr>
                <w:rFonts w:asciiTheme="minorEastAsia" w:hAnsiTheme="minorEastAsia" w:eastAsiaTheme="minorEastAsia"/>
                <w:color w:val="auto"/>
                <w:sz w:val="15"/>
                <w:szCs w:val="15"/>
                <w:highlight w:val="none"/>
              </w:rPr>
              <w:t>再次违反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个人拒不听从生活垃圾分类管理责任人劝阻，且拒不改正的，适用此情形。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2.曾因此违法行为受过到行政处罚，再次违反的适用此情形。</w:t>
            </w:r>
          </w:p>
        </w:tc>
        <w:tc>
          <w:tcPr>
            <w:tcW w:w="824"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生活垃圾</w:t>
            </w:r>
            <w:r>
              <w:rPr>
                <w:rFonts w:asciiTheme="minorEastAsia" w:hAnsiTheme="minorEastAsia" w:eastAsiaTheme="minorEastAsia"/>
                <w:color w:val="auto"/>
                <w:sz w:val="15"/>
                <w:szCs w:val="15"/>
                <w:highlight w:val="none"/>
              </w:rPr>
              <w:t>分类管理</w:t>
            </w:r>
            <w:r>
              <w:rPr>
                <w:rFonts w:hint="eastAsia" w:asciiTheme="minorEastAsia" w:hAnsiTheme="minorEastAsia" w:eastAsiaTheme="minorEastAsia"/>
                <w:color w:val="auto"/>
                <w:sz w:val="15"/>
                <w:szCs w:val="15"/>
                <w:highlight w:val="none"/>
                <w:shd w:val="clear" w:fill="FF0000"/>
                <w:lang w:eastAsia="zh-CN"/>
              </w:rPr>
              <w:t>责任</w:t>
            </w:r>
            <w:r>
              <w:rPr>
                <w:rFonts w:asciiTheme="minorEastAsia" w:hAnsiTheme="minorEastAsia" w:eastAsiaTheme="minorEastAsia"/>
                <w:color w:val="auto"/>
                <w:sz w:val="15"/>
                <w:szCs w:val="15"/>
                <w:highlight w:val="none"/>
              </w:rPr>
              <w:t>人</w:t>
            </w:r>
            <w:r>
              <w:rPr>
                <w:rFonts w:hint="eastAsia" w:asciiTheme="minorEastAsia" w:hAnsiTheme="minorEastAsia" w:eastAsiaTheme="minorEastAsia"/>
                <w:color w:val="auto"/>
                <w:sz w:val="15"/>
                <w:szCs w:val="15"/>
                <w:highlight w:val="none"/>
              </w:rPr>
              <w:t>对居民装饰装修产生的建筑垃圾未制定治理方案</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对环境造成影响的</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6-9。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30</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1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w:t>
            </w:r>
            <w:r>
              <w:rPr>
                <w:rFonts w:asciiTheme="minorEastAsia" w:hAnsiTheme="minorEastAsia" w:eastAsiaTheme="minorEastAsia"/>
                <w:color w:val="auto"/>
                <w:sz w:val="15"/>
                <w:szCs w:val="15"/>
                <w:highlight w:val="none"/>
              </w:rPr>
              <w:t>垃圾分类管理责任人</w:t>
            </w:r>
            <w:r>
              <w:rPr>
                <w:rFonts w:hint="eastAsia" w:asciiTheme="minorEastAsia" w:hAnsiTheme="minorEastAsia" w:eastAsiaTheme="minorEastAsia"/>
                <w:color w:val="auto"/>
                <w:sz w:val="15"/>
                <w:szCs w:val="15"/>
                <w:highlight w:val="none"/>
              </w:rPr>
              <w:t>未明确建筑垃圾投放规范、时间和地点、监督投诉方式等事项</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，但明确</w:t>
            </w:r>
            <w:r>
              <w:rPr>
                <w:rFonts w:asciiTheme="minorEastAsia" w:hAnsiTheme="minorEastAsia" w:eastAsiaTheme="minorEastAsia"/>
                <w:color w:val="auto"/>
                <w:sz w:val="15"/>
                <w:szCs w:val="15"/>
                <w:highlight w:val="none"/>
              </w:rPr>
              <w:t>事项造成缺项，系数为</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明确</w:t>
            </w:r>
            <w:r>
              <w:rPr>
                <w:rFonts w:asciiTheme="minorEastAsia" w:hAnsiTheme="minorEastAsia" w:eastAsiaTheme="minorEastAsia"/>
                <w:color w:val="auto"/>
                <w:sz w:val="15"/>
                <w:szCs w:val="15"/>
                <w:highlight w:val="none"/>
              </w:rPr>
              <w:t>事项造成缺项，且对环境</w:t>
            </w:r>
            <w:r>
              <w:rPr>
                <w:rFonts w:hint="eastAsia" w:asciiTheme="minorEastAsia" w:hAnsiTheme="minorEastAsia" w:eastAsiaTheme="minorEastAsia"/>
                <w:color w:val="auto"/>
                <w:sz w:val="15"/>
                <w:szCs w:val="15"/>
                <w:highlight w:val="none"/>
              </w:rPr>
              <w:t>秩序</w:t>
            </w:r>
            <w:r>
              <w:rPr>
                <w:rFonts w:asciiTheme="minorEastAsia" w:hAnsiTheme="minorEastAsia" w:eastAsiaTheme="minorEastAsia"/>
                <w:color w:val="auto"/>
                <w:sz w:val="15"/>
                <w:szCs w:val="15"/>
                <w:highlight w:val="none"/>
              </w:rPr>
              <w:t>造成影响的，系数为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；3.要素</w:t>
            </w:r>
            <w:r>
              <w:rPr>
                <w:rFonts w:asciiTheme="minorEastAsia" w:hAnsiTheme="minorEastAsia" w:eastAsiaTheme="minorEastAsia"/>
                <w:color w:val="auto"/>
                <w:sz w:val="15"/>
                <w:szCs w:val="15"/>
                <w:highlight w:val="none"/>
              </w:rPr>
              <w:t>全部缺失</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对环境秩序造成</w:t>
            </w:r>
            <w:r>
              <w:rPr>
                <w:rFonts w:hint="eastAsia" w:asciiTheme="minorEastAsia" w:hAnsiTheme="minorEastAsia" w:eastAsiaTheme="minorEastAsia"/>
                <w:color w:val="auto"/>
                <w:sz w:val="15"/>
                <w:szCs w:val="15"/>
                <w:highlight w:val="none"/>
              </w:rPr>
              <w:t>较</w:t>
            </w:r>
            <w:r>
              <w:rPr>
                <w:rFonts w:asciiTheme="minorEastAsia" w:hAnsiTheme="minorEastAsia" w:eastAsiaTheme="minorEastAsia"/>
                <w:color w:val="auto"/>
                <w:sz w:val="15"/>
                <w:szCs w:val="15"/>
                <w:highlight w:val="none"/>
              </w:rPr>
              <w:t>严重影响的，系数为</w:t>
            </w:r>
            <w:r>
              <w:rPr>
                <w:rFonts w:hint="eastAsia" w:asciiTheme="minorEastAsia" w:hAnsiTheme="minorEastAsia" w:eastAsiaTheme="minorEastAsia"/>
                <w:color w:val="auto"/>
                <w:sz w:val="15"/>
                <w:szCs w:val="15"/>
                <w:highlight w:val="none"/>
              </w:rPr>
              <w:t>5</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罚款数额＝3000×（1＋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建设单位（或生活垃圾分类管理责任人）委托他人</w:t>
            </w:r>
            <w:r>
              <w:rPr>
                <w:rFonts w:asciiTheme="minorEastAsia" w:hAnsiTheme="minorEastAsia" w:eastAsiaTheme="minorEastAsia"/>
                <w:color w:val="auto"/>
                <w:sz w:val="15"/>
                <w:szCs w:val="15"/>
                <w:highlight w:val="none"/>
              </w:rPr>
              <w:t>处置建筑垃圾未选择有资质的运输服务单位</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第十三条第一款第(二)项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第三十六条 责令立即改正，处以1万元以上10万元以下罚款。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生活垃圾分类管理责任单位（</w:t>
            </w:r>
            <w:r>
              <w:rPr>
                <w:rFonts w:hint="eastAsia" w:asciiTheme="minorEastAsia" w:hAnsiTheme="minorEastAsia" w:eastAsiaTheme="minorEastAsia"/>
                <w:color w:val="auto"/>
                <w:sz w:val="15"/>
                <w:szCs w:val="15"/>
                <w:highlight w:val="none"/>
              </w:rPr>
              <w:t>不含</w:t>
            </w:r>
            <w:r>
              <w:rPr>
                <w:rFonts w:asciiTheme="minorEastAsia" w:hAnsiTheme="minorEastAsia" w:eastAsiaTheme="minorEastAsia"/>
                <w:color w:val="auto"/>
                <w:sz w:val="15"/>
                <w:szCs w:val="15"/>
                <w:highlight w:val="none"/>
              </w:rPr>
              <w:t>建设单位）</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系数为0-2</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建设单位违反规定的，系数3；3.违法行为持续时间较长、建筑垃圾产生量较大、造成环境秩序较严重影响的，系数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未经许可擅自设置建筑垃圾消纳场所</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7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地核心保护区等依法确定的重点保护区域面积达到2亩的，系数为1，3亩的，系数为2，以此类推，面积8亩及以上的，系数为9；2.占用公共用地面积3-6亩（含3亩）的，系数为1，6-9亩（含6亩），系数为2，以此类推，面积24亩及以上的，系数为9；3.存在其他严重污染环境、破坏生态情形的，系数为5-9。</w:t>
            </w:r>
          </w:p>
          <w:p>
            <w:pPr>
              <w:pStyle w:val="10"/>
              <w:rPr>
                <w:rFonts w:hint="default"/>
                <w:color w:val="auto"/>
                <w:highlight w:val="none"/>
                <w:lang w:val="en-US" w:eastAsia="zh-CN"/>
              </w:rPr>
            </w:pPr>
          </w:p>
        </w:tc>
        <w:tc>
          <w:tcPr>
            <w:tcW w:w="1785"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或</w:t>
            </w:r>
            <w:r>
              <w:rPr>
                <w:rFonts w:asciiTheme="minorEastAsia" w:hAnsiTheme="minorEastAsia" w:eastAsiaTheme="minorEastAsia"/>
                <w:color w:val="auto"/>
                <w:sz w:val="15"/>
                <w:szCs w:val="15"/>
                <w:highlight w:val="none"/>
              </w:rPr>
              <w:t>临时处置点经营单位）</w:t>
            </w:r>
            <w:r>
              <w:rPr>
                <w:rFonts w:hint="eastAsia" w:asciiTheme="minorEastAsia" w:hAnsiTheme="minorEastAsia" w:eastAsiaTheme="minorEastAsia"/>
                <w:color w:val="auto"/>
                <w:sz w:val="15"/>
                <w:szCs w:val="15"/>
                <w:highlight w:val="none"/>
              </w:rPr>
              <w:t>未按照消纳处置协议的约定接收符合分类标准的建筑垃圾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第三十八条</w:t>
            </w:r>
            <w:r>
              <w:rPr>
                <w:rFonts w:asciiTheme="minorEastAsia" w:hAnsiTheme="minorEastAsia" w:eastAsiaTheme="minorEastAsia"/>
                <w:color w:val="auto"/>
                <w:sz w:val="15"/>
                <w:szCs w:val="15"/>
                <w:highlight w:val="none"/>
              </w:rPr>
              <w:t>第一款</w:t>
            </w:r>
            <w:r>
              <w:rPr>
                <w:rFonts w:hint="eastAsia" w:asciiTheme="minorEastAsia" w:hAnsiTheme="minorEastAsia" w:eastAsiaTheme="minorEastAsia"/>
                <w:color w:val="auto"/>
                <w:sz w:val="15"/>
                <w:szCs w:val="15"/>
                <w:highlight w:val="none"/>
              </w:rPr>
              <w:t xml:space="preserve"> 责令限期改正，处5万元以上10万元以下罚款，情节严重的，由城市管理综合执法部门吊销建筑垃圾消纳场所设置许可。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jc w:val="left"/>
              <w:rPr>
                <w:rFonts w:hint="default" w:cs="宋体" w:asciiTheme="minorEastAsia" w:hAnsiTheme="minorEastAsia" w:eastAsiaTheme="minorEastAsia"/>
                <w:b/>
                <w:bCs/>
                <w:color w:val="auto"/>
                <w:kern w:val="0"/>
                <w:sz w:val="15"/>
                <w:szCs w:val="15"/>
                <w:highlight w:val="none"/>
                <w:lang w:val="en-US" w:eastAsia="zh-CN"/>
              </w:rPr>
            </w:pPr>
            <w:r>
              <w:rPr>
                <w:rFonts w:hint="eastAsia" w:asciiTheme="minorEastAsia" w:hAnsiTheme="minorEastAsia" w:eastAsiaTheme="minorEastAsia"/>
                <w:color w:val="auto"/>
                <w:sz w:val="15"/>
                <w:szCs w:val="15"/>
                <w:highlight w:val="none"/>
                <w:lang w:eastAsia="zh-CN"/>
              </w:rPr>
              <w:t>造成</w:t>
            </w:r>
            <w:r>
              <w:rPr>
                <w:rFonts w:hint="eastAsia" w:asciiTheme="minorEastAsia" w:hAnsiTheme="minorEastAsia" w:eastAsiaTheme="minorEastAsia"/>
                <w:color w:val="auto"/>
                <w:sz w:val="15"/>
                <w:szCs w:val="15"/>
                <w:highlight w:val="none"/>
              </w:rPr>
              <w:t>较大环境污染或者社会影响的，系数为</w:t>
            </w:r>
            <w:r>
              <w:rPr>
                <w:rFonts w:hint="eastAsia" w:asciiTheme="minorEastAsia" w:hAnsiTheme="minorEastAsia" w:eastAsiaTheme="minorEastAsia"/>
                <w:color w:val="auto"/>
                <w:sz w:val="15"/>
                <w:szCs w:val="15"/>
                <w:highlight w:val="none"/>
                <w:lang w:val="en-US" w:eastAsia="zh-CN"/>
              </w:rPr>
              <w:t>1。</w:t>
            </w:r>
          </w:p>
        </w:tc>
        <w:tc>
          <w:tcPr>
            <w:tcW w:w="1785"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2"/>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建筑垃圾消纳场所（或临时处置点经营单位）未按照规定采取扬尘污染防治措施或者采取措施不当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第十七条第一款第(二)项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三十八条第二款</w:t>
            </w:r>
            <w:r>
              <w:rPr>
                <w:rFonts w:hint="eastAsia" w:asciiTheme="minorEastAsia" w:hAnsiTheme="minorEastAsia" w:eastAsiaTheme="minorEastAsia"/>
                <w:color w:val="auto"/>
                <w:sz w:val="15"/>
                <w:szCs w:val="15"/>
                <w:highlight w:val="none"/>
              </w:rPr>
              <w:t xml:space="preserve"> 责令限期改正，处1万元以上10万元以下罚款；逾期未改正的，责令停工整治或者停业整治。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1.产生较大环境污染或者社会影响的，系数为5-8；</w:t>
            </w:r>
          </w:p>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造成社会恶劣影响或者其它较严重后果的，系数为9。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w:t>
            </w:r>
            <w:r>
              <w:rPr>
                <w:rFonts w:asciiTheme="minorEastAsia" w:hAnsiTheme="minorEastAsia" w:eastAsiaTheme="minorEastAsia"/>
                <w:color w:val="auto"/>
                <w:sz w:val="15"/>
                <w:szCs w:val="15"/>
                <w:highlight w:val="none"/>
              </w:rPr>
              <w:t>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w:t>
            </w:r>
            <w:r>
              <w:rPr>
                <w:rFonts w:asciiTheme="minorEastAsia" w:hAnsiTheme="minorEastAsia" w:eastAsiaTheme="minorEastAsia"/>
                <w:color w:val="auto"/>
                <w:sz w:val="15"/>
                <w:szCs w:val="15"/>
                <w:highlight w:val="none"/>
              </w:rPr>
              <w:t>规定设置双向称重系统</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第十七条第一款第(三)项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三十八条第三款</w:t>
            </w:r>
            <w:r>
              <w:rPr>
                <w:rFonts w:hint="eastAsia" w:asciiTheme="minorEastAsia" w:hAnsiTheme="minorEastAsia" w:eastAsiaTheme="minorEastAsia"/>
                <w:color w:val="auto"/>
                <w:sz w:val="15"/>
                <w:szCs w:val="15"/>
                <w:highlight w:val="none"/>
              </w:rPr>
              <w:t xml:space="preserve">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1.持续时间5天及以下的，系数0；6-10天的，系数1；以此类推，21天及以上的，系数4。2.</w:t>
            </w:r>
            <w:r>
              <w:rPr>
                <w:rFonts w:hint="eastAsia" w:asciiTheme="minorEastAsia" w:hAnsiTheme="minorEastAsia" w:eastAsiaTheme="minorEastAsia"/>
                <w:color w:val="auto"/>
                <w:sz w:val="15"/>
                <w:szCs w:val="15"/>
                <w:highlight w:val="none"/>
              </w:rPr>
              <w:t>作业</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20亩以下</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w:t>
            </w:r>
            <w:r>
              <w:rPr>
                <w:rFonts w:asciiTheme="minorEastAsia" w:hAnsiTheme="minorEastAsia" w:eastAsiaTheme="minorEastAsia"/>
                <w:color w:val="auto"/>
                <w:sz w:val="15"/>
                <w:szCs w:val="15"/>
                <w:highlight w:val="none"/>
              </w:rPr>
              <w:t>40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50亩及以上的，系数为4</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作业场所面积：建筑垃圾消纳场所（临时处置点经营单位）的消纳、处置建筑垃圾的占地面积。可在“北京市建筑垃圾管理与服务平台”查询</w:t>
            </w:r>
            <w:r>
              <w:rPr>
                <w:rFonts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建筑垃圾消纳场所（或临时处置点经营单位）未保持双向称重系统正常运转</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建筑垃圾消纳场所（或临时处置点经营单位）未如实记录进出场的建筑垃圾运输车辆载重状况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w:t>
            </w:r>
            <w:r>
              <w:rPr>
                <w:rFonts w:asciiTheme="minorEastAsia" w:hAnsiTheme="minorEastAsia" w:eastAsiaTheme="minorEastAsia"/>
                <w:color w:val="auto"/>
                <w:sz w:val="15"/>
                <w:szCs w:val="15"/>
                <w:highlight w:val="none"/>
              </w:rPr>
              <w:t>作业场所</w:t>
            </w:r>
            <w:r>
              <w:rPr>
                <w:rFonts w:hint="eastAsia" w:asciiTheme="minorEastAsia" w:hAnsiTheme="minorEastAsia" w:eastAsiaTheme="minorEastAsia"/>
                <w:color w:val="auto"/>
                <w:sz w:val="15"/>
                <w:szCs w:val="15"/>
                <w:highlight w:val="none"/>
              </w:rPr>
              <w:t>未安装运输车辆识别装置（或扬尘污染实时监控装置）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十七条第一款第（</w:t>
            </w:r>
            <w:r>
              <w:rPr>
                <w:rFonts w:hint="eastAsia" w:asciiTheme="minorEastAsia" w:hAnsiTheme="minorEastAsia" w:eastAsiaTheme="minorEastAsia"/>
                <w:color w:val="auto"/>
                <w:sz w:val="15"/>
                <w:szCs w:val="15"/>
                <w:highlight w:val="none"/>
              </w:rPr>
              <w:t>四</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条款：第三十八条第四款</w:t>
            </w:r>
            <w:r>
              <w:rPr>
                <w:rFonts w:hint="eastAsia" w:asciiTheme="minorEastAsia" w:hAnsiTheme="minorEastAsia" w:eastAsiaTheme="minorEastAsia"/>
                <w:color w:val="auto"/>
                <w:sz w:val="15"/>
                <w:szCs w:val="15"/>
                <w:highlight w:val="none"/>
              </w:rPr>
              <w:t xml:space="preserve">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建筑垃圾消纳场所（或临时处置点经营单位）在作业场所未</w:t>
            </w:r>
            <w:r>
              <w:rPr>
                <w:rFonts w:asciiTheme="minorEastAsia" w:hAnsiTheme="minorEastAsia" w:eastAsiaTheme="minorEastAsia"/>
                <w:color w:val="auto"/>
                <w:sz w:val="15"/>
                <w:szCs w:val="15"/>
                <w:highlight w:val="none"/>
              </w:rPr>
              <w:t>正常使用</w:t>
            </w:r>
            <w:r>
              <w:rPr>
                <w:rFonts w:hint="eastAsia" w:asciiTheme="minorEastAsia" w:hAnsiTheme="minorEastAsia" w:eastAsiaTheme="minorEastAsia"/>
                <w:color w:val="auto"/>
                <w:sz w:val="15"/>
                <w:szCs w:val="15"/>
                <w:highlight w:val="none"/>
              </w:rPr>
              <w:t>运输车辆识别装置（或扬尘污染实时监控装置）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违反条款：第十七条第一款第（四）项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作业场所20亩以下，系数为0；20-30亩，系数为1；3.30亩-40亩，系数为2；以此类</w:t>
            </w:r>
            <w:r>
              <w:rPr>
                <w:rFonts w:hint="eastAsia" w:asciiTheme="minorEastAsia" w:hAnsiTheme="minorEastAsia" w:eastAsiaTheme="minorEastAsia"/>
                <w:color w:val="auto"/>
                <w:sz w:val="15"/>
                <w:szCs w:val="15"/>
                <w:highlight w:val="none"/>
                <w:lang w:eastAsia="zh-CN"/>
              </w:rPr>
              <w:t>推，</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1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建筑垃圾消纳场所（或临时处置点经营单位）未将建筑垃圾接收量（或处置量或再生产品生产供应等）数据</w:t>
            </w:r>
            <w:r>
              <w:rPr>
                <w:rFonts w:asciiTheme="minorEastAsia" w:hAnsiTheme="minorEastAsia" w:eastAsiaTheme="minorEastAsia"/>
                <w:color w:val="auto"/>
                <w:sz w:val="15"/>
                <w:szCs w:val="15"/>
                <w:highlight w:val="none"/>
              </w:rPr>
              <w:t>实时传输至</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垃圾管理和服务平台</w:t>
            </w:r>
          </w:p>
        </w:tc>
        <w:tc>
          <w:tcPr>
            <w:tcW w:w="2789"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违反条款：第十七条第一款第（五）项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未取得生活垃圾运输经营许可擅自运输建筑垃圾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w:t>
            </w:r>
            <w:r>
              <w:rPr>
                <w:rFonts w:hint="eastAsia" w:asciiTheme="minorEastAsia" w:hAnsiTheme="minorEastAsia" w:eastAsiaTheme="minorEastAsia"/>
                <w:color w:val="auto"/>
                <w:sz w:val="15"/>
                <w:szCs w:val="15"/>
                <w:highlight w:val="none"/>
              </w:rPr>
              <w:t>三十九条 责令限期改正，给予警告，处5000元以上3万元以下罚款</w:t>
            </w:r>
            <w:r>
              <w:rPr>
                <w:rFonts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违法时间</w:t>
            </w:r>
            <w:r>
              <w:rPr>
                <w:rFonts w:asciiTheme="minorEastAsia" w:hAnsiTheme="minorEastAsia" w:eastAsiaTheme="minorEastAsia"/>
                <w:color w:val="auto"/>
                <w:sz w:val="15"/>
                <w:szCs w:val="15"/>
                <w:highlight w:val="none"/>
              </w:rPr>
              <w:t>持续较长，造成严重环境秩序影响的，系数为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使用不符合</w:t>
            </w:r>
            <w:r>
              <w:rPr>
                <w:rFonts w:asciiTheme="minorEastAsia" w:hAnsiTheme="minorEastAsia" w:eastAsiaTheme="minorEastAsia"/>
                <w:color w:val="auto"/>
                <w:sz w:val="15"/>
                <w:szCs w:val="15"/>
                <w:highlight w:val="none"/>
              </w:rPr>
              <w:t>标准的车辆（</w:t>
            </w:r>
            <w:r>
              <w:rPr>
                <w:rFonts w:hint="eastAsia" w:asciiTheme="minorEastAsia" w:hAnsiTheme="minorEastAsia" w:eastAsiaTheme="minorEastAsia"/>
                <w:color w:val="auto"/>
                <w:sz w:val="15"/>
                <w:szCs w:val="15"/>
                <w:highlight w:val="none"/>
              </w:rPr>
              <w:t>或未取得建筑垃圾准运许可</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第三十九条 责令限期改正，并处1万元以上3万元以下罚款；情节严重的，由城市管理综合执法部门吊销生活垃圾运输经营许可。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不符合标准的运输车辆，系数为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；2.无</w:t>
            </w:r>
            <w:r>
              <w:rPr>
                <w:rFonts w:asciiTheme="minorEastAsia" w:hAnsiTheme="minorEastAsia" w:eastAsiaTheme="minorEastAsia"/>
                <w:color w:val="auto"/>
                <w:sz w:val="15"/>
                <w:szCs w:val="15"/>
                <w:highlight w:val="none"/>
              </w:rPr>
              <w:t>准运证的，系数为</w:t>
            </w:r>
            <w:r>
              <w:rPr>
                <w:rFonts w:hint="eastAsia" w:asciiTheme="minorEastAsia" w:hAnsiTheme="minorEastAsia" w:eastAsiaTheme="minorEastAsia"/>
                <w:color w:val="auto"/>
                <w:sz w:val="15"/>
                <w:szCs w:val="15"/>
                <w:highlight w:val="none"/>
              </w:rPr>
              <w:t>2。</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3"/>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2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未采取措施防止建筑垃圾遗撒、泄漏</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处罚条款：第四十条第一款 责令立即改正并清除遗撒、泄漏的建筑垃圾，处2万元以上10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hint="eastAsia"/>
                <w:color w:val="auto"/>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未造成</w:t>
            </w:r>
            <w:r>
              <w:rPr>
                <w:rFonts w:asciiTheme="minorEastAsia" w:hAnsiTheme="minorEastAsia" w:eastAsiaTheme="minorEastAsia"/>
                <w:color w:val="auto"/>
                <w:sz w:val="15"/>
                <w:szCs w:val="15"/>
                <w:highlight w:val="none"/>
              </w:rPr>
              <w:t>遗撒、泄漏的，系数</w:t>
            </w:r>
            <w:r>
              <w:rPr>
                <w:rFonts w:hint="eastAsia" w:asciiTheme="minorEastAsia" w:hAnsiTheme="minorEastAsia" w:eastAsiaTheme="minorEastAsia"/>
                <w:color w:val="auto"/>
                <w:sz w:val="15"/>
                <w:szCs w:val="15"/>
                <w:highlight w:val="none"/>
              </w:rPr>
              <w:t>0；污染道路长21－30米的，系数1；31－40米的，系数2；以此类推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2.建筑垃圾占地面积10㎡以下的，系数0；11—15㎡，系数为1；16-20㎡，系数2，以此类推，面积26㎡及以上的，系数4；</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3.建筑垃圾重量在4.5吨以下的，系数0；4.5-9吨的，系数1，以此类推，18吨及以上的，系数4；在面积和长度无法取证的情况下，可以适用此情形。</w:t>
            </w:r>
          </w:p>
          <w:p>
            <w:pPr>
              <w:widowControl w:val="0"/>
              <w:numPr>
                <w:ilvl w:val="0"/>
                <w:numId w:val="0"/>
              </w:numPr>
              <w:jc w:val="both"/>
              <w:rPr>
                <w:rFonts w:hint="eastAsia" w:cs="Times New Roman" w:asciiTheme="minorEastAsia" w:hAnsiTheme="minorEastAsia" w:eastAsiaTheme="minorEastAsia"/>
                <w:color w:val="auto"/>
                <w:kern w:val="2"/>
                <w:sz w:val="15"/>
                <w:szCs w:val="15"/>
                <w:highlight w:val="none"/>
                <w:lang w:val="en-US" w:eastAsia="zh-CN" w:bidi="ar-SA"/>
              </w:rPr>
            </w:pP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产生较大环境污染或者社会影响的，系数</w:t>
            </w:r>
            <w:r>
              <w:rPr>
                <w:rFonts w:hint="eastAsia" w:asciiTheme="minorEastAsia" w:hAnsiTheme="minorEastAsia" w:eastAsiaTheme="minorEastAsia"/>
                <w:color w:val="auto"/>
                <w:sz w:val="15"/>
                <w:szCs w:val="15"/>
                <w:highlight w:val="none"/>
                <w:lang w:val="en-US" w:eastAsia="zh-CN"/>
              </w:rPr>
              <w:t>2-4。</w:t>
            </w:r>
          </w:p>
          <w:p>
            <w:pPr>
              <w:spacing w:line="232" w:lineRule="exact"/>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4"/>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9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w:t>
            </w:r>
            <w:r>
              <w:rPr>
                <w:rFonts w:hint="eastAsia" w:asciiTheme="minorEastAsia" w:hAnsiTheme="minorEastAsia" w:eastAsiaTheme="minorEastAsia"/>
                <w:color w:val="auto"/>
                <w:sz w:val="15"/>
                <w:szCs w:val="15"/>
                <w:highlight w:val="none"/>
              </w:rPr>
              <w:t>运输</w:t>
            </w:r>
            <w:r>
              <w:rPr>
                <w:rFonts w:asciiTheme="minorEastAsia" w:hAnsiTheme="minorEastAsia" w:eastAsiaTheme="minorEastAsia"/>
                <w:color w:val="auto"/>
                <w:sz w:val="15"/>
                <w:szCs w:val="15"/>
                <w:highlight w:val="none"/>
              </w:rPr>
              <w:t>服务单位</w:t>
            </w:r>
            <w:r>
              <w:rPr>
                <w:rFonts w:hint="eastAsia" w:asciiTheme="minorEastAsia" w:hAnsiTheme="minorEastAsia" w:eastAsiaTheme="minorEastAsia"/>
                <w:color w:val="auto"/>
                <w:sz w:val="15"/>
                <w:szCs w:val="15"/>
                <w:highlight w:val="none"/>
              </w:rPr>
              <w:t>将建筑垃圾与其他生活垃圾、危险废物混装混运</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条款：第四十条</w:t>
            </w:r>
            <w:r>
              <w:rPr>
                <w:rFonts w:hint="eastAsia" w:asciiTheme="minorEastAsia" w:hAnsiTheme="minorEastAsia" w:eastAsiaTheme="minorEastAsia"/>
                <w:color w:val="auto"/>
                <w:sz w:val="15"/>
                <w:szCs w:val="15"/>
                <w:highlight w:val="none"/>
              </w:rPr>
              <w:t>第一款 责令立即改正，处2万元以上10万元以下罚款；情节严重的，由城市管理综合执法部门吊销生活垃圾运输经营许可</w:t>
            </w:r>
            <w:r>
              <w:rPr>
                <w:rFonts w:asciiTheme="minorEastAsia" w:hAnsiTheme="minorEastAsia" w:eastAsiaTheme="minorEastAsia"/>
                <w:color w:val="auto"/>
                <w:sz w:val="15"/>
                <w:szCs w:val="15"/>
                <w:highlight w:val="none"/>
              </w:rPr>
              <w:t xml:space="preserve"> </w:t>
            </w:r>
            <w:r>
              <w:rPr>
                <w:rFonts w:hint="eastAsia"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运输车辆</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4.5吨</w:t>
            </w:r>
            <w:r>
              <w:rPr>
                <w:rFonts w:asciiTheme="minorEastAsia" w:hAnsiTheme="minorEastAsia" w:eastAsiaTheme="minorEastAsia"/>
                <w:color w:val="auto"/>
                <w:sz w:val="15"/>
                <w:szCs w:val="15"/>
                <w:highlight w:val="none"/>
              </w:rPr>
              <w:t>以上）</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.与</w:t>
            </w:r>
            <w:r>
              <w:rPr>
                <w:rFonts w:asciiTheme="minorEastAsia" w:hAnsiTheme="minorEastAsia" w:eastAsiaTheme="minorEastAsia"/>
                <w:color w:val="auto"/>
                <w:sz w:val="15"/>
                <w:szCs w:val="15"/>
                <w:highlight w:val="none"/>
              </w:rPr>
              <w:t>危险废物混装</w:t>
            </w:r>
            <w:r>
              <w:rPr>
                <w:rFonts w:hint="eastAsia" w:asciiTheme="minorEastAsia" w:hAnsiTheme="minorEastAsia" w:eastAsiaTheme="minorEastAsia"/>
                <w:color w:val="auto"/>
                <w:sz w:val="15"/>
                <w:szCs w:val="15"/>
                <w:highlight w:val="none"/>
              </w:rPr>
              <w:t>混运</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3.同一运输单位存在多辆车辆混装混运的，系数为2-4。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5"/>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按照规定使用电子运单</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如实记录建筑垃圾处置情况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十九条第</w:t>
            </w:r>
            <w:r>
              <w:rPr>
                <w:rFonts w:hint="eastAsia" w:asciiTheme="minorEastAsia" w:hAnsiTheme="minorEastAsia" w:eastAsiaTheme="minorEastAsia"/>
                <w:color w:val="auto"/>
                <w:sz w:val="15"/>
                <w:szCs w:val="15"/>
                <w:highlight w:val="none"/>
              </w:rPr>
              <w:t>二</w:t>
            </w:r>
            <w:r>
              <w:rPr>
                <w:rFonts w:asciiTheme="minorEastAsia" w:hAnsiTheme="minorEastAsia" w:eastAsiaTheme="minorEastAsia"/>
                <w:color w:val="auto"/>
                <w:sz w:val="15"/>
                <w:szCs w:val="15"/>
                <w:highlight w:val="none"/>
              </w:rPr>
              <w:t>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四十条第二款</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同一运输单位多辆车辆存在违规的，系数为5-9。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numPr>
                <w:ilvl w:val="0"/>
                <w:numId w:val="6"/>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5"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w:t>
            </w:r>
            <w:r>
              <w:rPr>
                <w:rFonts w:asciiTheme="minorEastAsia" w:hAnsiTheme="minorEastAsia" w:eastAsiaTheme="minorEastAsia"/>
                <w:color w:val="auto"/>
                <w:sz w:val="15"/>
                <w:szCs w:val="15"/>
                <w:highlight w:val="none"/>
              </w:rPr>
              <w:t>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编制建筑垃圾处理方案</w:t>
            </w:r>
            <w:r>
              <w:rPr>
                <w:rFonts w:hint="eastAsia" w:asciiTheme="minorEastAsia" w:hAnsiTheme="minorEastAsia" w:eastAsiaTheme="minorEastAsia"/>
                <w:color w:val="auto"/>
                <w:sz w:val="15"/>
                <w:szCs w:val="15"/>
                <w:highlight w:val="none"/>
              </w:rPr>
              <w:t>报备案</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处罚条款：第四十一条第一款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91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罚款数额＝100000×（1＋常量系数＋变量系数＋区域系数）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7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r>
              <w:rPr>
                <w:rFonts w:asciiTheme="minorEastAsia" w:hAnsiTheme="minorEastAsia" w:eastAsiaTheme="minorEastAsia"/>
                <w:color w:val="auto"/>
                <w:sz w:val="15"/>
                <w:szCs w:val="15"/>
                <w:highlight w:val="none"/>
              </w:rPr>
              <w:t>未及时清运建筑垃圾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四十一条第二款</w:t>
            </w:r>
            <w:r>
              <w:rPr>
                <w:rFonts w:hint="eastAsia" w:asciiTheme="minorEastAsia" w:hAnsiTheme="minorEastAsia" w:eastAsiaTheme="minorEastAsia"/>
                <w:color w:val="auto"/>
                <w:sz w:val="15"/>
                <w:szCs w:val="15"/>
                <w:highlight w:val="none"/>
              </w:rPr>
              <w:t xml:space="preserve">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1"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施工</w:t>
            </w:r>
            <w:r>
              <w:rPr>
                <w:rFonts w:asciiTheme="minorEastAsia" w:hAnsiTheme="minorEastAsia" w:eastAsiaTheme="minorEastAsia"/>
                <w:b w:val="0"/>
                <w:bCs w:val="0"/>
                <w:color w:val="auto"/>
                <w:sz w:val="15"/>
                <w:szCs w:val="15"/>
                <w:highlight w:val="none"/>
              </w:rPr>
              <w:t>单位</w:t>
            </w:r>
            <w:r>
              <w:rPr>
                <w:rFonts w:hint="eastAsia" w:asciiTheme="minorEastAsia" w:hAnsiTheme="minorEastAsia" w:eastAsiaTheme="minorEastAsia"/>
                <w:b w:val="0"/>
                <w:bCs w:val="0"/>
                <w:color w:val="auto"/>
                <w:sz w:val="15"/>
                <w:szCs w:val="15"/>
                <w:highlight w:val="none"/>
              </w:rPr>
              <w:t>未按照规定对施工过程中产生的建筑垃圾进行资源化利用或者处置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万元以上10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r>
              <w:rPr>
                <w:rFonts w:asciiTheme="minorEastAsia" w:hAnsiTheme="minorEastAsia" w:eastAsiaTheme="minorEastAsia"/>
                <w:color w:val="auto"/>
                <w:sz w:val="15"/>
                <w:szCs w:val="15"/>
                <w:highlight w:val="none"/>
              </w:rPr>
              <w:t>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按规定利用或</w:t>
            </w:r>
            <w:r>
              <w:rPr>
                <w:rFonts w:hint="eastAsia" w:asciiTheme="minorEastAsia" w:hAnsiTheme="minorEastAsia" w:eastAsiaTheme="minorEastAsia"/>
                <w:color w:val="auto"/>
                <w:sz w:val="15"/>
                <w:szCs w:val="15"/>
                <w:highlight w:val="none"/>
              </w:rPr>
              <w:t>处置</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施工单位未按照规定对现场贮存的建筑垃圾采取扬尘防治措施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责令限期改正，处1万元以上10万元以下罚款；拒不改正的，责令停工整治。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未按照规定建立台账并如实报告建筑垃圾处置情况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asciiTheme="minorEastAsia" w:hAnsiTheme="minorEastAsia" w:eastAsiaTheme="minorEastAsia"/>
                <w:color w:val="auto"/>
                <w:sz w:val="15"/>
                <w:szCs w:val="15"/>
                <w:highlight w:val="none"/>
              </w:rPr>
              <w:t>：第二十七条</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四十三条</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1.已记录</w:t>
            </w:r>
            <w:r>
              <w:rPr>
                <w:rFonts w:asciiTheme="minorEastAsia" w:hAnsiTheme="minorEastAsia" w:eastAsiaTheme="minorEastAsia"/>
                <w:color w:val="auto"/>
                <w:sz w:val="15"/>
                <w:szCs w:val="15"/>
                <w:highlight w:val="none"/>
              </w:rPr>
              <w:t>台账而记录内容不完整的，系数为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；2.未建立台账的</w:t>
            </w:r>
            <w:r>
              <w:rPr>
                <w:rFonts w:asciiTheme="minorEastAsia" w:hAnsiTheme="minorEastAsia" w:eastAsiaTheme="minorEastAsia"/>
                <w:color w:val="auto"/>
                <w:sz w:val="15"/>
                <w:szCs w:val="15"/>
                <w:highlight w:val="none"/>
              </w:rPr>
              <w:t>或者台账弄虚作假的，系数为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；3.同时造成</w:t>
            </w:r>
            <w:r>
              <w:rPr>
                <w:rFonts w:asciiTheme="minorEastAsia" w:hAnsiTheme="minorEastAsia" w:eastAsiaTheme="minorEastAsia"/>
                <w:color w:val="auto"/>
                <w:sz w:val="15"/>
                <w:szCs w:val="15"/>
                <w:highlight w:val="none"/>
              </w:rPr>
              <w:t>环境秩序严重影响的</w:t>
            </w:r>
            <w:r>
              <w:rPr>
                <w:rFonts w:hint="eastAsia" w:asciiTheme="minorEastAsia" w:hAnsiTheme="minorEastAsia" w:eastAsiaTheme="minorEastAsia"/>
                <w:color w:val="auto"/>
                <w:sz w:val="15"/>
                <w:szCs w:val="15"/>
                <w:highlight w:val="none"/>
              </w:rPr>
              <w:t>为7</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numPr>
                <w:ilvl w:val="0"/>
                <w:numId w:val="7"/>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京政发〔2017〕32号），拟作出吊销处罚的，作出处罚决定前，邀请城市管理部门划出部门共同会商；对于可能影响公共利益的，提请城市管理部门拟定接管方案。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1"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7" w:name="_Toc495418307"/>
            <w:bookmarkStart w:id="38" w:name="_Toc110851448"/>
            <w:bookmarkStart w:id="39" w:name="_Toc302443057"/>
            <w:r>
              <w:rPr>
                <w:rFonts w:hint="eastAsia" w:asciiTheme="minorEastAsia" w:hAnsiTheme="minorEastAsia" w:eastAsiaTheme="minorEastAsia"/>
                <w:color w:val="auto"/>
                <w:sz w:val="21"/>
                <w:szCs w:val="21"/>
                <w:highlight w:val="none"/>
              </w:rPr>
              <w:t>《北京市养犬管理规定》案由1项</w:t>
            </w:r>
            <w:bookmarkEnd w:id="37"/>
            <w:bookmarkEnd w:id="38"/>
            <w:bookmark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携犬人未清除户外犬粪便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违反条款：第十七条第（六）项；处罚条款：第三十条：责令改正，并可处50元罚款。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0" w:name="_Toc986557284"/>
            <w:bookmarkStart w:id="41" w:name="_Toc110851449"/>
            <w:bookmarkStart w:id="42" w:name="_Toc1997999416"/>
            <w:r>
              <w:rPr>
                <w:rFonts w:hint="eastAsia" w:asciiTheme="minorEastAsia" w:hAnsiTheme="minorEastAsia" w:eastAsiaTheme="minorEastAsia"/>
                <w:color w:val="auto"/>
                <w:sz w:val="21"/>
                <w:szCs w:val="21"/>
                <w:highlight w:val="none"/>
              </w:rPr>
              <w:t>《北京市长城保护管理办法》案由1项</w:t>
            </w:r>
            <w:bookmarkEnd w:id="40"/>
            <w:bookmarkEnd w:id="41"/>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在长城保护范围和建设控制地带内设置</w:t>
            </w:r>
            <w:r>
              <w:rPr>
                <w:rFonts w:hint="eastAsia" w:cs="宋体" w:asciiTheme="minorEastAsia" w:hAnsiTheme="minorEastAsia" w:eastAsiaTheme="minorEastAsia"/>
                <w:color w:val="auto"/>
                <w:kern w:val="0"/>
                <w:sz w:val="15"/>
                <w:szCs w:val="15"/>
                <w:highlight w:val="none"/>
              </w:rPr>
              <w:t>不符合要求</w:t>
            </w:r>
            <w:r>
              <w:rPr>
                <w:rFonts w:cs="宋体" w:asciiTheme="minorEastAsia" w:hAnsiTheme="minorEastAsia" w:eastAsiaTheme="minorEastAsia"/>
                <w:color w:val="auto"/>
                <w:kern w:val="0"/>
                <w:sz w:val="15"/>
                <w:szCs w:val="15"/>
                <w:highlight w:val="none"/>
              </w:rPr>
              <w:t>的标志标牌</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第十二条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第十七条</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 xml:space="preserve">责令拆除或者更换，并可处200元以上1000元以下的罚款。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3" w:name="_Toc703776516"/>
            <w:bookmarkStart w:id="44" w:name="_Toc110851450"/>
            <w:bookmarkStart w:id="45" w:name="_Toc639737773"/>
            <w:r>
              <w:rPr>
                <w:rFonts w:hint="eastAsia" w:asciiTheme="minorEastAsia" w:hAnsiTheme="minorEastAsia" w:eastAsiaTheme="minorEastAsia"/>
                <w:color w:val="auto"/>
                <w:sz w:val="21"/>
                <w:szCs w:val="21"/>
                <w:highlight w:val="none"/>
              </w:rPr>
              <w:t>《北京历史文化名城保护条例》案由1项</w:t>
            </w:r>
            <w:bookmarkEnd w:id="43"/>
            <w:bookmarkEnd w:id="44"/>
            <w:bookmarkEnd w:id="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任何单位或个人擅自设置、移动、拆除或者损毁、涂改、遮挡保护标志</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4"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Theme="minorEastAsia" w:hAnsiTheme="minorEastAsia" w:eastAsiaTheme="minorEastAsia"/>
                <w:color w:val="auto"/>
                <w:sz w:val="15"/>
                <w:szCs w:val="15"/>
                <w:highlight w:val="none"/>
              </w:rPr>
            </w:pPr>
            <w:bookmarkStart w:id="46" w:name="_Toc958675012"/>
            <w:bookmarkStart w:id="47" w:name="_Toc110851451"/>
            <w:bookmarkStart w:id="48" w:name="_Toc1472007365"/>
            <w:r>
              <w:rPr>
                <w:rFonts w:hint="eastAsia" w:asciiTheme="minorEastAsia" w:hAnsiTheme="minorEastAsia" w:eastAsiaTheme="minorEastAsia"/>
                <w:color w:val="auto"/>
                <w:sz w:val="21"/>
                <w:szCs w:val="21"/>
                <w:highlight w:val="none"/>
              </w:rPr>
              <w:t>《北京市架空线管理若干规定》案由</w:t>
            </w:r>
            <w:r>
              <w:rPr>
                <w:rFonts w:asciiTheme="minorEastAsia" w:hAnsiTheme="minorEastAsia" w:eastAsiaTheme="minorEastAsia"/>
                <w:color w:val="auto"/>
                <w:sz w:val="21"/>
                <w:szCs w:val="21"/>
                <w:highlight w:val="none"/>
              </w:rPr>
              <w:t>7</w:t>
            </w:r>
            <w:r>
              <w:rPr>
                <w:rFonts w:hint="eastAsia" w:asciiTheme="minorEastAsia" w:hAnsiTheme="minorEastAsia" w:eastAsiaTheme="minorEastAsia"/>
                <w:color w:val="auto"/>
                <w:sz w:val="21"/>
                <w:szCs w:val="21"/>
                <w:highlight w:val="none"/>
              </w:rPr>
              <w:t>项</w:t>
            </w:r>
            <w:bookmarkEnd w:id="46"/>
            <w:bookmarkEnd w:id="47"/>
            <w:bookmark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设置架空线不符合设置架空线行政许可决定</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违反条款：第九条第一款；处罚条款：第十九条第一款 责令限期改正，可以处200元以上2000元以下罚款。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对其它管线正常使用造成影响的，系数4；</w:t>
            </w:r>
          </w:p>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影响交通通行，或者造成其它安全隐患的，系数4。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行政许可有效期届满未清除架空线</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未按要求在架空线的显著位置设置标识信息</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违反条款：第十条第(一)项；处罚条款：第二十条第一款；责令限期改正，可以处200元以上2000元以下罚款。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对其它管线正常使用造成影响，或者造成其它安全隐患的，系数4。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发现架空线存在影响安全或者市容景观情况未</w:t>
            </w:r>
            <w:r>
              <w:rPr>
                <w:rFonts w:hint="eastAsia" w:asciiTheme="minorEastAsia" w:hAnsiTheme="minorEastAsia" w:eastAsiaTheme="minorEastAsia"/>
                <w:color w:val="auto"/>
                <w:sz w:val="15"/>
                <w:szCs w:val="15"/>
                <w:highlight w:val="none"/>
                <w:lang w:eastAsia="zh-CN"/>
              </w:rPr>
              <w:t>立即</w:t>
            </w:r>
            <w:r>
              <w:rPr>
                <w:rFonts w:hint="eastAsia" w:asciiTheme="minorEastAsia" w:hAnsiTheme="minorEastAsia" w:eastAsiaTheme="minorEastAsia"/>
                <w:color w:val="auto"/>
                <w:sz w:val="15"/>
                <w:szCs w:val="15"/>
                <w:highlight w:val="none"/>
              </w:rPr>
              <w:t xml:space="preserve">处理 </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违反条款：第十条第(四)项；处罚条款：第二十条第一款；责令限期改正，可以处200元以上2000元以下罚款。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发现擅自搭挂的线缆，未按要求清除或者报告</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违反条款：第十条第(六)项；处罚条款：第二十条第一款；责令限期改正，可以处200元以上2000元以下罚款。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经责令改正仍未及时清除或者报告的，自责改之日起每逾期1天，系数1，以此累加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未及时清除废弃架空线</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未按要求实施架空线埋设入地</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经责令改正，仍未制定入地方案，并及时采取入地措施的，自责改之日起每逾期5天，系数1，以此累加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45天及以上的，系数9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×（1＋区域系数＋变量系数）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heme="minorEastAsia" w:hAnsiTheme="minorEastAsia" w:eastAsiaTheme="minorEastAsia"/>
                <w:color w:val="auto"/>
                <w:sz w:val="15"/>
                <w:szCs w:val="15"/>
                <w:highlight w:val="none"/>
              </w:rPr>
            </w:pPr>
            <w:bookmarkStart w:id="49" w:name="_Toc110851452"/>
            <w:bookmarkStart w:id="50" w:name="_Toc1563678502"/>
            <w:bookmarkStart w:id="51" w:name="_Toc661947609"/>
            <w:r>
              <w:rPr>
                <w:rFonts w:hint="eastAsia" w:asciiTheme="minorEastAsia" w:hAnsiTheme="minorEastAsia" w:eastAsiaTheme="minorEastAsia"/>
                <w:color w:val="auto"/>
                <w:sz w:val="21"/>
                <w:szCs w:val="21"/>
                <w:highlight w:val="none"/>
              </w:rPr>
              <w:t>《城市照明管理规定》案由2项</w:t>
            </w:r>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在城市景观照明中有过度照明等超能耗标准行为</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违反条款：第十九条第二款；处罚条款：　第三十一条,责令限期改正；逾期未改正的，处以1000元以上3万元以下的罚款。</w:t>
            </w:r>
          </w:p>
        </w:tc>
        <w:tc>
          <w:tcPr>
            <w:tcW w:w="851"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default"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1.持续时间较长的，系数1-9；2.造成较大社会影响的，系数10-19；3.造成严重社会影响的，系数20-29。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实施影响城市照明设施正常运行的行为</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第（二）项、第（三）项、第（四）项、第（五）项、第（六）项；处罚条款：第三十二条,责令限期改正，对个人处以200元以上1000元以下的罚款；对单位处以1000元以上3万元以下的罚款；造成损失的，依法赔偿损失。</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刻划、涂污照明设施多处，或者严重污损照明设施的，系数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default" w:cs="宋体" w:asciiTheme="minorEastAsia" w:hAnsiTheme="minorEastAsia" w:eastAsiaTheme="minorEastAsia"/>
                <w:color w:val="auto"/>
                <w:kern w:val="0"/>
                <w:sz w:val="15"/>
                <w:szCs w:val="15"/>
                <w:highlight w:val="none"/>
                <w:lang w:val="en-US"/>
              </w:rPr>
              <w:t>2.</w:t>
            </w:r>
            <w:r>
              <w:rPr>
                <w:rFonts w:hint="eastAsia" w:cs="宋体" w:asciiTheme="minorEastAsia" w:hAnsiTheme="minorEastAsia" w:eastAsiaTheme="minorEastAsia"/>
                <w:color w:val="auto"/>
                <w:kern w:val="0"/>
                <w:sz w:val="15"/>
                <w:szCs w:val="15"/>
                <w:highlight w:val="none"/>
              </w:rPr>
              <w:t>存在其它已严重危害或者影响设施正常运行的行为，系数为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1000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1.刻划、涂污照明设施多处，系数1-9；2.严重污损照明设施的，系数10-19；3.存在其它已严重危害或者影响设施正常运行的行为，系数为20-29。</w:t>
            </w:r>
          </w:p>
        </w:tc>
        <w:tc>
          <w:tcPr>
            <w:tcW w:w="1785"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4"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Theme="minorEastAsia" w:hAnsiTheme="minorEastAsia" w:eastAsiaTheme="minorEastAsia"/>
                <w:color w:val="auto"/>
                <w:sz w:val="15"/>
                <w:szCs w:val="15"/>
                <w:highlight w:val="none"/>
              </w:rPr>
            </w:pPr>
            <w:bookmarkStart w:id="52" w:name="_Toc275604405"/>
            <w:bookmarkStart w:id="53" w:name="_Toc110851453"/>
            <w:bookmarkStart w:id="54" w:name="_Toc728280952"/>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物业管理条例</w:t>
            </w:r>
            <w:r>
              <w:rPr>
                <w:rFonts w:hint="eastAsia" w:asciiTheme="minorEastAsia" w:hAnsiTheme="minorEastAsia" w:eastAsiaTheme="minorEastAsia"/>
                <w:color w:val="auto"/>
                <w:sz w:val="21"/>
                <w:szCs w:val="21"/>
                <w:highlight w:val="none"/>
              </w:rPr>
              <w:t>》案由1项</w:t>
            </w:r>
            <w:bookmarkEnd w:id="52"/>
            <w:bookmarkEnd w:id="53"/>
            <w:bookmarkEnd w:id="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3" w:hRule="atLeast"/>
          <w:jc w:val="center"/>
        </w:trPr>
        <w:tc>
          <w:tcPr>
            <w:tcW w:w="94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占用、堵塞、封闭其他共用部位（或者损坏其他共用设施设备）</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违反条款：第七十八条第二款第(十)项。</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处罚条款：第九十八条第(十)项，责令改正，给予警告，对单位处二千元以上二万元以下的罚款，对个人处二百元以上五百元以下的罚款。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做</w:t>
            </w:r>
            <w:r>
              <w:rPr>
                <w:rFonts w:hint="eastAsia" w:cs="宋体" w:asciiTheme="minorEastAsia" w:hAnsiTheme="minorEastAsia" w:eastAsiaTheme="minorEastAsia"/>
                <w:color w:val="auto"/>
                <w:kern w:val="0"/>
                <w:sz w:val="15"/>
                <w:szCs w:val="15"/>
                <w:highlight w:val="none"/>
              </w:rPr>
              <w:t>好与本市机动车停车管理法规、规章，以及与消防部门职责分工的衔接。</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6" w:hRule="atLeast"/>
          <w:jc w:val="center"/>
        </w:trPr>
        <w:tc>
          <w:tcPr>
            <w:tcW w:w="94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 w:eastAsia="zh-CN"/>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406"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auto"/>
              <w:rPr>
                <w:rFonts w:asciiTheme="minorEastAsia" w:hAnsiTheme="minorEastAsia" w:eastAsiaTheme="minorEastAsia"/>
                <w:color w:val="auto"/>
                <w:sz w:val="15"/>
                <w:szCs w:val="15"/>
                <w:highlight w:val="none"/>
              </w:rPr>
            </w:pPr>
            <w:bookmarkStart w:id="55" w:name="_Toc110851454"/>
            <w:bookmarkStart w:id="56" w:name="_Toc54194176"/>
            <w:bookmarkStart w:id="57" w:name="_Toc1703767576"/>
            <w:r>
              <w:rPr>
                <w:rFonts w:hint="eastAsia" w:asciiTheme="minorEastAsia" w:hAnsiTheme="minorEastAsia" w:eastAsiaTheme="minorEastAsia"/>
                <w:color w:val="auto"/>
                <w:sz w:val="21"/>
                <w:szCs w:val="21"/>
                <w:highlight w:val="none"/>
              </w:rPr>
              <w:t>《</w:t>
            </w:r>
            <w:r>
              <w:rPr>
                <w:rFonts w:hint="eastAsia" w:asciiTheme="minorEastAsia" w:hAnsiTheme="minorEastAsia" w:eastAsiaTheme="minorEastAsia"/>
                <w:color w:val="auto"/>
                <w:sz w:val="21"/>
                <w:szCs w:val="21"/>
                <w:highlight w:val="none"/>
                <w:lang w:val="zh-CN"/>
              </w:rPr>
              <w:t>北京市国际交往语言环境建设条例</w:t>
            </w:r>
            <w:r>
              <w:rPr>
                <w:rFonts w:hint="eastAsia" w:asciiTheme="minorEastAsia" w:hAnsiTheme="minorEastAsia" w:eastAsiaTheme="minorEastAsia"/>
                <w:color w:val="auto"/>
                <w:sz w:val="21"/>
                <w:szCs w:val="21"/>
                <w:highlight w:val="none"/>
              </w:rPr>
              <w:t>》案由4项</w:t>
            </w:r>
            <w:bookmarkEnd w:id="55"/>
            <w:bookmarkEnd w:id="56"/>
            <w:bookmarkEnd w:id="57"/>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1090"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公共场所标识单独使用外语拒不改正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5000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属于</w:t>
            </w:r>
            <w:r>
              <w:rPr>
                <w:rFonts w:hint="eastAsia" w:cs="仿宋_GB2312" w:asciiTheme="minorEastAsia" w:hAnsiTheme="minorEastAsia" w:eastAsiaTheme="minorEastAsia"/>
                <w:color w:val="auto"/>
                <w:kern w:val="0"/>
                <w:sz w:val="15"/>
                <w:szCs w:val="15"/>
                <w:highlight w:val="none"/>
                <w:lang w:bidi="ar"/>
              </w:rPr>
              <w:t>第十七条第一款应当设置、使用外语标识的公共场所的，系数为1。</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5</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1079"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应当设置、使用公共场所外语标识而未设置、使用拒不改正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罚款数额＝2000×（1＋区域系数+</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p>
            <w:pPr>
              <w:spacing w:line="232" w:lineRule="exact"/>
              <w:ind w:firstLine="333"/>
              <w:jc w:val="center"/>
              <w:rPr>
                <w:rFonts w:asciiTheme="minorEastAsia" w:hAnsiTheme="minorEastAsia" w:eastAsiaTheme="minorEastAsia"/>
                <w:color w:val="auto"/>
                <w:sz w:val="15"/>
                <w:szCs w:val="15"/>
                <w:highlight w:val="none"/>
                <w:lang w:val="e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869" w:hRule="atLeast"/>
          <w:jc w:val="center"/>
        </w:trPr>
        <w:tc>
          <w:tcPr>
            <w:tcW w:w="940"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公共场所外语标识含有禁止性内容</w:t>
            </w:r>
          </w:p>
        </w:tc>
        <w:tc>
          <w:tcPr>
            <w:tcW w:w="2789"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pacing w:val="-4"/>
                <w:sz w:val="15"/>
                <w:szCs w:val="15"/>
                <w:highlight w:val="none"/>
              </w:rPr>
            </w:pPr>
            <w:r>
              <w:rPr>
                <w:rFonts w:hint="eastAsia" w:cs="仿宋_GB2312" w:asciiTheme="minorEastAsia" w:hAnsiTheme="minorEastAsia" w:eastAsiaTheme="minorEastAsia"/>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5000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同时存在两项及以上禁止性内容的，系数为1。</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罚款数额＝5000×（1＋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1651" w:hRule="atLeast"/>
          <w:jc w:val="center"/>
        </w:trPr>
        <w:tc>
          <w:tcPr>
            <w:tcW w:w="94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p>
        </w:tc>
        <w:tc>
          <w:tcPr>
            <w:tcW w:w="150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Theme="minorEastAsia" w:hAnsiTheme="minorEastAsia" w:eastAsiaTheme="minorEastAsia"/>
                <w:color w:val="auto"/>
                <w:sz w:val="15"/>
                <w:szCs w:val="15"/>
                <w:highlight w:val="none"/>
              </w:rPr>
            </w:pPr>
          </w:p>
        </w:tc>
        <w:tc>
          <w:tcPr>
            <w:tcW w:w="278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Theme="minorEastAsia" w:hAnsiTheme="minorEastAsia" w:eastAsiaTheme="minorEastAsia"/>
                <w:color w:val="auto"/>
                <w:sz w:val="15"/>
                <w:szCs w:val="15"/>
                <w:highlight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同时存在两项禁止性内容的，系数为1；同时存在三项以上禁止性内容的，系数为2。</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罚款数额＝10000×（1＋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拒不改正或两次及以上违法的，或者被市级以上媒体曝光，或者造成其它恶劣影响的，视为“情节严重、造成恶劣影响”。</w:t>
            </w:r>
          </w:p>
          <w:p>
            <w:pPr>
              <w:pStyle w:val="2"/>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拒不改正或两次及以上违法的，不重复记入本项“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vMerge w:val="continue"/>
            <w:tcBorders>
              <w:left w:val="single" w:color="000000" w:sz="4" w:space="0"/>
              <w:bottom w:val="single" w:color="000000" w:sz="4" w:space="0"/>
              <w:right w:val="single" w:color="000000" w:sz="4" w:space="0"/>
            </w:tcBorders>
            <w:shd w:val="clear" w:color="auto" w:fill="auto"/>
            <w:vAlign w:val="center"/>
          </w:tcPr>
          <w:p>
            <w:pPr>
              <w:pStyle w:val="2"/>
              <w:tabs>
                <w:tab w:val="left" w:pos="0"/>
                <w:tab w:val="left" w:pos="420"/>
              </w:tabs>
              <w:spacing w:line="232" w:lineRule="exact"/>
              <w:ind w:left="0" w:leftChars="0" w:firstLine="0" w:firstLineChars="0"/>
              <w:jc w:val="center"/>
              <w:rPr>
                <w:rFonts w:cs="仿宋_GB2312" w:asciiTheme="minorEastAsia" w:hAnsiTheme="minorEastAsia" w:eastAsiaTheme="minorEastAsia"/>
                <w:color w:val="auto"/>
                <w:sz w:val="15"/>
                <w:szCs w:val="15"/>
                <w:highlight w:val="none"/>
                <w:lang w:val="e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1413"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公共场所外语标识译写错误或者明显不当拒不改正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属于第十七条第一款应当设置、使用外语标识的公共场所的，系数为1；</w:t>
            </w:r>
            <w:r>
              <w:rPr>
                <w:rFonts w:hint="eastAsia" w:cs="仿宋_GB2312" w:asciiTheme="minorEastAsia" w:hAnsiTheme="minorEastAsia" w:eastAsiaTheme="minorEastAsia"/>
                <w:color w:val="auto"/>
                <w:kern w:val="0"/>
                <w:sz w:val="15"/>
                <w:szCs w:val="15"/>
                <w:highlight w:val="none"/>
                <w:lang w:val="en-US" w:eastAsia="zh-CN" w:bidi="ar"/>
              </w:rPr>
              <w:t>2.</w:t>
            </w:r>
            <w:r>
              <w:rPr>
                <w:rFonts w:hint="eastAsia" w:cs="仿宋_GB2312" w:asciiTheme="minorEastAsia" w:hAnsiTheme="minorEastAsia" w:eastAsiaTheme="minorEastAsia"/>
                <w:color w:val="auto"/>
                <w:kern w:val="0"/>
                <w:sz w:val="15"/>
                <w:szCs w:val="15"/>
                <w:highlight w:val="none"/>
                <w:lang w:bidi="ar"/>
              </w:rPr>
              <w:t>被媒体曝光的，系数为1;</w:t>
            </w:r>
            <w:r>
              <w:rPr>
                <w:rFonts w:hint="eastAsia" w:cs="仿宋_GB2312" w:asciiTheme="minorEastAsia" w:hAnsiTheme="minorEastAsia" w:eastAsiaTheme="minorEastAsia"/>
                <w:color w:val="auto"/>
                <w:kern w:val="0"/>
                <w:sz w:val="15"/>
                <w:szCs w:val="15"/>
                <w:highlight w:val="none"/>
                <w:lang w:val="en-US" w:eastAsia="zh-CN" w:bidi="ar"/>
              </w:rPr>
              <w:t>3.</w:t>
            </w:r>
            <w:r>
              <w:rPr>
                <w:rFonts w:hint="eastAsia" w:cs="仿宋_GB2312" w:asciiTheme="minorEastAsia" w:hAnsiTheme="minorEastAsia" w:eastAsiaTheme="minorEastAsia"/>
                <w:color w:val="auto"/>
                <w:kern w:val="0"/>
                <w:sz w:val="15"/>
                <w:szCs w:val="15"/>
                <w:highlight w:val="none"/>
                <w:lang w:bidi="ar"/>
              </w:rPr>
              <w:t>造成恶劣影响的，系数为2。</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2</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sz w:val="15"/>
                <w:szCs w:val="15"/>
                <w:highlight w:val="none"/>
                <w:lang w:val="en" w:eastAsia="zh-CN"/>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lang w:val="en" w:eastAsia="zh-C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617"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4"/>
              <w:bidi w:val="0"/>
              <w:rPr>
                <w:rFonts w:ascii="黑体" w:hAnsi="黑体" w:eastAsia="黑体" w:cs="仿宋_GB2312"/>
                <w:color w:val="auto"/>
                <w:highlight w:val="none"/>
                <w:lang w:val="en"/>
              </w:rPr>
            </w:pPr>
            <w:bookmarkStart w:id="58" w:name="_Toc435705406"/>
            <w:bookmarkStart w:id="59" w:name="_Toc1507608365"/>
            <w:r>
              <w:rPr>
                <w:rFonts w:hint="eastAsia" w:ascii="黑体" w:hAnsi="黑体" w:eastAsia="黑体" w:cs="黑体"/>
                <w:b w:val="0"/>
                <w:bCs w:val="0"/>
                <w:color w:val="auto"/>
                <w:highlight w:val="none"/>
              </w:rPr>
              <w:t>市政管理方面</w:t>
            </w:r>
            <w:bookmarkEnd w:id="58"/>
            <w:bookmarkEnd w:id="59"/>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453"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hint="default" w:cs="方正小标宋简体" w:asciiTheme="minorEastAsia" w:hAnsiTheme="minorEastAsia" w:eastAsiaTheme="minorEastAsia"/>
                <w:b/>
                <w:bCs/>
                <w:color w:val="auto"/>
                <w:szCs w:val="15"/>
                <w:highlight w:val="none"/>
                <w:lang w:val="en"/>
              </w:rPr>
            </w:pPr>
            <w:bookmarkStart w:id="60" w:name="_Toc1018838380"/>
            <w:bookmarkStart w:id="61" w:name="_Toc777481926"/>
            <w:r>
              <w:rPr>
                <w:rFonts w:hint="eastAsia"/>
                <w:color w:val="auto"/>
                <w:sz w:val="21"/>
                <w:szCs w:val="21"/>
                <w:highlight w:val="none"/>
                <w:lang w:val="en-US" w:eastAsia="zh-CN"/>
              </w:rPr>
              <w:t>《北京市无障碍环境建设条例》案由6</w:t>
            </w:r>
            <w:bookmarkEnd w:id="60"/>
            <w:r>
              <w:rPr>
                <w:rFonts w:hint="eastAsia"/>
                <w:color w:val="auto"/>
                <w:sz w:val="21"/>
                <w:szCs w:val="21"/>
                <w:highlight w:val="none"/>
                <w:lang w:val="en-US" w:eastAsia="zh-CN"/>
              </w:rPr>
              <w:t>项</w:t>
            </w:r>
            <w:bookmark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0"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管理责任人未履行维护管理责任</w:t>
            </w:r>
          </w:p>
        </w:tc>
        <w:tc>
          <w:tcPr>
            <w:tcW w:w="2789" w:type="dxa"/>
            <w:shd w:val="clear" w:color="auto" w:fill="auto"/>
            <w:vAlign w:val="center"/>
          </w:tcPr>
          <w:p>
            <w:pPr>
              <w:spacing w:line="232" w:lineRule="exact"/>
              <w:textAlignment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违反条款：第十四条第一款第（一）项、第（二）项、第（三）项、第（四）项、第（五）项（需根据实际发生的违法行为选择）；</w:t>
            </w:r>
          </w:p>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处罚条款：第三十七条，责令限期改正；逾期不改正的，处三千元以上三万元以下罚款。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同时违反第十四条第一款规定中两项的，系数为4；同时违反三项及三项以上的，系数为9。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9"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管理责任人未在限定的时间内完成整改</w:t>
            </w:r>
          </w:p>
        </w:tc>
        <w:tc>
          <w:tcPr>
            <w:tcW w:w="2789" w:type="dxa"/>
            <w:shd w:val="clear" w:color="auto" w:fill="auto"/>
            <w:vAlign w:val="center"/>
          </w:tcPr>
          <w:p>
            <w:pPr>
              <w:spacing w:line="250" w:lineRule="exact"/>
              <w:textAlignment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违反条款：第十五条第一款、第二款</w:t>
            </w:r>
            <w:r>
              <w:rPr>
                <w:rFonts w:hint="eastAsia" w:cs="仿宋_GB2312" w:asciiTheme="minorEastAsia" w:hAnsiTheme="minorEastAsia" w:eastAsiaTheme="minorEastAsia"/>
                <w:color w:val="auto"/>
                <w:sz w:val="15"/>
                <w:szCs w:val="15"/>
                <w:highlight w:val="none"/>
                <w:lang w:val="en"/>
              </w:rPr>
              <w:t>（需根据实际发生的违法行为选择）</w:t>
            </w:r>
            <w:r>
              <w:rPr>
                <w:rFonts w:hint="eastAsia" w:cs="仿宋_GB2312" w:asciiTheme="minorEastAsia" w:hAnsiTheme="minorEastAsia" w:eastAsiaTheme="minorEastAsia"/>
                <w:color w:val="auto"/>
                <w:sz w:val="15"/>
                <w:szCs w:val="15"/>
                <w:highlight w:val="none"/>
              </w:rPr>
              <w:t>；</w:t>
            </w:r>
          </w:p>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处罚条款：第三十八条，责令限期改正；逾期不改正的，处应当建设或者改造的无障碍设施工程造价一倍以上二倍以下罚款。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无障碍设施工程造价款</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造成行人伤亡或其它事故的，系数1。</w:t>
            </w: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罚款数额=无障碍设施工程造价款×（1+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1"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公共停车场</w:t>
            </w:r>
            <w:r>
              <w:rPr>
                <w:rFonts w:hint="eastAsia" w:cs="仿宋_GB2312" w:asciiTheme="minorEastAsia" w:hAnsiTheme="minorEastAsia" w:eastAsiaTheme="minorEastAsia"/>
                <w:color w:val="auto"/>
                <w:sz w:val="15"/>
                <w:szCs w:val="15"/>
                <w:highlight w:val="none"/>
                <w:lang w:val="zh-CN"/>
              </w:rPr>
              <w:t>擅自改变无障碍停车位用途</w:t>
            </w:r>
          </w:p>
        </w:tc>
        <w:tc>
          <w:tcPr>
            <w:tcW w:w="2789"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第十七条第一款；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第三十九条第一款，责令限期改正；逾期不改正的，按照擅自改变用途的无障碍停车位数量，每个泊位处一万元罚款。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罚款数额=10000×改变用途</w:t>
            </w:r>
            <w:r>
              <w:rPr>
                <w:rFonts w:hint="eastAsia" w:cs="仿宋_GB2312" w:asciiTheme="minorEastAsia" w:hAnsiTheme="minorEastAsia" w:eastAsiaTheme="minorEastAsia"/>
                <w:color w:val="auto"/>
                <w:sz w:val="15"/>
                <w:szCs w:val="15"/>
                <w:highlight w:val="none"/>
                <w:lang w:val="zh-CN"/>
              </w:rPr>
              <w:t>停车</w:t>
            </w:r>
            <w:r>
              <w:rPr>
                <w:rFonts w:hint="eastAsia" w:cs="仿宋_GB2312" w:asciiTheme="minorEastAsia" w:hAnsiTheme="minorEastAsia" w:eastAsiaTheme="minorEastAsia"/>
                <w:color w:val="auto"/>
                <w:sz w:val="15"/>
                <w:szCs w:val="15"/>
                <w:highlight w:val="none"/>
              </w:rPr>
              <w:t>泊位数</w:t>
            </w:r>
          </w:p>
        </w:tc>
        <w:tc>
          <w:tcPr>
            <w:tcW w:w="2385" w:type="dxa"/>
            <w:shd w:val="clear" w:color="auto" w:fill="auto"/>
            <w:vAlign w:val="center"/>
          </w:tcPr>
          <w:p>
            <w:pPr>
              <w:spacing w:line="250" w:lineRule="exact"/>
              <w:rPr>
                <w:rFonts w:hint="eastAsia" w:cs="仿宋_GB2312" w:asciiTheme="minorEastAsia" w:hAnsiTheme="minorEastAsia" w:eastAsiaTheme="minorEastAsia"/>
                <w:color w:val="auto"/>
                <w:kern w:val="0"/>
                <w:sz w:val="15"/>
                <w:szCs w:val="15"/>
                <w:highlight w:val="none"/>
                <w:lang w:val="en" w:eastAsia="zh-CN"/>
              </w:rPr>
            </w:pP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8"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zh-CN"/>
              </w:rPr>
              <w:t>损毁、侵占或者擅自停止使用道路内无障碍设施</w:t>
            </w:r>
          </w:p>
        </w:tc>
        <w:tc>
          <w:tcPr>
            <w:tcW w:w="2789"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第十九条第一款；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第四十条第一款，责令限期改正；逾期不改正的，处三千元以上三万元以下罚款。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1.对通行秩序、市容秩序造成较大影响的，系数4；2.造成行人伤亡或其它事故的，系数9。</w:t>
            </w: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2"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经批准临时占用道路内无障碍设施的，</w:t>
            </w:r>
            <w:r>
              <w:rPr>
                <w:rFonts w:hint="eastAsia" w:cs="仿宋_GB2312" w:asciiTheme="minorEastAsia" w:hAnsiTheme="minorEastAsia" w:eastAsiaTheme="minorEastAsia"/>
                <w:color w:val="auto"/>
                <w:sz w:val="15"/>
                <w:szCs w:val="15"/>
                <w:highlight w:val="none"/>
                <w:lang w:val="zh-CN"/>
              </w:rPr>
              <w:t>未设置护栏、警示标志或者语音提示，或者未采取必要的替代措施</w:t>
            </w:r>
            <w:r>
              <w:rPr>
                <w:rFonts w:hint="eastAsia" w:cs="仿宋_GB2312" w:asciiTheme="minorEastAsia" w:hAnsiTheme="minorEastAsia" w:eastAsiaTheme="minorEastAsia"/>
                <w:color w:val="auto"/>
                <w:sz w:val="15"/>
                <w:szCs w:val="15"/>
                <w:highlight w:val="none"/>
                <w:lang w:val="en"/>
              </w:rPr>
              <w:t>（需根据实际发生的违法行为选择）</w:t>
            </w:r>
          </w:p>
        </w:tc>
        <w:tc>
          <w:tcPr>
            <w:tcW w:w="2789"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处罚条款：第四十条第二款，责令限期改正；逾期不改正的，处三千元以上三万元以下罚款。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1.对通行秩序造成较大影响的，系数4；2.造成行人伤亡或其它事故的，系数9。</w:t>
            </w:r>
          </w:p>
        </w:tc>
        <w:tc>
          <w:tcPr>
            <w:tcW w:w="17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p>
            <w:pPr>
              <w:spacing w:line="220"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经批准临时占用道路内无障碍设施占用期届满，未及时恢复无障碍设施功能</w:t>
            </w:r>
          </w:p>
        </w:tc>
        <w:tc>
          <w:tcPr>
            <w:tcW w:w="2789"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处罚条款：第四十条第二款，责令限期改正；逾期不改正的，处恢复无障碍设施功能所需的工程造价一倍以上二倍以下罚款。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恢复无障碍设施功能所需的工程造价</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对通行秩序、市容秩序造成较大影响的，或者造成行人伤亡或其它事故的，系数1。</w:t>
            </w:r>
          </w:p>
        </w:tc>
        <w:tc>
          <w:tcPr>
            <w:tcW w:w="17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罚款数额＝恢复无障碍设施功能所需的工程造价×（1+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14218" w:type="dxa"/>
            <w:gridSpan w:val="9"/>
            <w:shd w:val="clear" w:color="auto" w:fill="auto"/>
            <w:vAlign w:val="center"/>
          </w:tcPr>
          <w:p>
            <w:pPr>
              <w:pStyle w:val="5"/>
              <w:bidi w:val="0"/>
              <w:jc w:val="center"/>
              <w:rPr>
                <w:rFonts w:hint="default" w:ascii="宋体" w:hAnsi="宋体" w:eastAsia="宋体" w:cs="宋体"/>
                <w:color w:val="auto"/>
                <w:sz w:val="21"/>
                <w:szCs w:val="21"/>
                <w:highlight w:val="none"/>
                <w:lang w:val="en-US"/>
              </w:rPr>
            </w:pPr>
            <w:bookmarkStart w:id="62" w:name="_Toc1444775777"/>
            <w:bookmarkStart w:id="63" w:name="_Toc1038902727"/>
            <w:r>
              <w:rPr>
                <w:rFonts w:hint="eastAsia" w:ascii="宋体" w:hAnsi="宋体" w:eastAsia="宋体" w:cs="宋体"/>
                <w:color w:val="auto"/>
                <w:sz w:val="21"/>
                <w:szCs w:val="21"/>
                <w:highlight w:val="none"/>
                <w:lang w:val="en-US" w:eastAsia="zh-CN"/>
              </w:rPr>
              <w:t>《中华人民共和国无障碍环境建设法》案由2项</w:t>
            </w:r>
            <w:bookmarkEnd w:id="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1</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789" w:type="dxa"/>
            <w:vMerge w:val="restart"/>
            <w:shd w:val="clear" w:color="auto" w:fill="auto"/>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2</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789"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p>
        </w:tc>
        <w:tc>
          <w:tcPr>
            <w:tcW w:w="1785"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pPr>
              <w:spacing w:line="220" w:lineRule="exact"/>
              <w:jc w:val="center"/>
              <w:rPr>
                <w:rFonts w:hint="eastAsia" w:ascii="宋体" w:hAnsi="宋体" w:eastAsia="宋体" w:cs="仿宋_GB2312"/>
                <w:color w:val="auto"/>
                <w:sz w:val="15"/>
                <w:szCs w:val="15"/>
                <w:highlight w:val="none"/>
                <w:lang w:val="en" w:eastAsia="zh-CN"/>
              </w:rPr>
            </w:pPr>
            <w:r>
              <w:rPr>
                <w:rFonts w:hint="eastAsia" w:ascii="宋体" w:hAnsi="宋体" w:eastAsia="宋体" w:cs="仿宋_GB2312"/>
                <w:color w:val="auto"/>
                <w:sz w:val="15"/>
                <w:szCs w:val="15"/>
                <w:highlight w:val="none"/>
                <w:lang w:val="en" w:eastAsia="zh-CN"/>
              </w:rPr>
              <w:t>街道</w:t>
            </w:r>
          </w:p>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 w:hRule="atLeast"/>
          <w:jc w:val="center"/>
        </w:trPr>
        <w:tc>
          <w:tcPr>
            <w:tcW w:w="14218" w:type="dxa"/>
            <w:gridSpan w:val="9"/>
            <w:shd w:val="clear" w:color="auto" w:fill="auto"/>
            <w:vAlign w:val="center"/>
          </w:tcPr>
          <w:p>
            <w:pPr>
              <w:pStyle w:val="5"/>
              <w:bidi w:val="0"/>
              <w:jc w:val="center"/>
              <w:rPr>
                <w:color w:val="auto"/>
                <w:highlight w:val="none"/>
              </w:rPr>
            </w:pPr>
            <w:bookmarkStart w:id="64" w:name="_Toc2065453114"/>
            <w:r>
              <w:rPr>
                <w:rFonts w:hint="eastAsia"/>
                <w:color w:val="auto"/>
                <w:sz w:val="21"/>
                <w:szCs w:val="21"/>
                <w:highlight w:val="none"/>
              </w:rPr>
              <w:t>《城市道路管理条例》《北京市城市道路管理办法》案由16项</w:t>
            </w:r>
            <w:bookmarkEnd w:id="63"/>
            <w:bookmark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城市道路上设置的检查井、箱盖或者城市道路附属设施发生缺损未及时补缺或者修复</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违反条款：《条例》第二十三条；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处罚条款：《条例》第四十二条第（一）项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jc w:val="lef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需要</w:t>
            </w:r>
            <w:r>
              <w:rPr>
                <w:rFonts w:cs="宋体" w:asciiTheme="minorEastAsia" w:hAnsiTheme="minorEastAsia" w:eastAsiaTheme="minorEastAsia"/>
                <w:color w:val="auto"/>
                <w:sz w:val="15"/>
                <w:szCs w:val="15"/>
                <w:highlight w:val="none"/>
              </w:rPr>
              <w:t>作出</w:t>
            </w:r>
            <w:r>
              <w:rPr>
                <w:rFonts w:hint="eastAsia" w:cs="宋体" w:asciiTheme="minorEastAsia" w:hAnsiTheme="minorEastAsia" w:eastAsiaTheme="minorEastAsia"/>
                <w:color w:val="auto"/>
                <w:sz w:val="15"/>
                <w:szCs w:val="15"/>
                <w:highlight w:val="none"/>
              </w:rPr>
              <w:t>其它处罚额度决定的，说明理由，报案审会决定</w:t>
            </w:r>
            <w:r>
              <w:rPr>
                <w:rFonts w:cs="宋体" w:asciiTheme="minorEastAsia" w:hAnsiTheme="minorEastAsia" w:eastAsiaTheme="minorEastAsia"/>
                <w:color w:val="auto"/>
                <w:sz w:val="15"/>
                <w:szCs w:val="15"/>
                <w:highlight w:val="none"/>
              </w:rPr>
              <w:t>。</w:t>
            </w:r>
          </w:p>
        </w:tc>
        <w:tc>
          <w:tcPr>
            <w:tcW w:w="824" w:type="dxa"/>
            <w:shd w:val="clear" w:color="auto" w:fill="auto"/>
            <w:vAlign w:val="center"/>
          </w:tcPr>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擅自占用、挖掘城市道路</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违反条款：《条例》第二十七条第（一）项；处罚条款：《条例》第四十二条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5000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；2.损毁地下管线或市政设施的，系数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；3.造成行人伤亡或其它严重事故的，系数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城市道路养护、维修工程施工现场未设置明显标志和安全防围设施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违反条款：《条例》第二十四条；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挖掘城市道路施工现场未设置明显标志和安全防围设施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占用城市道路期满未及时清理现场</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违反条款：《条例》第三十一条第二款；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挖掘城市道路竣工未及时清理现场</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紧急抢修埋设在城市道路下的管线，未按照规定补办批准手续</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违反条款：《条例》第三十四条；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处罚条款：《条例》第四十二条第（五）项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应在24小时内申请补办，逾期未申请补办的，每延后1天，系数1。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未按照批准的要求占用或者挖掘城市道路</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违反条款：《条例》第三十六条；</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处罚条款：《条例》第四十二条第（六）项 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1.对通行秩序、市容秩序造成较大影响的，系数4；2.损毁地下管线或市政设施的，系数9；3.造成行人伤亡或其它严重事故的，系数9。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履带车、铁轮车或者超重、超高、超长车辆未按规定在城市道路上行驶</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违反条款：《条例》第二十七条第（二）项；处罚条款：《条例》第四十二条：责令限期改正，可以处以2万元以下的罚款。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机动车在桥梁或者非指定的城市道路上试刹车</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违反条款：《条例》第二十七条第（三）项。处罚条款：《条例》第四十二条：责令限期改正，可以处以2万元以下的罚款。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擅自在城市道路上建设建筑物、搭建构筑物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违反条款：《条例》第二十七条第（四）项；处罚条款：《条例》第四十二条：责令限期改正，可以处以2万元以下的罚款。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在桥梁上架设压力在4公斤/平方厘米（0.4兆帕）以上的煤气管道、10千伏以上的高压电线和其它易燃易爆管线</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违反条款：《条例》第二十七条第（五）项；处罚条款：《条例》第四十二条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1.造成人员伤亡或者其它严重事故的，系数3；</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2.对桥梁造成损害影响使用的，系数3。</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擅自在桥梁或者路灯设施上设置广告牌或者其它挂浮物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违反条款：《条例》第二十七条第（六）项；处罚条款：《条例》第四十二条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3.对桥梁、路灯设施造成损坏影响使用的，系数9。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擅自依附城市道路、桥梁设置各种管线、杆线等设施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违反条款：《条例》第二十九条；处罚条款：《条例》第四十二条第（四）项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1.影响交通通行，或者造成其它安全隐患的，系数4；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2.造成行人伤亡或者其它严重事故的，系数9；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3.对桥梁造成损害影响使用的，系数9。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擅自拆改、移动城市道路设施或者设置障碍物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利用城市桥梁进行牵拉、吊装等施工作业</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1.对通行秩序、市容秩序造成较大影响的，系数4；2.造成行人伤亡或其它严重事故的，系数9；3.对桥梁造成损害影响使用的，系数9。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3"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65" w:name="_Toc1973624040"/>
            <w:bookmarkStart w:id="66" w:name="_Toc110851455"/>
            <w:bookmarkStart w:id="67" w:name="_Toc1054887660"/>
            <w:r>
              <w:rPr>
                <w:rFonts w:hint="eastAsia" w:asciiTheme="minorEastAsia" w:hAnsiTheme="minorEastAsia" w:eastAsiaTheme="minorEastAsia"/>
                <w:color w:val="auto"/>
                <w:sz w:val="21"/>
                <w:szCs w:val="21"/>
                <w:highlight w:val="none"/>
              </w:rPr>
              <w:t>《北京市地下设施检查井井盖管理规定》案由5项</w:t>
            </w:r>
            <w:bookmarkEnd w:id="65"/>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井盖管理单位未建立管理制度</w:t>
            </w:r>
          </w:p>
        </w:tc>
        <w:tc>
          <w:tcPr>
            <w:tcW w:w="2789" w:type="dxa"/>
            <w:shd w:val="clear" w:color="auto" w:fill="auto"/>
            <w:vAlign w:val="center"/>
          </w:tcPr>
          <w:p>
            <w:pPr>
              <w:spacing w:line="22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违反条款：第九条第一款；处罚条款：第十一条第一款，责令限期改正，并可处200元以上2000元以下罚款。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需要给予1000元以下处罚的，报案审会决定。</w:t>
            </w:r>
          </w:p>
        </w:tc>
        <w:tc>
          <w:tcPr>
            <w:tcW w:w="824" w:type="dxa"/>
            <w:shd w:val="clear" w:color="auto" w:fill="auto"/>
            <w:vAlign w:val="center"/>
          </w:tcPr>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7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未及时补装、维修或更换井盖</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20"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擅自移动井盖</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1．擅自移动车站、机场、居民小区、医院、学校、体育场馆、影剧院、繁华商业街区、旅游景区等人口集中地区井盖的，系数4；2.致人伤亡或者损害车辆等严重事故的，系数9。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井盖作业未采取安全措施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井盖作业完毕未及时清理现场、恢复原状</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5"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68" w:name="_Toc110851456"/>
            <w:bookmarkStart w:id="69" w:name="_Toc1693504403"/>
            <w:bookmarkStart w:id="70" w:name="_Toc127354969"/>
            <w:r>
              <w:rPr>
                <w:rFonts w:hint="eastAsia" w:ascii="黑体" w:hAnsi="黑体" w:eastAsia="黑体"/>
                <w:b w:val="0"/>
                <w:color w:val="auto"/>
                <w:sz w:val="36"/>
                <w:szCs w:val="36"/>
                <w:highlight w:val="none"/>
              </w:rPr>
              <w:t>公用事业管理方面</w:t>
            </w:r>
            <w:bookmarkEnd w:id="68"/>
            <w:bookmarkEnd w:id="69"/>
            <w:bookmark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54"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1" w:name="_Toc1349825120"/>
            <w:bookmarkStart w:id="72" w:name="_Toc110851457"/>
            <w:bookmarkStart w:id="73" w:name="_Toc186777701"/>
            <w:r>
              <w:rPr>
                <w:rFonts w:hint="eastAsia" w:asciiTheme="minorEastAsia" w:hAnsiTheme="minorEastAsia" w:eastAsiaTheme="minorEastAsia"/>
                <w:color w:val="auto"/>
                <w:sz w:val="21"/>
                <w:szCs w:val="21"/>
                <w:highlight w:val="none"/>
              </w:rPr>
              <w:t>《城镇燃气管理条例》案由30项</w:t>
            </w:r>
            <w:bookmarkEnd w:id="71"/>
            <w:bookmarkEnd w:id="72"/>
            <w:bookmark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未取得燃气经营许可从事经营活动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违反条款：第十五条第一款；处罚条款：第四十五条第一款 责令停止违法行为，处5万元以上50万元以下罚款。有违法所得的，没收违法所得。</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1.跨区级区域经营的或者违规经营规模较大(气瓶数量超过28个)，系数5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不按照燃气经营许可的规定从事经营活动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宋体" w:asciiTheme="minorEastAsia" w:hAnsiTheme="minorEastAsia" w:eastAsiaTheme="minorEastAsia"/>
                <w:color w:val="auto"/>
                <w:kern w:val="0"/>
                <w:sz w:val="15"/>
                <w:szCs w:val="15"/>
                <w:highlight w:val="none"/>
              </w:rPr>
              <w:t>，或者经营场所在人口集中地区、人员密集场所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安全隐患的，系数6。</w:t>
            </w:r>
          </w:p>
        </w:tc>
        <w:tc>
          <w:tcPr>
            <w:tcW w:w="1785" w:type="dxa"/>
            <w:tcBorders>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cs="宋体" w:asciiTheme="minorEastAsia" w:hAnsiTheme="minorEastAsia" w:eastAsiaTheme="minorEastAsia"/>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tcBorders>
              <w:left w:val="single" w:color="auto" w:sz="4" w:space="0"/>
            </w:tcBorders>
            <w:shd w:val="clear" w:color="auto" w:fill="FFFFFF"/>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拒绝向市政燃气管网覆盖范围内符合用气条件的单位或者个人供气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1.断供超过12小时的，或影响1000户以上（含1000户）居民无法正常供气超过2小时的，系数9；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tcBorders>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w:t>
            </w:r>
            <w:r>
              <w:rPr>
                <w:rFonts w:asciiTheme="minorEastAsia" w:hAnsiTheme="minorEastAsia" w:eastAsiaTheme="minorEastAsia"/>
                <w:color w:val="auto"/>
                <w:sz w:val="15"/>
                <w:szCs w:val="15"/>
                <w:highlight w:val="none"/>
              </w:rPr>
              <w:t>市政燃气管网覆盖范围内</w:t>
            </w:r>
            <w:r>
              <w:rPr>
                <w:rFonts w:hint="eastAsia" w:asciiTheme="minorEastAsia" w:hAnsiTheme="minorEastAsia" w:eastAsiaTheme="minorEastAsia"/>
                <w:color w:val="auto"/>
                <w:sz w:val="15"/>
                <w:szCs w:val="15"/>
                <w:highlight w:val="none"/>
              </w:rPr>
              <w:t>燃气断供超过12小时的，或影响1000户以上（含1000户）居民无法正常供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倒卖、抵押、出租、出借、转让、涂改燃气经营许可证</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燃气安全隐患的，系数9。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擅自停止供气、调整供气量，或者擅自停业或者歇业</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1.断供超过12小时的，或者100户以上（含100户）居民无法正常用气超过24小时的；或影响1000户以上（含1000户）居民无法正常供气超过2小时的，系数9；</w:t>
            </w:r>
          </w:p>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 2.导致</w:t>
            </w:r>
            <w:r>
              <w:rPr>
                <w:rFonts w:asciiTheme="minorEastAsia" w:hAnsiTheme="minorEastAsia" w:eastAsiaTheme="minorEastAsia"/>
                <w:color w:val="auto"/>
                <w:sz w:val="15"/>
                <w:szCs w:val="15"/>
                <w:highlight w:val="none"/>
              </w:rPr>
              <w:t>燃气管网覆盖范围内</w:t>
            </w:r>
            <w:r>
              <w:rPr>
                <w:rFonts w:hint="eastAsia" w:asciiTheme="minorEastAsia" w:hAnsiTheme="minorEastAsia" w:eastAsiaTheme="minorEastAsia"/>
                <w:color w:val="auto"/>
                <w:sz w:val="15"/>
                <w:szCs w:val="15"/>
                <w:highlight w:val="none"/>
              </w:rPr>
              <w:t>燃气断供超过12小时，或者100户以上（含100户）居民无法正常用气超过24小时的；或影响1000户以上（含1000户）居民无法正常供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向未取得燃气经营许可证的单位或者个人提供用于经营的燃气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1.持续时间超过半年的，系数4；持续时间1年以上，系数9；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燃气经营者在不具备安全条件的场所储存燃气</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spacing w:val="-6"/>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要求燃气用户购买其指定的产品或者接受其提供的服务</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发生燃气安全事故，经事故调查部门认定，事故发生与其提供的产品或服务存在因果关系的，系数9。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未向燃气用户持续、稳定、安全供应符合国家质量标准的燃气，或者未对燃气用户的燃气设施定期进行安全检查</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.发生燃气安全事故，经事故调查部门认定，事故发生与其提供的燃气质量不符合国家标准，或者未履行定期安全检查义务存在因果关系的，系数9。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销售充装单位擅自为非自有气瓶充装的瓶装燃气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违反条款：第十八条第（八）项；处罚条款：第四十七条第二款 责令改正，可以处1万元以下罚款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违法行为持续时间超过半年的，系数4；1年以上，系数9；2.未按燃气管理部门要求整改，或整改后再次发生类似违法行为的，系数9；3.发生相关燃气安全事故的，系数9。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未按规定设置燃气设施保护装置和安全警示标志</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《城镇燃气管理条例》违反条款：第三十五条；处罚条款：第四十八条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auto"/>
            <w:vAlign w:val="center"/>
          </w:tcPr>
          <w:p>
            <w:pPr>
              <w:spacing w:line="232" w:lineRule="exact"/>
              <w:rPr>
                <w:rFonts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pStyle w:val="10"/>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【《北京市安全生产行政处罚自由裁量基准（2022年修订版）》一、（十七）</w:t>
            </w:r>
          </w:p>
          <w:p>
            <w:pPr>
              <w:pStyle w:val="10"/>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1.未在有较大危险因素的生产经营场所和有关设施、设备上设置明显的安全警示标志有 5 处以下的，处 2 万元以下的罚款；逾期未改正的，处 5 万元以上 10 万元以下的罚款，对其直接负责的主管人员和其他直接责任人员处 1万元以上 2 万元以下的罚款；</w:t>
            </w:r>
          </w:p>
          <w:p>
            <w:pPr>
              <w:pStyle w:val="10"/>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2.未在有较大危险因素的生产经营场所和有关设施、设备上设置明显的安全警示标志有 5 处以上 10 处以下的，处 2 万元以上 4 万元以下的罚款；逾期未改正的，处 10 万元以上 15 万元以下的罚款，对其直接负责的主管人员和其他直接责任人员处 1 万元以上 2 万元以下的罚款；</w:t>
            </w:r>
          </w:p>
          <w:p>
            <w:pPr>
              <w:pStyle w:val="10"/>
              <w:rPr>
                <w:rFonts w:hint="eastAsia"/>
                <w:lang w:val="en-US" w:eastAsia="zh-CN"/>
              </w:rPr>
            </w:pPr>
            <w:r>
              <w:rPr>
                <w:rFonts w:hint="eastAsia" w:cs="Times New Roman" w:asciiTheme="minorEastAsia" w:hAnsiTheme="minorEastAsia" w:eastAsiaTheme="minorEastAsia"/>
                <w:color w:val="auto"/>
                <w:spacing w:val="-4"/>
                <w:sz w:val="15"/>
                <w:szCs w:val="15"/>
                <w:highlight w:val="none"/>
                <w:lang w:val="en-US" w:eastAsia="zh-CN"/>
              </w:rPr>
              <w:t>3.未在有较大危险因素的生产经营场所和有关设施、设备上设置明显的安全警示标志有 10 处以上的，处 4 万元以上 5 万元以下的罚款；逾期未改正的，处 15 万元以上 20 万元以下的罚款，对其直接负责的主管人员和其他直接责任人员处 1 万元以上 2 万元以下的罚款。】</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对燃气经营者</w:t>
            </w:r>
            <w:r>
              <w:rPr>
                <w:rFonts w:hint="eastAsia" w:cs="宋体" w:asciiTheme="minorEastAsia" w:hAnsiTheme="minorEastAsia" w:eastAsiaTheme="minorEastAsia"/>
                <w:color w:val="auto"/>
                <w:kern w:val="0"/>
                <w:sz w:val="15"/>
                <w:szCs w:val="15"/>
                <w:highlight w:val="none"/>
              </w:rPr>
              <w:t>的</w:t>
            </w:r>
            <w:r>
              <w:rPr>
                <w:rFonts w:cs="宋体" w:asciiTheme="minorEastAsia" w:hAnsiTheme="minorEastAsia" w:eastAsiaTheme="minorEastAsia"/>
                <w:color w:val="auto"/>
                <w:kern w:val="0"/>
                <w:sz w:val="15"/>
                <w:szCs w:val="15"/>
                <w:highlight w:val="none"/>
              </w:rPr>
              <w:t>违法行为，适用《城镇燃气管理条例》处罚。逾期未改正的，应另行立案，适用《中华人民共和国安全生产法》“逾期未改正”情形处罚。</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燃气经营者未定期进行巡查、检测、维修和维护 </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 xml:space="preserve"> </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未采取措施及时消除燃气安全事故隐患</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违反条款：《城镇燃气管理条例》第四十一条第一款；处罚条款：第四十八条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color w:val="auto"/>
                <w:highlight w:val="none"/>
              </w:rPr>
            </w:pPr>
            <w:r>
              <w:rPr>
                <w:rFonts w:hint="eastAsia" w:asciiTheme="minorEastAsia" w:hAnsiTheme="minorEastAsia" w:eastAsiaTheme="minorEastAsia"/>
                <w:color w:val="auto"/>
                <w:sz w:val="15"/>
                <w:szCs w:val="15"/>
                <w:highlight w:val="none"/>
              </w:rPr>
              <w:t>对燃气经营者相关违法行为，适用《城镇燃气管理条例》处罚。拒不执行的，应另行立案，适用《中华人民共和国安全生产法》“拒不执行”情形处罚。</w:t>
            </w:r>
          </w:p>
          <w:p>
            <w:pPr>
              <w:pStyle w:val="2"/>
              <w:ind w:left="0" w:leftChars="0" w:firstLine="0" w:firstLineChars="0"/>
              <w:rPr>
                <w:color w:val="auto"/>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5780" w:type="dxa"/>
            <w:gridSpan w:val="4"/>
            <w:shd w:val="clear" w:color="auto" w:fill="auto"/>
            <w:vAlign w:val="center"/>
          </w:tcPr>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pStyle w:val="10"/>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【《北京市安全生产行政处罚自由裁量基准（2022年修订版）》一、（二十七）</w:t>
            </w:r>
          </w:p>
          <w:p>
            <w:pPr>
              <w:pStyle w:val="10"/>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1.对 1 处一般事故隐患未采取措施消除的，处 2 万元以下的罚款；</w:t>
            </w:r>
            <w:r>
              <w:rPr>
                <w:rFonts w:hint="eastAsia" w:cs="Times New Roman" w:asciiTheme="minorEastAsia" w:hAnsiTheme="minorEastAsia" w:eastAsiaTheme="minorEastAsia"/>
                <w:b/>
                <w:bCs/>
                <w:color w:val="auto"/>
                <w:spacing w:val="-4"/>
                <w:sz w:val="15"/>
                <w:szCs w:val="15"/>
                <w:highlight w:val="none"/>
                <w:lang w:val="en-US" w:eastAsia="zh-CN"/>
              </w:rPr>
              <w:t>拒不执行的，对其直接负责的主管人员和其他直接责任人员处 5 万元以上 7 万元以下的罚款；</w:t>
            </w:r>
          </w:p>
          <w:p>
            <w:pPr>
              <w:pStyle w:val="10"/>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2.对 2 处一般事故隐患未采取措施消除的，处 2 万元以上 4 万元以下的罚款；</w:t>
            </w:r>
            <w:r>
              <w:rPr>
                <w:rFonts w:hint="eastAsia" w:cs="Times New Roman" w:asciiTheme="minorEastAsia" w:hAnsiTheme="minorEastAsia" w:eastAsiaTheme="minorEastAsia"/>
                <w:b/>
                <w:bCs/>
                <w:color w:val="auto"/>
                <w:spacing w:val="-4"/>
                <w:sz w:val="15"/>
                <w:szCs w:val="15"/>
                <w:highlight w:val="none"/>
                <w:lang w:val="en-US" w:eastAsia="zh-CN"/>
              </w:rPr>
              <w:t>拒不执行的，对其直接负责的主管人员和其他直接责任人员处 7 万元以上 9 万元以下的罚款；</w:t>
            </w:r>
          </w:p>
          <w:p>
            <w:pPr>
              <w:pStyle w:val="10"/>
              <w:rPr>
                <w:rFonts w:hint="eastAsia"/>
                <w:lang w:val="en-US" w:eastAsia="zh-CN"/>
              </w:rPr>
            </w:pPr>
            <w:r>
              <w:rPr>
                <w:rFonts w:hint="eastAsia" w:cs="Times New Roman" w:asciiTheme="minorEastAsia" w:hAnsiTheme="minorEastAsia" w:eastAsiaTheme="minorEastAsia"/>
                <w:color w:val="auto"/>
                <w:spacing w:val="-4"/>
                <w:sz w:val="15"/>
                <w:szCs w:val="15"/>
                <w:highlight w:val="none"/>
                <w:lang w:val="en-US" w:eastAsia="zh-CN"/>
              </w:rPr>
              <w:t>3.对重大事故隐患或者 3 处以上一般事故隐患未采取措施消除的，处 4 万元以上 5 万元以下的罚款；</w:t>
            </w:r>
            <w:r>
              <w:rPr>
                <w:rFonts w:hint="eastAsia" w:cs="Times New Roman" w:asciiTheme="minorEastAsia" w:hAnsiTheme="minorEastAsia" w:eastAsiaTheme="minorEastAsia"/>
                <w:b/>
                <w:bCs/>
                <w:color w:val="auto"/>
                <w:spacing w:val="-4"/>
                <w:sz w:val="15"/>
                <w:szCs w:val="15"/>
                <w:highlight w:val="none"/>
                <w:lang w:val="en-US" w:eastAsia="zh-CN"/>
              </w:rPr>
              <w:t>拒不执行的，对其直接负责的主管人员和其他直接责任人员处 9 万元以上 10 万元以下的罚款。</w:t>
            </w:r>
            <w:r>
              <w:rPr>
                <w:rFonts w:hint="eastAsia" w:cs="Times New Roman" w:asciiTheme="minorEastAsia" w:hAnsiTheme="minorEastAsia" w:eastAsiaTheme="minorEastAsia"/>
                <w:color w:val="auto"/>
                <w:spacing w:val="-4"/>
                <w:sz w:val="15"/>
                <w:szCs w:val="15"/>
                <w:highlight w:val="none"/>
                <w:lang w:val="en-US" w:eastAsia="zh-CN"/>
              </w:rPr>
              <w:t>】</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pPr>
              <w:spacing w:line="232" w:lineRule="exact"/>
              <w:ind w:firstLine="242"/>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擅自操作公用燃气阀门</w:t>
            </w:r>
          </w:p>
        </w:tc>
        <w:tc>
          <w:tcPr>
            <w:tcW w:w="2789"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lang w:val="en-US" w:eastAsia="zh-CN"/>
              </w:rPr>
              <w:t>安</w:t>
            </w:r>
            <w:r>
              <w:rPr>
                <w:rFonts w:hint="eastAsia" w:cs="宋体" w:asciiTheme="minorEastAsia" w:hAnsiTheme="minorEastAsia" w:eastAsiaTheme="minorEastAsia"/>
                <w:color w:val="auto"/>
                <w:kern w:val="0"/>
                <w:sz w:val="15"/>
                <w:szCs w:val="15"/>
                <w:highlight w:val="none"/>
              </w:rPr>
              <w:t>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将燃气管道作为负重支架或者接地引线</w:t>
            </w:r>
          </w:p>
        </w:tc>
        <w:tc>
          <w:tcPr>
            <w:tcW w:w="2789"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安装、使用不符合气源要求的燃气燃烧器具</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default" w:asciiTheme="minorEastAsia" w:hAnsiTheme="minorEastAsia" w:eastAsiaTheme="minorEastAsia"/>
                <w:color w:val="auto"/>
                <w:sz w:val="15"/>
                <w:szCs w:val="15"/>
                <w:highlight w:val="none"/>
                <w:lang w:val="en" w:eastAsia="zh-CN"/>
              </w:rPr>
              <w:t>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lang w:val="en-US" w:eastAsia="zh-CN"/>
              </w:rPr>
              <w:t>3</w:t>
            </w:r>
            <w:r>
              <w:rPr>
                <w:rFonts w:hint="default" w:asciiTheme="minorEastAsia" w:hAnsiTheme="minorEastAsia" w:eastAsiaTheme="minorEastAsia"/>
                <w:color w:val="auto"/>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擅自安装、改装、拆除户内燃气设施和燃气计量装置</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在不具备安全条件的场所使用、储存燃气</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改变燃气用途或者转供燃气</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未设立售后服务站点或者未配备经考核合格的燃气燃烧器具安装、维修人员</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燃气燃烧器具的安装、维修不符合国家有关标准</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在燃气设施保护范围内进行爆破取土等作业或者动用明火</w:t>
            </w:r>
          </w:p>
        </w:tc>
        <w:tc>
          <w:tcPr>
            <w:tcW w:w="2789"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违反条款：第三十三条第二款第（二）项；处罚条款：第五十条第一款第（一）项 责令停止违法行为，限期恢复原状或者采取其它补救措施，对单位处5万元以上10万元以下罚款，对个人处5000元以上5万元以下罚款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在燃气设施保护范围内倾倒、排放腐蚀性物质</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违反条款：第三十三条第二款第（三）项；处罚条款：第五十条第一款第（二）项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在燃气设施保护范围内放置易燃易爆物品或者种植深根植物</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违反条款：第三十三条第二款第（四）项；处罚条款：第五十条第一款第（三）项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在燃气设施保护范围内擅自从事敷设管道、打桩、顶进、挖掘、钻探等可能影响燃气设施安全活动</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违反条款：第三十四条；处罚条款：第五十条第一款第（四）项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侵占、毁损、擅自拆除、移动燃气设施</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擅自改动市政燃气设施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pStyle w:val="2"/>
              <w:ind w:left="0" w:leftChars="0" w:firstLine="0" w:firstLineChars="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.存在</w:t>
            </w:r>
            <w:r>
              <w:rPr>
                <w:rFonts w:hint="eastAsia" w:cs="宋体" w:asciiTheme="minorEastAsia" w:hAnsiTheme="minorEastAsia" w:eastAsiaTheme="minorEastAsia"/>
                <w:color w:val="auto"/>
                <w:kern w:val="0"/>
                <w:sz w:val="15"/>
                <w:szCs w:val="15"/>
                <w:highlight w:val="none"/>
              </w:rPr>
              <w:t>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毁损、覆盖、涂改、擅自拆除或者移动燃气设施安全警示标志</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违反条款：第三十六条第一款；处罚条款：第五十一条第二款 责令限期改正，恢复原状，可以处5000元以下罚款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发生在人口集中地区或人员密集场所的，系数2；2.导致相关燃气安全事故的，系数4。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处以1000元以下的罚款。按照办法规定和实际情况执行。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建设单位未会同施工单位与管道燃气经营者共同制定燃气设施保护方案</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建设单位、施工单位未采取安全保护措施，确保燃气设施运行安全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6"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4" w:name="_Toc110851458"/>
            <w:bookmarkStart w:id="75" w:name="_Toc1968530984"/>
            <w:bookmarkStart w:id="76" w:name="_Toc1196070723"/>
            <w:r>
              <w:rPr>
                <w:rFonts w:hint="eastAsia" w:asciiTheme="minorEastAsia" w:hAnsiTheme="minorEastAsia" w:eastAsiaTheme="minorEastAsia"/>
                <w:color w:val="auto"/>
                <w:sz w:val="21"/>
                <w:szCs w:val="21"/>
                <w:highlight w:val="none"/>
              </w:rPr>
              <w:t>《北京市燃气管理条例》案由26项</w:t>
            </w:r>
            <w:bookmarkEnd w:id="74"/>
            <w:bookmarkEnd w:id="75"/>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未取得燃气经营许可从事燃气经营活动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处罚条款：第五十五条第一款 责令停止违法行为，处五万元以上五十万元以下罚款；有违法所得的，没收违法所得。</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1.跨区级区域经营或者违规经营规模较大(气瓶数量超过28个)，系数5；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2</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燃气供应企业不按照燃气经营许可决定的要求从事燃气经营活动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违反条款：第十六条第四款；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，系数6。</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p>
            <w:pPr>
              <w:spacing w:line="232" w:lineRule="exact"/>
              <w:rPr>
                <w:rFonts w:cs="仿宋_GB2312"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3</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燃气供应企业不符合燃气经营许可条件要求从事燃气经营活动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安全隐患的，系数6。</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before="100" w:beforeAutospacing="1" w:after="100" w:afterAutospacing="1"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keepNext w:val="0"/>
              <w:keepLines w:val="0"/>
              <w:pageBreakBefore w:val="0"/>
              <w:widowControl w:val="0"/>
              <w:kinsoku/>
              <w:wordWrap/>
              <w:overflowPunct/>
              <w:topLinePunct w:val="0"/>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keepNext w:val="0"/>
              <w:keepLines w:val="0"/>
              <w:pageBreakBefore w:val="0"/>
              <w:widowControl w:val="0"/>
              <w:kinsoku/>
              <w:wordWrap/>
              <w:overflowPunct/>
              <w:topLinePunct w:val="0"/>
              <w:autoSpaceDE w:val="0"/>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0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燃气供应企业违反规定情形与非居民用户签订供用气合同（进行供气）</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第二十条（一）（二）（三）项（根据实际情况选择适用）；</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仿宋_GB2312"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kern w:val="0"/>
                <w:sz w:val="15"/>
                <w:szCs w:val="15"/>
                <w:highlight w:val="none"/>
              </w:rPr>
              <w:t>1.存在第二十条第（二）项违法行为的，系数1；2.同时违反第二十条第（一）（二）（三）项中两项违法行为的，系数2；两项以上违法行为的，系数3-4；3.发生燃气事故，或者其它严重影响用气情形的，系数4。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燃气供应企业未向用户提供安全、稳定、质量合格和价格合理的服务</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违反条款：第二十一条第一款；</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的，系数2；2.未按燃气管理部门要求整改，或整改后再次发生类似违法行为的，系数4；3.发生燃气安全事故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燃气供应企业未建立和完善安全保障制度并遵守相关规定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违反条款：第二十二条第（一）（二）（三）（四）（五）（六）（七）（八）项（根据实际违法情形选择）；</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w:t>
            </w:r>
            <w:r>
              <w:rPr>
                <w:rFonts w:hint="eastAsia" w:cs="仿宋_GB2312" w:asciiTheme="minorEastAsia" w:hAnsiTheme="minorEastAsia" w:eastAsiaTheme="minorEastAsia"/>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7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1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7</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燃气供应企业未建立健全用户服务制度、规范服务行为并遵守相关规定</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违反条款：第二十三条第（一）（二）（三）（四）（五）（六）（七）项（根据实际违法情形选择）；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cs="仿宋_GB2312" w:asciiTheme="minorEastAsia" w:hAnsiTheme="minorEastAsia" w:eastAsiaTheme="minorEastAsia"/>
                <w:color w:val="auto"/>
                <w:kern w:val="0"/>
                <w:sz w:val="15"/>
                <w:szCs w:val="15"/>
                <w:highlight w:val="none"/>
                <w:lang w:eastAsia="zh-CN"/>
              </w:rPr>
              <w:t>做好</w:t>
            </w:r>
            <w:r>
              <w:rPr>
                <w:rFonts w:hint="eastAsia" w:cs="仿宋_GB2312" w:asciiTheme="minorEastAsia" w:hAnsiTheme="minorEastAsia" w:eastAsiaTheme="minorEastAsia"/>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1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8</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燃气供应企业销售瓶装液化石油气未如实记录用户基本信息以及用户持有气瓶的数量、定期检验周期和报废期限等情况</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9</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燃气供应企业未在用户持有的气瓶定期检验周期、报废期限到期前三十日内通知用户将气瓶送交处理</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1.未在气瓶报废期限到期前通知用户的，系数3-4；2.两次以上未在定期检验周期到期前通知用户的，系数2-4；3.发生燃气事故，或者其它严重影响用气情形的，系数4。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10</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燃气供应企业对非居民用户未直接配送、安装气瓶，并对其用气场所、燃气设施和用气设备进行安全检查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1.同时存在未直接配送、安装、进行安全检查两种情形的，系数1；同时存在三种情形的，系数2-4；2.发生燃气事故，或者其它严重影响用气情形的，系数4。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11</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燃气供应企业未对直接配送瓶装液化石油气居民用户的用气场所、燃气设施和用气设备进行安全检查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1.两次未进行安全检查，系数2-3；三次及以上未进行安全检查，系数4；2.影响正常用气的，系数2-3；3.发生燃气事故，或者其它严重影响用气情形的，系数4。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3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12</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燃气供应企业销售瓶装燃气未遵守相关规定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违反条款：第二十六条第一款第(一) (四)（五）(六)项（根据实际违法情形选择）；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13</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燃气供应企业未按要求对燃气用户暂停供气或者限制购气并进行报告</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违反条款：第三十一条第（一）（二）项（根据实际违法情形选择）；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燃气非居民用户未安装、使用符合要求的燃气燃烧器具及其连接管、燃气泄漏报警装置</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违反条款：第二十七条第一款；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处罚条款：第五十九条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15</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非居民用户存在燃气使用禁止的行为</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违反条款：第三十条第一款第（一）至（十二）项、第二款（根据实际违法情形选择）；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处罚条款：第六十条第一款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 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16</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居民用户存在燃气使用禁止的行为</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违反条款：第三十条第一款第(一)项至第(九)项、第(十一)项、第(十二)项（根据实际违法情形选择）；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需要作出200元以下罚款决定的，由执法人员在案卷中说明理由并自行决定。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17</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管道燃气供应企业未按照规范维修、安装、改装、移动或者拆除居民用户专有部分的燃气设施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违反条款：第三十三条第一款；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18</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单位侵占、毁损，擅自拆除、改装、安装、移动燃气设施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1"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19</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燃气供应企业不按照燃气设施改动许可的要求实施作业</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违反条款：第三十六条第五款；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其它影响用气情形的，系数0.5；2.发生燃气事故</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20</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个人擅自拆除、改装、安装或者移动户内管道燃气设施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pPr>
              <w:numPr>
                <w:ilvl w:val="0"/>
                <w:numId w:val="0"/>
              </w:numPr>
              <w:spacing w:line="232" w:lineRule="exact"/>
              <w:rPr>
                <w:rFonts w:hint="eastAsia" w:cs="仿宋_GB2312" w:asciiTheme="minorEastAsia" w:hAnsiTheme="minorEastAsia" w:eastAsiaTheme="minorEastAsia"/>
                <w:strike w:val="0"/>
                <w:dstrike w:val="0"/>
                <w:color w:val="auto"/>
                <w:kern w:val="0"/>
                <w:sz w:val="15"/>
                <w:szCs w:val="15"/>
                <w:highlight w:val="none"/>
              </w:rPr>
            </w:pPr>
            <w:r>
              <w:rPr>
                <w:rFonts w:hint="eastAsia" w:cs="仿宋_GB2312" w:asciiTheme="minorEastAsia" w:hAnsiTheme="minorEastAsia" w:eastAsiaTheme="minorEastAsia"/>
                <w:strike w:val="0"/>
                <w:dstrike w:val="0"/>
                <w:color w:val="auto"/>
                <w:kern w:val="0"/>
                <w:sz w:val="15"/>
                <w:szCs w:val="15"/>
                <w:highlight w:val="none"/>
                <w:lang w:val="en-US" w:eastAsia="zh-CN"/>
              </w:rPr>
              <w:t>1.</w:t>
            </w:r>
            <w:r>
              <w:rPr>
                <w:rFonts w:hint="eastAsia" w:cs="仿宋_GB2312" w:asciiTheme="minorEastAsia" w:hAnsiTheme="minorEastAsia" w:eastAsiaTheme="minorEastAsia"/>
                <w:strike w:val="0"/>
                <w:dstrike w:val="0"/>
                <w:color w:val="auto"/>
                <w:kern w:val="0"/>
                <w:sz w:val="15"/>
                <w:szCs w:val="15"/>
                <w:highlight w:val="none"/>
              </w:rPr>
              <w:t>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strike w:val="0"/>
                <w:dstrike w:val="0"/>
                <w:color w:val="auto"/>
                <w:kern w:val="0"/>
                <w:sz w:val="15"/>
                <w:szCs w:val="15"/>
                <w:highlight w:val="none"/>
              </w:rPr>
              <w:t>其它影响用气情形的，系数5-8；2.发生燃气事故</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strike w:val="0"/>
                <w:dstrike w:val="0"/>
                <w:color w:val="auto"/>
                <w:kern w:val="0"/>
                <w:sz w:val="15"/>
                <w:szCs w:val="15"/>
                <w:highlight w:val="none"/>
              </w:rPr>
              <w:t>安全隐患</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或者其它严重影响用气情形的，系数9。</w:t>
            </w:r>
          </w:p>
          <w:p>
            <w:pPr>
              <w:numPr>
                <w:ilvl w:val="0"/>
                <w:numId w:val="0"/>
              </w:numPr>
              <w:spacing w:line="232" w:lineRule="exact"/>
              <w:rPr>
                <w:rFonts w:cs="仿宋_GB2312"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逾期不改正的，才能实施处罚；逾期不改正的情形，不纳入本案由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；能够及时改正的，可作出不予处罚决定。</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需要作出100元以下罚款决定的，由执法人员说明理由并自行决定。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8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21</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个人侵占、毁损，擅自拆除、改装、安装或者移动户外燃气设施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仿宋_GB2312"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22</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建设单位未在地下管线安全防护信息系统发布施工作业信息</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8"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23</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燃气供应企业未就地下管道燃气设施情况及时告知建设单位</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8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建设单位未采取措施确保地下管道燃气设施运行安全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处罚条款：第六十三条第二款 责令限期改正，对建设单位处一万元以上十万元以下罚款。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1.同时存在两项（含两项）以上违法行为的，系数5-9；2.违法行为影响正常用气的，系数5-9；3.发生燃气事故，存在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25</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施工单位未按照安全保护方案进行施工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违反条款：第三十八条第一款；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处罚条款：第六十四条 责令限期改正，处一万元以上十万元以下罚款。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违法行为影响正常用气的，系数5-9；</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安全隐患或者的，系数9。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4" w:hRule="atLeast"/>
          <w:jc w:val="center"/>
        </w:trPr>
        <w:tc>
          <w:tcPr>
            <w:tcW w:w="940" w:type="dxa"/>
            <w:vMerge w:val="restart"/>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26</w:t>
            </w:r>
          </w:p>
        </w:tc>
        <w:tc>
          <w:tcPr>
            <w:tcW w:w="1500" w:type="dxa"/>
            <w:vMerge w:val="restart"/>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在管道燃气设施保护范围内从事危及管道燃气设施安全的活动</w:t>
            </w:r>
          </w:p>
        </w:tc>
        <w:tc>
          <w:tcPr>
            <w:tcW w:w="2789" w:type="dxa"/>
            <w:vMerge w:val="restart"/>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违反条款：第四十一条第二款第(二)（三）(四)项（根据实际违法情形选择）；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w:t>
            </w:r>
            <w:r>
              <w:rPr>
                <w:rFonts w:hint="eastAsia" w:cs="仿宋_GB2312" w:asciiTheme="minorEastAsia" w:hAnsiTheme="minorEastAsia" w:eastAsiaTheme="minorEastAsia"/>
                <w:color w:val="auto"/>
                <w:kern w:val="0"/>
                <w:sz w:val="15"/>
                <w:szCs w:val="15"/>
                <w:highlight w:val="none"/>
                <w:lang w:eastAsia="zh-CN"/>
              </w:rPr>
              <w:t>或者存在</w:t>
            </w:r>
            <w:r>
              <w:rPr>
                <w:rFonts w:hint="eastAsia" w:cs="仿宋_GB2312" w:asciiTheme="minorEastAsia" w:hAnsiTheme="minorEastAsia" w:eastAsiaTheme="minorEastAsia"/>
                <w:color w:val="auto"/>
                <w:kern w:val="0"/>
                <w:sz w:val="15"/>
                <w:szCs w:val="15"/>
                <w:highlight w:val="none"/>
              </w:rPr>
              <w:t>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val="en"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r>
              <w:rPr>
                <w:rFonts w:hint="eastAsia" w:cs="仿宋_GB2312" w:asciiTheme="minorEastAsia" w:hAnsiTheme="minorEastAsia" w:eastAsiaTheme="minorEastAsia"/>
                <w:strike/>
                <w:dstrike w:val="0"/>
                <w:color w:val="auto"/>
                <w:kern w:val="0"/>
                <w:sz w:val="15"/>
                <w:szCs w:val="15"/>
                <w:highlight w:val="none"/>
              </w:rPr>
              <w:br w:type="textWrapping"/>
            </w:r>
          </w:p>
        </w:tc>
        <w:tc>
          <w:tcPr>
            <w:tcW w:w="824" w:type="dxa"/>
            <w:vMerge w:val="restart"/>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18"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w:t>
            </w:r>
            <w:r>
              <w:rPr>
                <w:rFonts w:hint="eastAsia" w:cs="宋体" w:asciiTheme="minorEastAsia" w:hAnsiTheme="minorEastAsia" w:eastAsiaTheme="minorEastAsia"/>
                <w:color w:val="auto"/>
                <w:kern w:val="0"/>
                <w:sz w:val="15"/>
                <w:szCs w:val="15"/>
                <w:highlight w:val="none"/>
              </w:rPr>
              <w:t>系数7</w:t>
            </w:r>
            <w:r>
              <w:rPr>
                <w:rFonts w:hint="eastAsia" w:cs="仿宋_GB2312" w:asciiTheme="minorEastAsia" w:hAnsiTheme="minorEastAsia" w:eastAsiaTheme="minorEastAsia"/>
                <w:color w:val="auto"/>
                <w:kern w:val="0"/>
                <w:sz w:val="15"/>
                <w:szCs w:val="15"/>
                <w:highlight w:val="none"/>
              </w:rPr>
              <w:t>；2.发生燃气事故，存在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0"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违反条款：第四十一条第二款第(五)项；</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处罚条款：第六十六条第三款 责令限期改正，恢复原状，处五千元以下罚款。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的，系数2；2.导致相关燃气安全事故的，系数4。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0"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7" w:name="_Toc110851459"/>
            <w:bookmarkStart w:id="78" w:name="_Toc697937810"/>
            <w:bookmarkStart w:id="79" w:name="_Toc820743127"/>
            <w:r>
              <w:rPr>
                <w:rFonts w:hint="eastAsia" w:asciiTheme="minorEastAsia" w:hAnsiTheme="minorEastAsia" w:eastAsiaTheme="minorEastAsia"/>
                <w:color w:val="auto"/>
                <w:sz w:val="21"/>
                <w:szCs w:val="21"/>
                <w:highlight w:val="none"/>
              </w:rPr>
              <w:t>《北京市消防条例》案由1项</w:t>
            </w:r>
            <w:bookmarkEnd w:id="77"/>
            <w:bookmarkEnd w:id="78"/>
            <w:bookmark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人员密集场所使用天然气、液化石油气未安装浓度检测报警装置</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违反条款：第二十八条第（四）项；处罚条款：第八十三条 责令改正，并可处1万元以上3万元以下罚款。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违反条款：《中华人民共和国安全生产法》第三十六条第四款；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适用于餐饮等行业的生产经营单位使用燃气的情形。</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1.适用于餐饮等行业的生产经营单位使用燃气，逾期未改正的情形。</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2.处罚单位，同时处罚直接负责的主管人员和其他直接责任人员。</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（直接负责的主管人员和其他直接责任人员）</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0" w:name="_Toc110851460"/>
            <w:bookmarkStart w:id="81" w:name="_Toc913761828"/>
            <w:bookmarkStart w:id="82" w:name="_Toc1826085962"/>
            <w:r>
              <w:rPr>
                <w:rFonts w:hint="eastAsia" w:asciiTheme="minorEastAsia" w:hAnsiTheme="minorEastAsia" w:eastAsiaTheme="minorEastAsia"/>
                <w:color w:val="auto"/>
                <w:sz w:val="21"/>
                <w:szCs w:val="21"/>
                <w:highlight w:val="none"/>
              </w:rPr>
              <w:t>《北京市清洁燃料车辆加气站管理规定》案由7项</w:t>
            </w:r>
            <w:bookmarkEnd w:id="80"/>
            <w:bookmarkEnd w:id="81"/>
            <w:bookmark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加气站未遵守操作规程或未设专人监护</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非操作人员进行充气作业</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违反条款：第九条第（一）项；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加气站为其他容器充气</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8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直接用运输槽车向车辆充气</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违反条款：第九条第（三）项；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6"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autoSpaceDE w:val="0"/>
              <w:spacing w:line="232"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使用明火检查</w:t>
            </w:r>
            <w:bookmarkStart w:id="218" w:name="_GoBack"/>
            <w:bookmarkEnd w:id="218"/>
            <w:r>
              <w:rPr>
                <w:rFonts w:hint="eastAsia" w:cs="宋体" w:asciiTheme="minorEastAsia" w:hAnsiTheme="minorEastAsia" w:eastAsiaTheme="minorEastAsia"/>
                <w:color w:val="auto"/>
                <w:kern w:val="0"/>
                <w:sz w:val="15"/>
                <w:szCs w:val="15"/>
                <w:highlight w:val="none"/>
                <w:lang w:eastAsia="zh-CN"/>
              </w:rPr>
              <w:t>燃气泄漏</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违反条款：第九条第（四）项；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w:t>
            </w:r>
            <w:r>
              <w:rPr>
                <w:rFonts w:hint="eastAsia" w:asciiTheme="minorEastAsia" w:hAnsiTheme="minorEastAsia" w:eastAsiaTheme="minorEastAsia"/>
                <w:color w:val="auto"/>
                <w:sz w:val="15"/>
                <w:szCs w:val="15"/>
                <w:highlight w:val="none"/>
              </w:rPr>
              <w:t>运营中</w:t>
            </w:r>
            <w:r>
              <w:rPr>
                <w:rFonts w:hint="eastAsia" w:cs="宋体" w:asciiTheme="minorEastAsia" w:hAnsiTheme="minorEastAsia" w:eastAsiaTheme="minorEastAsia"/>
                <w:color w:val="auto"/>
                <w:kern w:val="0"/>
                <w:sz w:val="15"/>
                <w:szCs w:val="15"/>
                <w:highlight w:val="none"/>
              </w:rPr>
              <w:t>存放其他易燃易爆物品或者使用明火</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违反条款：第九条第（五）项；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1"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在加气站内修车、洗车</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违反条款：第九条第（六）项；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3" w:name="_Toc1473999580"/>
            <w:bookmarkStart w:id="84" w:name="_Toc110851461"/>
            <w:bookmarkStart w:id="85" w:name="_Toc1699908422"/>
            <w:r>
              <w:rPr>
                <w:rFonts w:hint="eastAsia" w:asciiTheme="minorEastAsia" w:hAnsiTheme="minorEastAsia" w:eastAsiaTheme="minorEastAsia"/>
                <w:color w:val="auto"/>
                <w:sz w:val="21"/>
                <w:szCs w:val="21"/>
                <w:highlight w:val="none"/>
              </w:rPr>
              <w:t>《</w:t>
            </w:r>
            <w:r>
              <w:rPr>
                <w:rFonts w:asciiTheme="minorEastAsia" w:hAnsiTheme="minorEastAsia" w:eastAsiaTheme="minorEastAsia"/>
                <w:color w:val="auto"/>
                <w:sz w:val="21"/>
                <w:szCs w:val="21"/>
                <w:highlight w:val="none"/>
              </w:rPr>
              <w:t>北京市供热采暖管理办法</w:t>
            </w:r>
            <w:r>
              <w:rPr>
                <w:rFonts w:hint="eastAsia" w:asciiTheme="minorEastAsia" w:hAnsiTheme="minorEastAsia" w:eastAsiaTheme="minorEastAsia"/>
                <w:color w:val="auto"/>
                <w:sz w:val="21"/>
                <w:szCs w:val="21"/>
                <w:highlight w:val="none"/>
              </w:rPr>
              <w:t>》案由19项</w:t>
            </w:r>
            <w:bookmarkEnd w:id="83"/>
            <w:bookmarkEnd w:id="84"/>
            <w:bookmarkEnd w:id="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供热单位未办理备案手续</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供热单位未办理备案变更手续</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8"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供热单位提交的备案材料失实</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责令改正，情节严重的，可以处1万元以上3万元以下的罚款。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故意隐瞒相关情况，对安全、稳定、质量合格供热造成较大影响的，系数为1。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未实施供热设施安全巡检制度</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违反条款：第十三条第（一）项；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处罚条款：第三十一条第一款 予以警告，警告两次的，处2万元罚款。</w:t>
            </w:r>
          </w:p>
        </w:tc>
        <w:tc>
          <w:tcPr>
            <w:tcW w:w="851"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5"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供热前未提前在供热范围内进行公告</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违反条款：第十三条第（二）项；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处罚条款：第三十一条第二款 责令改正，并处1000元罚款。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7"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推迟、中止供热或者提前结束供热</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处罚条款：第三十二条第一款 责令改正，可以处5000元以上3万元以下罚款。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推迟、中止、提前结束供热</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天，变量系数为</w:t>
            </w:r>
            <w:r>
              <w:rPr>
                <w:rFonts w:hint="eastAsia" w:cs="宋体" w:asciiTheme="minorEastAsia" w:hAnsiTheme="minorEastAsia" w:eastAsiaTheme="minorEastAsia"/>
                <w:color w:val="auto"/>
                <w:kern w:val="0"/>
                <w:sz w:val="15"/>
                <w:szCs w:val="15"/>
                <w:highlight w:val="none"/>
                <w:lang w:val="en-US" w:eastAsia="zh-CN"/>
              </w:rPr>
              <w:t>1，3天的，系数2，以此类推，6天及以上的，系数5；2.造成较大社会影响的，系数3-5。</w:t>
            </w:r>
          </w:p>
        </w:tc>
        <w:tc>
          <w:tcPr>
            <w:tcW w:w="17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7" w:hRule="atLeast"/>
          <w:jc w:val="center"/>
        </w:trPr>
        <w:tc>
          <w:tcPr>
            <w:tcW w:w="9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采暖期内退出或者部分退出供热经营活动</w:t>
            </w:r>
          </w:p>
        </w:tc>
        <w:tc>
          <w:tcPr>
            <w:tcW w:w="2789"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处罚条款：第三十二条第二款 责令改正，并对供热单位处5万元以上10万元以下罚款，对供热单位法定代表人处1万元罚款。</w:t>
            </w: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对供热单位</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autoSpaceDE w:val="0"/>
              <w:spacing w:line="226"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9" w:hRule="atLeast"/>
          <w:jc w:val="center"/>
        </w:trPr>
        <w:tc>
          <w:tcPr>
            <w:tcW w:w="9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对法定代表人</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非采暖期内擅自退出或者部分退出供热经营活动，影响用户采暖</w:t>
            </w:r>
          </w:p>
        </w:tc>
        <w:tc>
          <w:tcPr>
            <w:tcW w:w="2789"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处罚条款：第三十二条第三款 责令限期改正，逾期未改正的，对供热单位处3万元罚款，对供热单位法定代表人处5000元罚款。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26"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按照法条规定执行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拆改室内共用供热设施、扩大采暖面积、增加散热设备</w:t>
            </w:r>
          </w:p>
        </w:tc>
        <w:tc>
          <w:tcPr>
            <w:tcW w:w="2789" w:type="dxa"/>
            <w:vMerge w:val="restart"/>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处罚条款：第三十三条 责令限期改正，逾期未改正的，可以处500元以上5000元以下罚款。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1．拆改行为明显影响到其它用户供暖效果的，系数为5；2.造成供暖中止等供暖事故的，系数为9。</w:t>
            </w: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26"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26"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装饰装修房屋妨碍对供热设施进行维修养护</w:t>
            </w:r>
          </w:p>
        </w:tc>
        <w:tc>
          <w:tcPr>
            <w:tcW w:w="2789" w:type="dxa"/>
            <w:vMerge w:val="continue"/>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1．严重影响到正常供暖的，系数为5；2.造成供暖事故的，系数为9。</w:t>
            </w: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26" w:lineRule="exact"/>
              <w:ind w:left="6" w:hanging="21"/>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26" w:lineRule="exact"/>
              <w:ind w:left="6" w:hanging="21"/>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擅自拆除、迁移、改建、变卖热源设施，影响用户采暖</w:t>
            </w:r>
          </w:p>
        </w:tc>
        <w:tc>
          <w:tcPr>
            <w:tcW w:w="2789"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处罚条款：第三十四条 责令限期改正，并处5万元以上10万元以下罚款。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1．明显影响到采暖效果的，系数为0.5；2.造成供暖中止等供暖事故的，系数为1。</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在地下热力管道安全间距范围内堆放物品，或者进行挖掘、取土、钻探、打桩、埋杆、栽植深根性植物和爆破作业</w:t>
            </w:r>
          </w:p>
        </w:tc>
        <w:tc>
          <w:tcPr>
            <w:tcW w:w="2789"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违反条款：第二十四条第（二）项；</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向供热管沟内排放有毒、有害、易燃、易爆、易堵塞物品及雨水、污水、工业废液、垃圾</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违反条款：第二十四条第（三）项；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擅自接入供热管网</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违反条款：第二十四条第（四）项；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擅自在室内采暖系统上安装危害系统安全的设备</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违反条款：第二十四条第（五）项；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擅自排放或者取用管道内热水或蒸汽</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违反条款：第二十四条第（六）项；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擅自拆除、毁损警示标志</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违反条款：第二十四条第（七）项；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擅自操作、拆除共用供热阀门，损坏共用阀门的铅封，改动或者损坏供热计量仪表及其附件等</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违反条款：第二十四条第（八）项；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危害、损坏供热设施的行为</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违反条款：第二十四条第（九）项；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6" w:name="_Toc984069521"/>
            <w:bookmarkStart w:id="87" w:name="_Toc110851462"/>
            <w:bookmarkStart w:id="88" w:name="_Toc273540101"/>
            <w:r>
              <w:rPr>
                <w:rFonts w:hint="eastAsia" w:asciiTheme="minorEastAsia" w:hAnsiTheme="minorEastAsia" w:eastAsiaTheme="minorEastAsia"/>
                <w:color w:val="auto"/>
                <w:sz w:val="21"/>
                <w:szCs w:val="21"/>
                <w:highlight w:val="none"/>
              </w:rPr>
              <w:t>《北京市民用建筑节能管理办法》案由2项</w:t>
            </w:r>
            <w:bookmarkEnd w:id="86"/>
            <w:bookmarkEnd w:id="87"/>
            <w:bookmarkEnd w:id="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损坏供热计量装置与调控系统</w:t>
            </w:r>
          </w:p>
        </w:tc>
        <w:tc>
          <w:tcPr>
            <w:tcW w:w="2789" w:type="dxa"/>
            <w:vMerge w:val="restart"/>
            <w:shd w:val="clear" w:color="auto" w:fill="auto"/>
            <w:vAlign w:val="center"/>
          </w:tcPr>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违反条款：第三十三条；</w:t>
            </w:r>
          </w:p>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处罚条款：第四十二条，责令改正，可处500元以上1000元以下罚款；情节严重，影响正常供热的，可处1000元以上1万元以下罚款。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20"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影响正常供热的，适用此档处罚。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供热单位不实行供热计量的</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处罚条款：第四十四条，限期整改，逾期不改正的，处3万元罚款。</w:t>
            </w:r>
          </w:p>
        </w:tc>
        <w:tc>
          <w:tcPr>
            <w:tcW w:w="85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auto"/>
                <w:sz w:val="21"/>
                <w:szCs w:val="21"/>
                <w:highlight w:val="none"/>
              </w:rPr>
            </w:pPr>
            <w:bookmarkStart w:id="89" w:name="_Toc636329439"/>
            <w:bookmarkStart w:id="90" w:name="_Toc1463731904"/>
            <w:bookmarkStart w:id="91" w:name="_Toc110851463"/>
            <w:bookmarkStart w:id="92" w:name="_Toc2100881276"/>
            <w:r>
              <w:rPr>
                <w:rFonts w:hint="eastAsia" w:cs="宋体" w:asciiTheme="minorEastAsia" w:hAnsiTheme="minorEastAsia" w:eastAsiaTheme="minorEastAsia"/>
                <w:color w:val="auto"/>
                <w:sz w:val="21"/>
                <w:szCs w:val="21"/>
                <w:highlight w:val="none"/>
                <w:lang w:val="en-US" w:eastAsia="zh-CN"/>
              </w:rPr>
              <w:t>《北京市建筑绿色发展条例》案由1项</w:t>
            </w:r>
            <w:bookmarkEnd w:id="89"/>
            <w:bookmarkEnd w:id="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leftChars="0" w:hanging="21" w:firstLineChars="0"/>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p>
        </w:tc>
        <w:tc>
          <w:tcPr>
            <w:tcW w:w="15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供电、供气、供热单位未按照规定报送结算数据</w:t>
            </w:r>
          </w:p>
        </w:tc>
        <w:tc>
          <w:tcPr>
            <w:tcW w:w="2789"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违反条款：第二十六条第三款</w:t>
            </w:r>
          </w:p>
          <w:p>
            <w:pPr>
              <w:pStyle w:val="10"/>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处罚条款：第五十八条，责令限期改正。</w:t>
            </w:r>
          </w:p>
        </w:tc>
        <w:tc>
          <w:tcPr>
            <w:tcW w:w="851" w:type="dxa"/>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left="6" w:leftChars="0" w:hanging="21" w:firstLineChars="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ind w:left="6" w:leftChars="0" w:hanging="21" w:firstLineChars="0"/>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w:t>
            </w:r>
            <w:r>
              <w:rPr>
                <w:rFonts w:hint="eastAsia" w:cs="宋体" w:asciiTheme="minorEastAsia" w:hAnsiTheme="minorEastAsia" w:eastAsiaTheme="minorEastAsia"/>
                <w:color w:val="auto"/>
                <w:kern w:val="0"/>
                <w:sz w:val="15"/>
                <w:szCs w:val="15"/>
                <w:highlight w:val="none"/>
                <w:lang w:eastAsia="zh-CN"/>
              </w:rPr>
              <w:t>行政</w:t>
            </w:r>
            <w:r>
              <w:rPr>
                <w:rFonts w:hint="eastAsia" w:cs="宋体" w:asciiTheme="minorEastAsia" w:hAnsiTheme="minorEastAsia" w:eastAsiaTheme="minorEastAsia"/>
                <w:color w:val="auto"/>
                <w:kern w:val="0"/>
                <w:sz w:val="15"/>
                <w:szCs w:val="15"/>
                <w:highlight w:val="none"/>
              </w:rPr>
              <w:t>处罚。</w:t>
            </w:r>
          </w:p>
          <w:p>
            <w:pPr>
              <w:spacing w:line="232" w:lineRule="exact"/>
              <w:ind w:left="6" w:leftChars="0" w:hanging="21" w:firstLineChars="0"/>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自</w:t>
            </w:r>
            <w:r>
              <w:rPr>
                <w:rFonts w:hint="eastAsia" w:cs="宋体" w:asciiTheme="minorEastAsia" w:hAnsiTheme="minorEastAsia" w:eastAsiaTheme="minorEastAsia"/>
                <w:color w:val="auto"/>
                <w:kern w:val="0"/>
                <w:sz w:val="15"/>
                <w:szCs w:val="15"/>
                <w:highlight w:val="none"/>
                <w:lang w:val="en-US" w:eastAsia="zh-CN"/>
              </w:rPr>
              <w:t>2024年3月1日起施行。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hint="eastAsia"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lang w:eastAsia="zh-Hans"/>
              </w:rPr>
            </w:pPr>
            <w:bookmarkStart w:id="93" w:name="_Toc733645733"/>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lang w:eastAsia="zh-Hans"/>
              </w:rPr>
              <w:t>中华人民共和国安全生产法</w:t>
            </w:r>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rPr>
              <w:t>《北京市安全生产条例》</w:t>
            </w:r>
            <w:r>
              <w:rPr>
                <w:rFonts w:asciiTheme="minorEastAsia" w:hAnsiTheme="minorEastAsia" w:eastAsiaTheme="minorEastAsia"/>
                <w:color w:val="auto"/>
                <w:sz w:val="21"/>
                <w:szCs w:val="21"/>
                <w:highlight w:val="none"/>
                <w:lang w:eastAsia="zh-Hans"/>
              </w:rPr>
              <w:t>案由</w:t>
            </w:r>
            <w:r>
              <w:rPr>
                <w:rFonts w:hint="eastAsia" w:asciiTheme="minorEastAsia" w:hAnsiTheme="minorEastAsia" w:eastAsiaTheme="minorEastAsia"/>
                <w:color w:val="auto"/>
                <w:sz w:val="21"/>
                <w:szCs w:val="21"/>
                <w:highlight w:val="none"/>
              </w:rPr>
              <w:t>12</w:t>
            </w:r>
            <w:r>
              <w:rPr>
                <w:rFonts w:asciiTheme="minorEastAsia" w:hAnsiTheme="minorEastAsia" w:eastAsiaTheme="minorEastAsia"/>
                <w:color w:val="auto"/>
                <w:sz w:val="21"/>
                <w:szCs w:val="21"/>
                <w:highlight w:val="none"/>
                <w:lang w:eastAsia="zh-Hans"/>
              </w:rPr>
              <w:t>项</w:t>
            </w:r>
            <w:bookmarkEnd w:id="91"/>
            <w:bookmarkEnd w:id="92"/>
            <w:bookmarkEnd w:id="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p>
            <w:pPr>
              <w:spacing w:line="232" w:lineRule="exact"/>
              <w:ind w:left="6" w:hanging="21"/>
              <w:jc w:val="center"/>
              <w:rPr>
                <w:rFonts w:cs="宋体" w:asciiTheme="minorEastAsia" w:hAnsiTheme="minorEastAsia" w:eastAsiaTheme="minorEastAsia"/>
                <w:color w:val="auto"/>
                <w:kern w:val="0"/>
                <w:sz w:val="15"/>
                <w:szCs w:val="15"/>
                <w:highlight w:val="none"/>
              </w:rPr>
            </w:pP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主要负责人未履行安全生产管理职责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违反条款:《中华人民共和国安全生产法》第二十一条第（一）项至第（七）项（根据实际选择）;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w:t>
            </w:r>
            <w:r>
              <w:rPr>
                <w:rFonts w:hint="eastAsia" w:asciiTheme="minorEastAsia" w:hAnsiTheme="minorEastAsia" w:eastAsiaTheme="minorEastAsia"/>
                <w:color w:val="auto"/>
                <w:spacing w:val="-4"/>
                <w:sz w:val="15"/>
                <w:szCs w:val="15"/>
                <w:highlight w:val="none"/>
              </w:rPr>
              <w:t>罚条款:第九十四条第一款,责令限期改正，处二万元以上五万元以下的罚款；逾期未改正的，处五万元以上十万元以下的罚款，责令生产经营单位停产停业整顿。</w:t>
            </w:r>
          </w:p>
        </w:tc>
        <w:tc>
          <w:tcPr>
            <w:tcW w:w="8165" w:type="dxa"/>
            <w:gridSpan w:val="5"/>
            <w:shd w:val="clear" w:color="auto" w:fill="auto"/>
            <w:vAlign w:val="center"/>
          </w:tcPr>
          <w:p>
            <w:pPr>
              <w:pStyle w:val="9"/>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0" w:firstLine="0"/>
              <w:rPr>
                <w:rFonts w:hint="eastAsia" w:cs="Times New Roman" w:asciiTheme="minorEastAsia" w:hAnsiTheme="minorEastAsia" w:eastAsiaTheme="minorEastAsia"/>
                <w:strike w:val="0"/>
                <w:dstrike w:val="0"/>
                <w:color w:val="auto"/>
                <w:kern w:val="2"/>
                <w:sz w:val="15"/>
                <w:szCs w:val="15"/>
                <w:highlight w:val="none"/>
              </w:rPr>
            </w:pPr>
            <w:r>
              <w:rPr>
                <w:rFonts w:hint="eastAsia" w:cs="Times New Roman" w:asciiTheme="minorEastAsia" w:hAnsiTheme="minorEastAsia" w:eastAsiaTheme="minorEastAsia"/>
                <w:b w:val="0"/>
                <w:bCs w:val="0"/>
                <w:color w:val="auto"/>
                <w:sz w:val="15"/>
                <w:szCs w:val="15"/>
                <w:highlight w:val="none"/>
              </w:rPr>
              <w:t>1.未履行第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一</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项至第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七</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项中任一项职责的，处2万元以上3万元以下的罚款；逾期未改正的，处5万元以上7万元以下的罚款；2.未履行</w:t>
            </w:r>
            <w:r>
              <w:rPr>
                <w:rFonts w:hint="eastAsia" w:cs="Times New Roman" w:asciiTheme="minorEastAsia" w:hAnsiTheme="minorEastAsia" w:eastAsiaTheme="minorEastAsia"/>
                <w:b w:val="0"/>
                <w:bCs w:val="0"/>
                <w:color w:val="auto"/>
                <w:sz w:val="15"/>
                <w:szCs w:val="15"/>
                <w:highlight w:val="none"/>
                <w:lang w:val="en-US" w:eastAsia="zh-CN"/>
              </w:rPr>
              <w:t>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一</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项至第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七</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项中任两项职责的，处3万元以上4万元以下的罚款；逾期未改正的，处7万元以上9万元以下的罚款；3.未履行</w:t>
            </w:r>
            <w:r>
              <w:rPr>
                <w:rFonts w:hint="eastAsia" w:cs="Times New Roman" w:asciiTheme="minorEastAsia" w:hAnsiTheme="minorEastAsia" w:eastAsiaTheme="minorEastAsia"/>
                <w:b w:val="0"/>
                <w:bCs w:val="0"/>
                <w:color w:val="auto"/>
                <w:sz w:val="15"/>
                <w:szCs w:val="15"/>
                <w:highlight w:val="none"/>
                <w:lang w:val="en-US" w:eastAsia="zh-CN"/>
              </w:rPr>
              <w:t>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一</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项至第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七</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项中任三项以上职责的，处4万元以上5万元以下的罚款；逾期未改正的，处9万元以上10万元以下的罚款。</w:t>
            </w:r>
          </w:p>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8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违反条款：《北京市生产经营单位安全生产主体责任规定》第四条第（五）项、第（七）项（根据实际选择）；</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处罚条款：第三十四条第一款，责令改正；拒不改正的，责令停产停业整顿，并处2万元以上5万元以下罚款。</w:t>
            </w:r>
          </w:p>
        </w:tc>
        <w:tc>
          <w:tcPr>
            <w:tcW w:w="8165" w:type="dxa"/>
            <w:gridSpan w:val="5"/>
            <w:shd w:val="clear" w:color="auto" w:fill="auto"/>
            <w:vAlign w:val="center"/>
          </w:tcPr>
          <w:p>
            <w:pPr>
              <w:pStyle w:val="9"/>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1.违反第(五）项、第（七）项中任一项职责的，并处2万元以上3万元以下的罚款；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r>
              <w:rPr>
                <w:rFonts w:hint="eastAsia" w:cs="Times New Roman" w:asciiTheme="minorEastAsia" w:hAnsiTheme="minorEastAsia" w:eastAsiaTheme="minorEastAsia"/>
                <w:color w:val="auto"/>
                <w:spacing w:val="-4"/>
                <w:sz w:val="15"/>
                <w:szCs w:val="15"/>
                <w:highlight w:val="none"/>
                <w:lang w:val="en-US" w:eastAsia="zh-CN"/>
              </w:rPr>
              <w:t>2.同时违反第（五）项、第（七）项两项职责的，并处3万元以上5万元以下的罚款。</w:t>
            </w:r>
          </w:p>
        </w:tc>
        <w:tc>
          <w:tcPr>
            <w:tcW w:w="824"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未按照规定设置安全生产管理机构或者配备安全生产管理人员</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color w:val="auto"/>
                <w:highlight w:val="none"/>
              </w:rPr>
            </w:pPr>
            <w:r>
              <w:rPr>
                <w:rFonts w:hint="eastAsia" w:asciiTheme="minorEastAsia" w:hAnsiTheme="minorEastAsia" w:eastAsiaTheme="minorEastAsia"/>
                <w:color w:val="auto"/>
                <w:sz w:val="15"/>
                <w:szCs w:val="15"/>
                <w:highlight w:val="none"/>
              </w:rPr>
              <w:t>违反条款：第二十四条第二款；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9"/>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pStyle w:val="10"/>
              <w:spacing w:before="77" w:line="246" w:lineRule="auto"/>
              <w:ind w:right="21" w:firstLine="0"/>
              <w:rPr>
                <w:rFonts w:hint="eastAsia" w:cs="Times New Roman"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pacing w:val="0"/>
                <w:position w:val="0"/>
                <w:sz w:val="15"/>
                <w:szCs w:val="15"/>
                <w:highlight w:val="none"/>
              </w:rPr>
              <w:t>1.</w:t>
            </w:r>
            <w:r>
              <w:rPr>
                <w:rFonts w:hint="eastAsia" w:cs="Times New Roman" w:asciiTheme="minorEastAsia" w:hAnsiTheme="minorEastAsia" w:eastAsiaTheme="minorEastAsia"/>
                <w:color w:val="auto"/>
                <w:spacing w:val="0"/>
                <w:sz w:val="15"/>
                <w:szCs w:val="15"/>
                <w:highlight w:val="none"/>
              </w:rPr>
              <w:t>除矿山、金属冶炼、建筑施工、运输单位和危险物品的生产、经营、储存、装卸单位以外的生产经营单位，从业人员总数为</w:t>
            </w:r>
            <w:r>
              <w:rPr>
                <w:rFonts w:hint="eastAsia" w:asciiTheme="minorEastAsia" w:hAnsiTheme="minorEastAsia" w:eastAsiaTheme="minorEastAsia"/>
                <w:color w:val="auto"/>
                <w:spacing w:val="0"/>
                <w:position w:val="0"/>
                <w:sz w:val="15"/>
                <w:szCs w:val="15"/>
                <w:highlight w:val="none"/>
              </w:rPr>
              <w:t>100</w:t>
            </w:r>
            <w:r>
              <w:rPr>
                <w:rFonts w:hint="eastAsia" w:cs="Times New Roman" w:asciiTheme="minorEastAsia" w:hAnsiTheme="minorEastAsia" w:eastAsiaTheme="minorEastAsia"/>
                <w:color w:val="auto"/>
                <w:spacing w:val="0"/>
                <w:sz w:val="15"/>
                <w:szCs w:val="15"/>
                <w:highlight w:val="none"/>
              </w:rPr>
              <w:t>人或者</w:t>
            </w:r>
            <w:r>
              <w:rPr>
                <w:rFonts w:hint="eastAsia" w:asciiTheme="minorEastAsia" w:hAnsiTheme="minorEastAsia" w:eastAsiaTheme="minorEastAsia"/>
                <w:color w:val="auto"/>
                <w:spacing w:val="0"/>
                <w:position w:val="0"/>
                <w:sz w:val="15"/>
                <w:szCs w:val="15"/>
                <w:highlight w:val="none"/>
              </w:rPr>
              <w:t>100</w:t>
            </w:r>
            <w:r>
              <w:rPr>
                <w:rFonts w:hint="eastAsia" w:cs="Times New Roman" w:asciiTheme="minorEastAsia" w:hAnsiTheme="minorEastAsia" w:eastAsiaTheme="minorEastAsia"/>
                <w:color w:val="auto"/>
                <w:spacing w:val="0"/>
                <w:sz w:val="15"/>
                <w:szCs w:val="15"/>
                <w:highlight w:val="none"/>
              </w:rPr>
              <w:t>人以下，未配备专职或者兼职安全生产管理人员的处</w:t>
            </w:r>
            <w:r>
              <w:rPr>
                <w:rFonts w:hint="eastAsia" w:asciiTheme="minorEastAsia" w:hAnsiTheme="minorEastAsia" w:eastAsiaTheme="minorEastAsia"/>
                <w:color w:val="auto"/>
                <w:spacing w:val="0"/>
                <w:position w:val="0"/>
                <w:sz w:val="15"/>
                <w:szCs w:val="15"/>
                <w:highlight w:val="none"/>
              </w:rPr>
              <w:t>3</w:t>
            </w:r>
            <w:r>
              <w:rPr>
                <w:rFonts w:hint="eastAsia" w:cs="Times New Roman" w:asciiTheme="minorEastAsia" w:hAnsiTheme="minorEastAsia" w:eastAsiaTheme="minorEastAsia"/>
                <w:color w:val="auto"/>
                <w:spacing w:val="0"/>
                <w:sz w:val="15"/>
                <w:szCs w:val="15"/>
                <w:highlight w:val="none"/>
              </w:rPr>
              <w:t>万元以下的罚款；逾期未改正的，并处</w:t>
            </w:r>
            <w:r>
              <w:rPr>
                <w:rFonts w:hint="eastAsia" w:asciiTheme="minorEastAsia" w:hAnsiTheme="minorEastAsia" w:eastAsiaTheme="minorEastAsia"/>
                <w:color w:val="auto"/>
                <w:spacing w:val="0"/>
                <w:position w:val="0"/>
                <w:sz w:val="15"/>
                <w:szCs w:val="15"/>
                <w:highlight w:val="none"/>
              </w:rPr>
              <w:t>10</w:t>
            </w:r>
            <w:r>
              <w:rPr>
                <w:rFonts w:hint="eastAsia" w:cs="Times New Roman" w:asciiTheme="minorEastAsia" w:hAnsiTheme="minorEastAsia" w:eastAsiaTheme="minorEastAsia"/>
                <w:color w:val="auto"/>
                <w:spacing w:val="0"/>
                <w:sz w:val="15"/>
                <w:szCs w:val="15"/>
                <w:highlight w:val="none"/>
              </w:rPr>
              <w:t>万元以上</w:t>
            </w:r>
            <w:r>
              <w:rPr>
                <w:rFonts w:hint="eastAsia" w:asciiTheme="minorEastAsia" w:hAnsiTheme="minorEastAsia" w:eastAsiaTheme="minorEastAsia"/>
                <w:color w:val="auto"/>
                <w:spacing w:val="0"/>
                <w:position w:val="0"/>
                <w:sz w:val="15"/>
                <w:szCs w:val="15"/>
                <w:highlight w:val="none"/>
              </w:rPr>
              <w:t>13</w:t>
            </w:r>
            <w:r>
              <w:rPr>
                <w:rFonts w:hint="eastAsia" w:cs="Times New Roman" w:asciiTheme="minorEastAsia" w:hAnsiTheme="minorEastAsia" w:eastAsiaTheme="minorEastAsia"/>
                <w:color w:val="auto"/>
                <w:spacing w:val="0"/>
                <w:sz w:val="15"/>
                <w:szCs w:val="15"/>
                <w:highlight w:val="none"/>
              </w:rPr>
              <w:t>万元以下的罚款，对其直接负责的主管人员和其他直接责任人员处</w:t>
            </w:r>
            <w:r>
              <w:rPr>
                <w:rFonts w:hint="eastAsia" w:asciiTheme="minorEastAsia" w:hAnsiTheme="minorEastAsia" w:eastAsiaTheme="minorEastAsia"/>
                <w:color w:val="auto"/>
                <w:spacing w:val="0"/>
                <w:position w:val="0"/>
                <w:sz w:val="15"/>
                <w:szCs w:val="15"/>
                <w:highlight w:val="none"/>
              </w:rPr>
              <w:t>2</w:t>
            </w:r>
            <w:r>
              <w:rPr>
                <w:rFonts w:hint="eastAsia" w:cs="Times New Roman" w:asciiTheme="minorEastAsia" w:hAnsiTheme="minorEastAsia" w:eastAsiaTheme="minorEastAsia"/>
                <w:color w:val="auto"/>
                <w:spacing w:val="0"/>
                <w:sz w:val="15"/>
                <w:szCs w:val="15"/>
                <w:highlight w:val="none"/>
              </w:rPr>
              <w:t>万元以上</w:t>
            </w:r>
            <w:r>
              <w:rPr>
                <w:rFonts w:hint="eastAsia" w:asciiTheme="minorEastAsia" w:hAnsiTheme="minorEastAsia" w:eastAsiaTheme="minorEastAsia"/>
                <w:color w:val="auto"/>
                <w:spacing w:val="0"/>
                <w:position w:val="0"/>
                <w:sz w:val="15"/>
                <w:szCs w:val="15"/>
                <w:highlight w:val="none"/>
              </w:rPr>
              <w:t>3</w:t>
            </w:r>
            <w:r>
              <w:rPr>
                <w:rFonts w:hint="eastAsia" w:cs="Times New Roman" w:asciiTheme="minorEastAsia" w:hAnsiTheme="minorEastAsia" w:eastAsiaTheme="minorEastAsia"/>
                <w:color w:val="auto"/>
                <w:spacing w:val="0"/>
                <w:sz w:val="15"/>
                <w:szCs w:val="15"/>
                <w:highlight w:val="none"/>
              </w:rPr>
              <w:t>万元以下的罚款</w:t>
            </w:r>
            <w:r>
              <w:rPr>
                <w:rFonts w:hint="eastAsia" w:cs="Times New Roman" w:asciiTheme="minorEastAsia" w:hAnsiTheme="minorEastAsia" w:eastAsiaTheme="minorEastAsia"/>
                <w:color w:val="auto"/>
                <w:spacing w:val="0"/>
                <w:sz w:val="15"/>
                <w:szCs w:val="15"/>
                <w:highlight w:val="none"/>
                <w:lang w:eastAsia="zh-CN"/>
              </w:rPr>
              <w:t>；</w:t>
            </w:r>
          </w:p>
          <w:p>
            <w:pPr>
              <w:pStyle w:val="10"/>
              <w:spacing w:before="77" w:line="246" w:lineRule="auto"/>
              <w:ind w:right="93" w:firstLine="0"/>
              <w:rPr>
                <w:rFonts w:hint="eastAsia" w:cs="Times New Roman"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0"/>
                <w:position w:val="0"/>
                <w:sz w:val="15"/>
                <w:szCs w:val="15"/>
                <w:highlight w:val="none"/>
              </w:rPr>
              <w:t>2.</w:t>
            </w:r>
            <w:r>
              <w:rPr>
                <w:rFonts w:hint="eastAsia" w:cs="Times New Roman" w:asciiTheme="minorEastAsia" w:hAnsiTheme="minorEastAsia" w:eastAsiaTheme="minorEastAsia"/>
                <w:color w:val="auto"/>
                <w:spacing w:val="0"/>
                <w:sz w:val="15"/>
                <w:szCs w:val="15"/>
                <w:highlight w:val="none"/>
              </w:rPr>
              <w:t>除矿山、金属冶炼、建筑施工、运输单位和危险物品的生产、经营、储存、装卸单位以外的生产经营单位，从业人员总数超过</w:t>
            </w:r>
            <w:r>
              <w:rPr>
                <w:rFonts w:hint="eastAsia" w:asciiTheme="minorEastAsia" w:hAnsiTheme="minorEastAsia" w:eastAsiaTheme="minorEastAsia"/>
                <w:color w:val="auto"/>
                <w:spacing w:val="0"/>
                <w:position w:val="0"/>
                <w:sz w:val="15"/>
                <w:szCs w:val="15"/>
                <w:highlight w:val="none"/>
              </w:rPr>
              <w:t>100</w:t>
            </w:r>
            <w:r>
              <w:rPr>
                <w:rFonts w:hint="eastAsia" w:cs="Times New Roman" w:asciiTheme="minorEastAsia" w:hAnsiTheme="minorEastAsia" w:eastAsiaTheme="minorEastAsia"/>
                <w:color w:val="auto"/>
                <w:spacing w:val="0"/>
                <w:sz w:val="15"/>
                <w:szCs w:val="15"/>
                <w:highlight w:val="none"/>
              </w:rPr>
              <w:t>人，未设置安全生产管理机构或者未配备专职安全生产管理人员的，处</w:t>
            </w:r>
            <w:r>
              <w:rPr>
                <w:rFonts w:hint="eastAsia" w:asciiTheme="minorEastAsia" w:hAnsiTheme="minorEastAsia" w:eastAsiaTheme="minorEastAsia"/>
                <w:color w:val="auto"/>
                <w:spacing w:val="0"/>
                <w:position w:val="0"/>
                <w:sz w:val="15"/>
                <w:szCs w:val="15"/>
                <w:highlight w:val="none"/>
              </w:rPr>
              <w:t>3</w:t>
            </w:r>
            <w:r>
              <w:rPr>
                <w:rFonts w:hint="eastAsia" w:cs="Times New Roman" w:asciiTheme="minorEastAsia" w:hAnsiTheme="minorEastAsia" w:eastAsiaTheme="minorEastAsia"/>
                <w:color w:val="auto"/>
                <w:spacing w:val="0"/>
                <w:sz w:val="15"/>
                <w:szCs w:val="15"/>
                <w:highlight w:val="none"/>
              </w:rPr>
              <w:t>万元以上</w:t>
            </w:r>
            <w:r>
              <w:rPr>
                <w:rFonts w:hint="eastAsia" w:asciiTheme="minorEastAsia" w:hAnsiTheme="minorEastAsia" w:eastAsiaTheme="minorEastAsia"/>
                <w:color w:val="auto"/>
                <w:spacing w:val="0"/>
                <w:position w:val="0"/>
                <w:sz w:val="15"/>
                <w:szCs w:val="15"/>
                <w:highlight w:val="none"/>
              </w:rPr>
              <w:t>5</w:t>
            </w:r>
            <w:r>
              <w:rPr>
                <w:rFonts w:hint="eastAsia" w:cs="Times New Roman" w:asciiTheme="minorEastAsia" w:hAnsiTheme="minorEastAsia" w:eastAsiaTheme="minorEastAsia"/>
                <w:color w:val="auto"/>
                <w:spacing w:val="0"/>
                <w:sz w:val="15"/>
                <w:szCs w:val="15"/>
                <w:highlight w:val="none"/>
              </w:rPr>
              <w:t>万元以下的罚款；逾期未改正的，并处</w:t>
            </w:r>
            <w:r>
              <w:rPr>
                <w:rFonts w:hint="eastAsia" w:asciiTheme="minorEastAsia" w:hAnsiTheme="minorEastAsia" w:eastAsiaTheme="minorEastAsia"/>
                <w:color w:val="auto"/>
                <w:spacing w:val="0"/>
                <w:position w:val="0"/>
                <w:sz w:val="15"/>
                <w:szCs w:val="15"/>
                <w:highlight w:val="none"/>
              </w:rPr>
              <w:t>13</w:t>
            </w:r>
            <w:r>
              <w:rPr>
                <w:rFonts w:hint="eastAsia" w:cs="Times New Roman" w:asciiTheme="minorEastAsia" w:hAnsiTheme="minorEastAsia" w:eastAsiaTheme="minorEastAsia"/>
                <w:color w:val="auto"/>
                <w:spacing w:val="0"/>
                <w:sz w:val="15"/>
                <w:szCs w:val="15"/>
                <w:highlight w:val="none"/>
              </w:rPr>
              <w:t>万元以上</w:t>
            </w:r>
            <w:r>
              <w:rPr>
                <w:rFonts w:hint="eastAsia" w:asciiTheme="minorEastAsia" w:hAnsiTheme="minorEastAsia" w:eastAsiaTheme="minorEastAsia"/>
                <w:color w:val="auto"/>
                <w:spacing w:val="0"/>
                <w:position w:val="0"/>
                <w:sz w:val="15"/>
                <w:szCs w:val="15"/>
                <w:highlight w:val="none"/>
              </w:rPr>
              <w:t>15</w:t>
            </w:r>
            <w:r>
              <w:rPr>
                <w:rFonts w:hint="eastAsia" w:cs="Times New Roman" w:asciiTheme="minorEastAsia" w:hAnsiTheme="minorEastAsia" w:eastAsiaTheme="minorEastAsia"/>
                <w:color w:val="auto"/>
                <w:spacing w:val="0"/>
                <w:sz w:val="15"/>
                <w:szCs w:val="15"/>
                <w:highlight w:val="none"/>
              </w:rPr>
              <w:t>万元以下的罚款，对其直接负责的主管人员和其他直接责任人员处</w:t>
            </w:r>
            <w:r>
              <w:rPr>
                <w:rFonts w:hint="eastAsia" w:asciiTheme="minorEastAsia" w:hAnsiTheme="minorEastAsia" w:eastAsiaTheme="minorEastAsia"/>
                <w:color w:val="auto"/>
                <w:spacing w:val="0"/>
                <w:position w:val="0"/>
                <w:sz w:val="15"/>
                <w:szCs w:val="15"/>
                <w:highlight w:val="none"/>
              </w:rPr>
              <w:t>3</w:t>
            </w:r>
            <w:r>
              <w:rPr>
                <w:rFonts w:hint="eastAsia" w:cs="Times New Roman" w:asciiTheme="minorEastAsia" w:hAnsiTheme="minorEastAsia" w:eastAsiaTheme="minorEastAsia"/>
                <w:color w:val="auto"/>
                <w:spacing w:val="0"/>
                <w:sz w:val="15"/>
                <w:szCs w:val="15"/>
                <w:highlight w:val="none"/>
              </w:rPr>
              <w:t>万元以上</w:t>
            </w:r>
            <w:r>
              <w:rPr>
                <w:rFonts w:hint="eastAsia" w:asciiTheme="minorEastAsia" w:hAnsiTheme="minorEastAsia" w:eastAsiaTheme="minorEastAsia"/>
                <w:color w:val="auto"/>
                <w:spacing w:val="0"/>
                <w:position w:val="0"/>
                <w:sz w:val="15"/>
                <w:szCs w:val="15"/>
                <w:highlight w:val="none"/>
              </w:rPr>
              <w:t>4</w:t>
            </w:r>
            <w:r>
              <w:rPr>
                <w:rFonts w:hint="eastAsia" w:cs="Times New Roman" w:asciiTheme="minorEastAsia" w:hAnsiTheme="minorEastAsia" w:eastAsiaTheme="minorEastAsia"/>
                <w:color w:val="auto"/>
                <w:spacing w:val="0"/>
                <w:sz w:val="15"/>
                <w:szCs w:val="15"/>
                <w:highlight w:val="none"/>
              </w:rPr>
              <w:t>万元以下的罚款；</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5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违反条款：《北京市安全生产条例》第二十条； 处罚条款：第五十八条第（一）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其他负责人和安全生产管理人员未履行本法规定的安全生产管理职责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违反条款：第二十五条第一款第（一）项至第（七）项（根据实际选择）；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处罚条款：第九十六条，责令限期改正，处一万元以上三万元以下的罚款；…构成犯罪的，依照刑法有关规定追究刑事责任。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9"/>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widowControl/>
              <w:suppressLineNumbers w:val="0"/>
              <w:jc w:val="left"/>
              <w:rPr>
                <w:rFonts w:hint="eastAsia" w:cs="Times New Roman" w:asciiTheme="minorEastAsia" w:hAnsiTheme="minorEastAsia" w:eastAsiaTheme="minorEastAsia"/>
                <w:color w:val="auto"/>
                <w:kern w:val="2"/>
                <w:sz w:val="15"/>
                <w:szCs w:val="15"/>
                <w:highlight w:val="none"/>
                <w:lang w:val="en-US" w:eastAsia="zh-CN" w:bidi="ar-SA"/>
              </w:rPr>
            </w:pPr>
            <w:r>
              <w:rPr>
                <w:rFonts w:hint="eastAsia" w:cs="Times New Roman" w:asciiTheme="minorEastAsia" w:hAnsiTheme="minorEastAsia" w:eastAsiaTheme="minorEastAsia"/>
                <w:color w:val="auto"/>
                <w:kern w:val="2"/>
                <w:sz w:val="15"/>
                <w:szCs w:val="15"/>
                <w:highlight w:val="none"/>
                <w:lang w:val="en-US" w:eastAsia="zh-CN" w:bidi="ar-SA"/>
              </w:rPr>
              <w:t>1.未履行第（一）项至第（七）项中任一项职责的，处1万元以上2万元以下的罚款；</w:t>
            </w:r>
          </w:p>
          <w:p>
            <w:pPr>
              <w:keepNext w:val="0"/>
              <w:keepLines w:val="0"/>
              <w:widowControl/>
              <w:suppressLineNumbers w:val="0"/>
              <w:jc w:val="left"/>
              <w:rPr>
                <w:rFonts w:hint="eastAsia" w:cs="Times New Roman" w:asciiTheme="minorEastAsia" w:hAnsiTheme="minorEastAsia" w:eastAsiaTheme="minorEastAsia"/>
                <w:color w:val="auto"/>
                <w:kern w:val="2"/>
                <w:sz w:val="15"/>
                <w:szCs w:val="15"/>
                <w:highlight w:val="none"/>
                <w:lang w:val="en-US" w:eastAsia="zh-CN" w:bidi="ar-SA"/>
              </w:rPr>
            </w:pPr>
            <w:r>
              <w:rPr>
                <w:rFonts w:hint="eastAsia" w:cs="Times New Roman" w:asciiTheme="minorEastAsia" w:hAnsiTheme="minorEastAsia" w:eastAsiaTheme="minorEastAsia"/>
                <w:color w:val="auto"/>
                <w:kern w:val="2"/>
                <w:sz w:val="15"/>
                <w:szCs w:val="15"/>
                <w:highlight w:val="none"/>
                <w:lang w:val="en-US" w:eastAsia="zh-CN" w:bidi="ar-SA"/>
              </w:rPr>
              <w:t>2.未履行第（一）项至第（七）项中任两项职责的，处2万元以上3万元以下的罚款；</w:t>
            </w:r>
          </w:p>
          <w:p>
            <w:pPr>
              <w:keepNext w:val="0"/>
              <w:keepLines w:val="0"/>
              <w:widowControl/>
              <w:suppressLineNumbers w:val="0"/>
              <w:jc w:val="left"/>
              <w:rPr>
                <w:rFonts w:hint="eastAsia" w:asciiTheme="minorEastAsia" w:hAnsiTheme="minorEastAsia" w:eastAsiaTheme="minorEastAsia"/>
                <w:color w:val="auto"/>
                <w:sz w:val="15"/>
                <w:szCs w:val="15"/>
                <w:highlight w:val="none"/>
              </w:rPr>
            </w:pPr>
            <w:r>
              <w:rPr>
                <w:rFonts w:hint="eastAsia" w:cs="Times New Roman" w:asciiTheme="minorEastAsia" w:hAnsiTheme="minorEastAsia" w:eastAsiaTheme="minorEastAsia"/>
                <w:color w:val="auto"/>
                <w:kern w:val="2"/>
                <w:sz w:val="15"/>
                <w:szCs w:val="15"/>
                <w:highlight w:val="none"/>
                <w:lang w:val="en-US" w:eastAsia="zh-CN" w:bidi="ar-SA"/>
              </w:rPr>
              <w:t>3.未履行第（一）项至第（七）项中任三项以上职责的，处3万元的罚款；</w:t>
            </w:r>
          </w:p>
          <w:p>
            <w:pPr>
              <w:spacing w:line="232" w:lineRule="exact"/>
              <w:ind w:left="6" w:leftChars="0" w:hanging="21" w:firstLineChars="0"/>
              <w:rPr>
                <w:rFonts w:cs="宋体" w:asciiTheme="minorEastAsia" w:hAnsiTheme="minorEastAsia" w:eastAsiaTheme="minorEastAsia"/>
                <w:strike/>
                <w:dstrike w:val="0"/>
                <w:color w:val="auto"/>
                <w:kern w:val="0"/>
                <w:sz w:val="15"/>
                <w:szCs w:val="15"/>
                <w:highlight w:val="none"/>
                <w:lang w:val="en-US" w:eastAsia="zh-CN" w:bidi="ar-SA"/>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72"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未按照规定对从业人员、被派遣劳动者、实习学生进行安全生产教育和培训</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违反条款：《中华人民共和国安全生产法》第二十八条第一款、第二款、第三款、第二十九条（根据实际选择）；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p>
          <w:p>
            <w:pPr>
              <w:pStyle w:val="9"/>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1.生产经营单位未按照规定对从业人员、被派遣劳动者、实习学生进行安</w:t>
            </w:r>
            <w:r>
              <w:rPr>
                <w:rFonts w:hint="default" w:cs="宋体" w:asciiTheme="minorEastAsia" w:hAnsiTheme="minorEastAsia" w:eastAsiaTheme="minorEastAsia"/>
                <w:strike w:val="0"/>
                <w:dstrike w:val="0"/>
                <w:color w:val="auto"/>
                <w:kern w:val="0"/>
                <w:sz w:val="15"/>
                <w:szCs w:val="15"/>
                <w:highlight w:val="none"/>
                <w:lang w:val="en-US" w:eastAsia="zh-CN"/>
              </w:rPr>
              <w:t>全生产教育和培训的人数为3人以下的，处5万元以下的罚款；逾期未改正的，处10万元以上15万元以下的罚款，对其直接负责的主管人员和其他直接责任人员处2万元以上3万元以下的罚款；</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生产经营单位未按照规定对从业人员、被派遣劳动者、实习学生进行安全生产教育和培训的人数为3人以上的，处5万元以上10万元以下的罚款；逾期未改正的，处15万元以上20万元以下的罚款，对其直接负责的主管人员和其他直接责任人员处3万元以上5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41"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b/>
                <w:bCs/>
                <w:color w:val="auto"/>
                <w:sz w:val="15"/>
                <w:szCs w:val="15"/>
                <w:highlight w:val="none"/>
              </w:rPr>
            </w:pPr>
            <w:r>
              <w:rPr>
                <w:rFonts w:hint="eastAsia" w:asciiTheme="minorEastAsia" w:hAnsiTheme="minorEastAsia" w:eastAsiaTheme="minorEastAsia"/>
                <w:b/>
                <w:bCs/>
                <w:color w:val="auto"/>
                <w:sz w:val="15"/>
                <w:szCs w:val="15"/>
                <w:highlight w:val="none"/>
              </w:rPr>
              <w:t>（适用于对从业人员开展安全生产教育培训）</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b/>
                <w:bCs/>
                <w:color w:val="auto"/>
                <w:sz w:val="15"/>
                <w:szCs w:val="15"/>
                <w:highlight w:val="none"/>
              </w:rPr>
              <w:t>违反条款：《北京市安全生产条例》</w:t>
            </w:r>
            <w:r>
              <w:rPr>
                <w:rFonts w:hint="eastAsia" w:asciiTheme="minorEastAsia" w:hAnsiTheme="minorEastAsia" w:eastAsiaTheme="minorEastAsia"/>
                <w:color w:val="auto"/>
                <w:sz w:val="15"/>
                <w:szCs w:val="15"/>
                <w:highlight w:val="none"/>
              </w:rPr>
              <w:t>第二十二条；</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处罚条款：第五十八条第（二）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6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未如实记录安全生产教育和培训情况</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违反条款：第二十八条第四款；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9"/>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1.生产经营单位未如实记录安全生产教育和培训情况的人数为5人以下</w:t>
            </w:r>
            <w:r>
              <w:rPr>
                <w:rFonts w:hint="default" w:cs="宋体" w:asciiTheme="minorEastAsia" w:hAnsiTheme="minorEastAsia" w:eastAsiaTheme="minorEastAsia"/>
                <w:strike w:val="0"/>
                <w:dstrike w:val="0"/>
                <w:color w:val="auto"/>
                <w:kern w:val="0"/>
                <w:sz w:val="15"/>
                <w:szCs w:val="15"/>
                <w:highlight w:val="none"/>
                <w:lang w:val="en-US" w:eastAsia="zh-CN"/>
              </w:rPr>
              <w:t xml:space="preserve">的，处5万元以下的罚款；逾期未改正的，并处10万元以上15万元以下的罚款，对其直接负责的主管人员和其他责任人员处2万元以上4万元以下的罚款； </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生产经营单位未如实记录安全生产教育和培训情况人数为5人以上的，处5万元以上10万元以下的罚款；逾期未改正的，并处15万元以上20万元以下的罚款，对其直接负责的主管人员和其他责任人员处4万元以上5万元以下的罚款</w:t>
            </w:r>
            <w:r>
              <w:rPr>
                <w:rFonts w:hint="eastAsia" w:cs="宋体" w:asciiTheme="minorEastAsia" w:hAnsiTheme="minorEastAsia" w:eastAsiaTheme="minorEastAsia"/>
                <w:strike w:val="0"/>
                <w:dstrike w:val="0"/>
                <w:color w:val="auto"/>
                <w:kern w:val="0"/>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未在有较大危险因素的生产经营场所和有关设施、设备上设置明显的安全警示标志</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9"/>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1.未在有较大危险因素的生产经营场所和有关设施、设备上设置明显的安</w:t>
            </w:r>
            <w:r>
              <w:rPr>
                <w:rFonts w:hint="default" w:cs="宋体" w:asciiTheme="minorEastAsia" w:hAnsiTheme="minorEastAsia" w:eastAsiaTheme="minorEastAsia"/>
                <w:strike w:val="0"/>
                <w:dstrike w:val="0"/>
                <w:color w:val="auto"/>
                <w:kern w:val="0"/>
                <w:sz w:val="15"/>
                <w:szCs w:val="15"/>
                <w:highlight w:val="none"/>
                <w:lang w:val="en-US" w:eastAsia="zh-CN"/>
              </w:rPr>
              <w:t xml:space="preserve">全警示标志有5处以下的，处2万元以下的罚款；逾期未改正的，处5万元以上10万元以下的罚款，对其直接负责的主管人员和其他直接责任人员处1万元以上2万元以下的罚款； </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未在有较大危险因素的生产经营场所和有关设施、设备上设置明显的安全警示标志有5处以上10处以下的，处2万元以上4万元以下的罚款；逾期未改正的，处10万元以上15万元以下的罚款，对其直接负责的主管人员和其他直接责任人员处1万元以上2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3.未在有较大危险因素的生产经营场所和有关设施、设备上设置明显的安全警示标志有10处以上的，处4万元以上5万元以下的罚款；逾期未改正的，处15万元以上20万元以下的罚款，对其直接负责的主管人员和其他直接责任人员处1万元以上2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18"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未建立事故隐患排查治理制度</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9"/>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除危险物品的生产、经营、储存、装卸单位以及矿山、金属冶炼、建筑</w:t>
            </w:r>
            <w:r>
              <w:rPr>
                <w:rFonts w:hint="default" w:cs="宋体" w:asciiTheme="minorEastAsia" w:hAnsiTheme="minorEastAsia" w:eastAsiaTheme="minorEastAsia"/>
                <w:strike w:val="0"/>
                <w:dstrike w:val="0"/>
                <w:color w:val="auto"/>
                <w:kern w:val="0"/>
                <w:sz w:val="15"/>
                <w:szCs w:val="15"/>
                <w:highlight w:val="none"/>
                <w:lang w:val="en-US" w:eastAsia="zh-CN"/>
              </w:rPr>
              <w:t>施工、运输单位以外的生产经营单位，未建立事故隐患排查治理制度，处5万元以下的罚款；逾期未改正的，并处10万元以上15万元以下的罚款，对其直接负责的主管人员和其他直接责任人员处2万元以上3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9"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未如实记录事故隐患排查治理情况或者未向从业人员通报</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9"/>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1.存在未将事故隐患排查治理情况如实记录或者未向从业人员通报情况</w:t>
            </w:r>
            <w:r>
              <w:rPr>
                <w:rFonts w:hint="default" w:cs="宋体" w:asciiTheme="minorEastAsia" w:hAnsiTheme="minorEastAsia" w:eastAsiaTheme="minorEastAsia"/>
                <w:strike w:val="0"/>
                <w:dstrike w:val="0"/>
                <w:color w:val="auto"/>
                <w:kern w:val="0"/>
                <w:sz w:val="15"/>
                <w:szCs w:val="15"/>
                <w:highlight w:val="none"/>
                <w:lang w:val="en-US" w:eastAsia="zh-CN"/>
              </w:rPr>
              <w:t>之一的，处5万元以下的罚款；逾期未改正的，并处10万元以上15万元以下的罚款，对其直接负责的主管人员和其他直接责任人员处2万元以上4万元以下的罚款；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未将事故隐患排查治理情况如实记录并且未向从业人员通报的，处5万元以上10万元以下的罚款；逾期未改正的，并处15万元以上20万元以下的罚款，对其直接负责的主管人员和其他直接责任人员处4万元以上5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重大事故隐患排查治理情况未按照规定报告</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pPr>
              <w:pStyle w:val="9"/>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除危险物品的生产、经营、储存、装卸单位以及矿山、金属冶炼、建筑</w:t>
            </w:r>
            <w:r>
              <w:rPr>
                <w:rFonts w:hint="default" w:cs="宋体" w:asciiTheme="minorEastAsia" w:hAnsiTheme="minorEastAsia" w:eastAsiaTheme="minorEastAsia"/>
                <w:strike w:val="0"/>
                <w:dstrike w:val="0"/>
                <w:color w:val="auto"/>
                <w:kern w:val="0"/>
                <w:sz w:val="15"/>
                <w:szCs w:val="15"/>
                <w:highlight w:val="none"/>
                <w:lang w:val="en-US" w:eastAsia="zh-CN"/>
              </w:rPr>
              <w:t>施工、运输单位以外的生产经营单位，重大事故隐患排查治理情况未按照规定报告的，处5万元以下的罚款；逾期未改正的，并处10万元以上15万元以下的罚款，对其直接负责的主管人员和其他直接责任人员处2万元以上3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9"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未向从业人员如实告知有关安全生产事项</w:t>
            </w:r>
          </w:p>
        </w:tc>
        <w:tc>
          <w:tcPr>
            <w:tcW w:w="2789"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违反条款：《中华人民共和国安全生产法》第四十四条第一款；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9"/>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1.生产经营单位未按照规定向从业人员如实告知作业场所和工作岗位存</w:t>
            </w:r>
            <w:r>
              <w:rPr>
                <w:rFonts w:hint="default" w:cs="宋体" w:asciiTheme="minorEastAsia" w:hAnsiTheme="minorEastAsia" w:eastAsiaTheme="minorEastAsia"/>
                <w:strike w:val="0"/>
                <w:dstrike w:val="0"/>
                <w:color w:val="auto"/>
                <w:kern w:val="0"/>
                <w:sz w:val="15"/>
                <w:szCs w:val="15"/>
                <w:highlight w:val="none"/>
                <w:lang w:val="en-US" w:eastAsia="zh-CN"/>
              </w:rPr>
              <w:t>在的危险因素、防范措施以及事故应急措施中的任一项安全生产事项的，处5万元以下的罚款；逾期未改正的，并处10万元以上15万元以下的罚款，对其直接负责的主管人员和其他直接责任人员处2万元以上3万元以下的罚款；</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生产经营单位未按照规定向从业人员如实告知作业场所和工作岗位存在的危险因素、防范措施以及事故应急措施中的任两项安全生产事项的，处5万元以上10万元以下的罚款；逾期未改正的，并处15万元以上20万元以下的罚款，对其直接负责的主管人员和其他直接责任人员处3万元以上5万元以下的罚款；</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3.生产经营单位未按照规定向从业人员如实告知作业场所和工作岗位存在的危险因素、防范措施以及事故应急措施中的全部安全生产事项的，处10万元的罚款；逾期未改正的，并处20万元的罚款，对其直接负责的主管人员和其他直接责任人员处5万元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strike/>
                <w:dstrike w:val="0"/>
                <w:color w:val="auto"/>
                <w:kern w:val="0"/>
                <w:sz w:val="15"/>
                <w:szCs w:val="15"/>
                <w:highlight w:val="none"/>
              </w:rPr>
            </w:pPr>
            <w:r>
              <w:rPr>
                <w:rFonts w:cs="宋体" w:asciiTheme="minorEastAsia" w:hAnsiTheme="minorEastAsia" w:eastAsiaTheme="minorEastAsia"/>
                <w:strike/>
                <w:dstrike w:val="0"/>
                <w:color w:val="auto"/>
                <w:kern w:val="0"/>
                <w:sz w:val="15"/>
                <w:szCs w:val="15"/>
                <w:highlight w:val="none"/>
              </w:rPr>
              <w:br w:type="textWrapping"/>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0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5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违反条款：《北京市安全生产条例》第三十七条第一款</w:t>
            </w:r>
            <w:r>
              <w:rPr>
                <w:rFonts w:hint="eastAsia" w:asciiTheme="minorEastAsia" w:hAnsiTheme="minorEastAsia" w:eastAsiaTheme="minorEastAsia"/>
                <w:color w:val="auto"/>
                <w:sz w:val="15"/>
                <w:szCs w:val="15"/>
                <w:highlight w:val="none"/>
                <w:lang w:eastAsia="zh-CN"/>
              </w:rPr>
              <w:t>；</w:t>
            </w:r>
          </w:p>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拒绝、阻碍负有安全生产监督管理职责的部门依法实施监督检查</w:t>
            </w:r>
          </w:p>
        </w:tc>
        <w:tc>
          <w:tcPr>
            <w:tcW w:w="2789" w:type="dxa"/>
            <w:shd w:val="clear" w:color="auto" w:fill="auto"/>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违反条款：第六十六条；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9"/>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1.生产经营单位拒绝安全生产行政执法人员依法监督检查，拒不改正的，</w:t>
            </w:r>
            <w:r>
              <w:rPr>
                <w:rFonts w:hint="default" w:cs="宋体" w:asciiTheme="minorEastAsia" w:hAnsiTheme="minorEastAsia" w:eastAsiaTheme="minorEastAsia"/>
                <w:strike w:val="0"/>
                <w:dstrike w:val="0"/>
                <w:color w:val="auto"/>
                <w:kern w:val="0"/>
                <w:sz w:val="15"/>
                <w:szCs w:val="15"/>
                <w:highlight w:val="none"/>
                <w:lang w:val="en-US" w:eastAsia="zh-CN"/>
              </w:rPr>
              <w:t>处2万元以上10万元以下的罚款，对其直接负责的主管人员和其他直接责任人员处1万元的罚款；</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2.生产经营单位阻碍安全生产行政执法人员依法监督检查，拒不改正的，处10万元以上20万元以下的罚款，对其直接负责的主管人员和其他直接责任人员处1万元以上2万元以下的罚款。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未执行专项安全生产管理措施逾期未改正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违反条款：《北京市安全生产条例》第四十四条第一款 处罚条款：第六十一条，责令限期改正；逾期未改正的，责令停止生产经营活动。</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ind w:left="6" w:hanging="21"/>
              <w:jc w:val="left"/>
              <w:rPr>
                <w:rFonts w:hint="eastAsia" w:cs="宋体" w:asciiTheme="minorEastAsia" w:hAnsiTheme="minorEastAsia" w:eastAsiaTheme="minorEastAsia"/>
                <w:strike w:val="0"/>
                <w:dstrike w:val="0"/>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lang w:eastAsia="zh-CN"/>
              </w:rPr>
              <w:t>无</w:t>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8"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4" w:name="_Toc110851464"/>
            <w:bookmarkStart w:id="95" w:name="_Toc1075063771"/>
            <w:bookmarkStart w:id="96" w:name="_Toc669393308"/>
            <w:r>
              <w:rPr>
                <w:rFonts w:hint="eastAsia" w:asciiTheme="minorEastAsia" w:hAnsiTheme="minorEastAsia" w:eastAsiaTheme="minorEastAsia"/>
                <w:color w:val="auto"/>
                <w:sz w:val="21"/>
                <w:szCs w:val="21"/>
                <w:highlight w:val="none"/>
              </w:rPr>
              <w:t>《北京市生产安全事故隐患排查治理办法》</w:t>
            </w:r>
            <w:r>
              <w:rPr>
                <w:rFonts w:hint="eastAsia" w:asciiTheme="minorEastAsia" w:hAnsiTheme="minorEastAsia" w:eastAsiaTheme="minorEastAsia"/>
                <w:color w:val="auto"/>
                <w:sz w:val="21"/>
                <w:szCs w:val="21"/>
                <w:highlight w:val="none"/>
                <w:lang w:eastAsia="zh-Hans"/>
              </w:rPr>
              <w:t>案由</w:t>
            </w:r>
            <w:r>
              <w:rPr>
                <w:rFonts w:asciiTheme="minorEastAsia" w:hAnsiTheme="minorEastAsia" w:eastAsiaTheme="minorEastAsia"/>
                <w:color w:val="auto"/>
                <w:sz w:val="21"/>
                <w:szCs w:val="21"/>
                <w:highlight w:val="none"/>
                <w:lang w:eastAsia="zh-Hans"/>
              </w:rPr>
              <w:t>2</w:t>
            </w:r>
            <w:r>
              <w:rPr>
                <w:rFonts w:hint="eastAsia" w:asciiTheme="minorEastAsia" w:hAnsiTheme="minorEastAsia" w:eastAsiaTheme="minorEastAsia"/>
                <w:color w:val="auto"/>
                <w:sz w:val="21"/>
                <w:szCs w:val="21"/>
                <w:highlight w:val="none"/>
                <w:lang w:eastAsia="zh-Hans"/>
              </w:rPr>
              <w:t>项</w:t>
            </w:r>
            <w:bookmarkEnd w:id="94"/>
            <w:bookmarkEnd w:id="95"/>
            <w:bookmarkEnd w:id="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主要负责人未履行规定的事故隐患排查治理职责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Hans"/>
              </w:rPr>
              <w:t>第</w:t>
            </w:r>
            <w:r>
              <w:rPr>
                <w:rFonts w:hint="eastAsia" w:asciiTheme="minorEastAsia" w:hAnsiTheme="minorEastAsia" w:eastAsiaTheme="minorEastAsia"/>
                <w:color w:val="auto"/>
                <w:sz w:val="15"/>
                <w:szCs w:val="15"/>
                <w:highlight w:val="none"/>
              </w:rPr>
              <w:t>七条；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处罚条款：第二十六条，责令限期改正；逾期未改正的，处2万元以上5万元以下罚款。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9"/>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1.经责令限期改正，主要负责人未履行其中任一项职责的，对主要负责人处2万元以上3万元以下的罚款；</w:t>
            </w: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2.经责令限期改正，主要负责人未履行其中任两项以上职责的，对主要负责人处3万元以上5万元以下的罚款。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3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未定期通报事故隐患排查治理情况，或者未公示重大事故隐患的危害程度、影响范围和应急措施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违反条款：第十一条；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处罚条款：第二十八条，责令限期改正，可以处5万元以下罚款；逾期未改正的，责令停产停业整顿，并处5万元以上10万元以下罚款。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9"/>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1.存在虽向从业人员通报了隐患排查治理情况但未每月通报，或者就重大</w:t>
            </w:r>
            <w:r>
              <w:rPr>
                <w:rFonts w:hint="default" w:cs="宋体" w:asciiTheme="minorEastAsia" w:hAnsiTheme="minorEastAsia" w:eastAsiaTheme="minorEastAsia"/>
                <w:strike w:val="0"/>
                <w:dstrike w:val="0"/>
                <w:color w:val="auto"/>
                <w:kern w:val="0"/>
                <w:sz w:val="15"/>
                <w:szCs w:val="15"/>
                <w:highlight w:val="none"/>
                <w:lang w:val="en-US" w:eastAsia="zh-CN"/>
              </w:rPr>
              <w:t xml:space="preserve">事故隐患的危害程度、影响范围和应急措施虽向从业人员进行了公示但公示不全的，可以处2万元以下的罚款；逾期未改正的，并处5万元以上7万元以下的罚款； </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2.未向从业人员通报隐患排查治理情况，或者未向从业人员公示事故隐患的危害程度、影响范围和应急措施的，可以处2万元以上5万元以下的罚款；逾期未改正的，并处7万元以上10万元以下的罚款。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0"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7" w:name="_Toc110851465"/>
            <w:bookmarkStart w:id="98" w:name="_Toc780858134"/>
            <w:bookmarkStart w:id="99" w:name="_Toc1296670137"/>
            <w:r>
              <w:rPr>
                <w:rFonts w:hint="eastAsia" w:asciiTheme="minorEastAsia" w:hAnsiTheme="minorEastAsia" w:eastAsiaTheme="minorEastAsia"/>
                <w:color w:val="auto"/>
                <w:sz w:val="21"/>
                <w:szCs w:val="21"/>
                <w:highlight w:val="none"/>
              </w:rPr>
              <w:t>《北京市单用途预付卡管理条例》案由7项</w:t>
            </w:r>
            <w:bookmarkEnd w:id="97"/>
            <w:bookmarkEnd w:id="98"/>
            <w:bookmarkEnd w:id="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预付卡经营者违反规定发行预付卡或者为消费者办理续卡的</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违反条款：第十一条；处罚条款：第二十八条 责令立即停止发卡、续卡，处两万元以上十万元以下罚款；情节严重的，责令停业。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20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预付卡经营者未向消费者出具载明规定内容的凭据逾期不改正</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预付卡经营者未按照规定提供查询或者未按照规定履行告知义务逾期不改正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预付卡经营者未按照规定保存交易记录逾期不改正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预付卡经营者故意拖延或者无理拒绝退回预收款逾期不改正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预付卡经营者迟报、瞒报、虚报有关信息逾期不改正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违反条款：第二十条；处罚条款：第三十一条  责令限期改正；逾期不改的，处一千元以上五千元以下罚款。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预付卡经营者未按照规定存管资金逾期不改正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w:t>
            </w:r>
            <w:r>
              <w:rPr>
                <w:rFonts w:cs="仿宋_GB2312" w:asciiTheme="minorEastAsia" w:hAnsiTheme="minorEastAsia" w:eastAsiaTheme="minorEastAsia"/>
                <w:color w:val="auto"/>
                <w:sz w:val="15"/>
                <w:szCs w:val="15"/>
                <w:highlight w:val="none"/>
                <w:lang w:val="en"/>
              </w:rPr>
              <w:t>0</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6"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00" w:name="_Toc1495699393"/>
            <w:bookmarkStart w:id="101" w:name="_Toc110851466"/>
            <w:bookmarkStart w:id="102" w:name="_Toc234456741"/>
            <w:r>
              <w:rPr>
                <w:rFonts w:hint="eastAsia" w:ascii="黑体" w:hAnsi="黑体" w:eastAsia="黑体"/>
                <w:b w:val="0"/>
                <w:color w:val="auto"/>
                <w:sz w:val="36"/>
                <w:szCs w:val="36"/>
                <w:highlight w:val="none"/>
              </w:rPr>
              <w:t>园林绿化管理方面</w:t>
            </w:r>
            <w:bookmarkEnd w:id="100"/>
            <w:bookmarkEnd w:id="101"/>
            <w:bookmark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3" w:name="_Toc110851467"/>
            <w:bookmarkStart w:id="104" w:name="_Toc1801139429"/>
            <w:bookmarkStart w:id="105" w:name="_Toc1512825361"/>
            <w:r>
              <w:rPr>
                <w:rFonts w:hint="eastAsia" w:asciiTheme="minorEastAsia" w:hAnsiTheme="minorEastAsia" w:eastAsiaTheme="minorEastAsia"/>
                <w:color w:val="auto"/>
                <w:sz w:val="21"/>
                <w:szCs w:val="21"/>
                <w:highlight w:val="none"/>
              </w:rPr>
              <w:t>《北京市绿化条例》案由16项</w:t>
            </w:r>
            <w:bookmarkEnd w:id="103"/>
            <w:bookmarkEnd w:id="104"/>
            <w:bookmarkEnd w:id="1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未按要求公示绿地平面图</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违反条款：第二十五条；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处罚条款：第六十三条 责令限期改正；逾期不改正的，处5000元罚款。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按照条款规定执行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未按规定对闲置土地进行临时绿化</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违反条款：第二十七条；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处罚条款：第六十四条 责令限期改正；逾期不改正的，处2000元以上2万元以下罚款。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以内，变量系数为0，闲置面积1000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以上的，每增加500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，变量系数增加1；</w:t>
            </w:r>
          </w:p>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闲置时间超过一年的，系数为4；3. 尘土飞扬，对市容环境造成严重影响的，系数9。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未按养护规范养护绿地、树木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处罚条款：第六十五条 责令限期改正；逾期不改正，造成树木死亡、绿化设施损毁、景区风貌破坏的，处2000元以上2万元以下罚款。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1.造成树木死亡（胸径小于30厘米且不满3株），绿化设施损毁、景区风貌破坏较重的，或者造成较大社会影响的，系数为2；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死亡（胸径30厘米以上的，或树木死亡3株以上5株以下），或者造成较大损失的，系数为4；造成树木大面积死亡（胸径30厘米以上树木3棵以上，以及树木死亡10株以上的），或者造成珍贵树种死亡，景区风貌破坏严重难以复原，以及其它社会恶劣影响和重大经济损失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未按规范开发利用绿地地下空间</w:t>
            </w:r>
          </w:p>
        </w:tc>
        <w:tc>
          <w:tcPr>
            <w:tcW w:w="2789"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违反条款：第四十六条；</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处罚条款：第六十六条 责令限期改正；逾期不改正的，处2万元以上10万元以下罚款。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1.造成树木死亡（胸径小于30厘米且不满3株），绿地损毁的，变量系数为1；</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2.造成树木大面积死亡（胸径30厘米以上的，或树木死亡3株以上），绿地使用功能丧失，或者其它社会恶劣影响和重大经济损失的，变量系数为3。</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在树木旁或者绿地内倾倒、排放污水、垃圾、渣土及其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废弃物</w:t>
            </w:r>
          </w:p>
        </w:tc>
        <w:tc>
          <w:tcPr>
            <w:tcW w:w="2789"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1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损毁树木、花草及绿化设施</w:t>
            </w:r>
          </w:p>
        </w:tc>
        <w:tc>
          <w:tcPr>
            <w:tcW w:w="2789"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在树木或者绿化设施上悬挂广告牌或者其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物品</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绿地或绿化设施损毁严重的，系数9。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在绿地内取土、搭建构筑物</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在绿地内用火、烧烤</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实施其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损害绿化成果及绿化设施的行为</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未经许可擅自改变绿地性质和用途</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违反条款：第五十七条；处罚条款：第六十八条责令限期改正、恢复原状，并按照改变的面积处每平方米300元以上3000元以下罚款</w:t>
            </w:r>
            <w:r>
              <w:rPr>
                <w:rFonts w:cs="宋体" w:asciiTheme="minorEastAsia" w:hAnsiTheme="minorEastAsia" w:eastAsiaTheme="minorEastAsia"/>
                <w:color w:val="auto"/>
                <w:kern w:val="0"/>
                <w:sz w:val="15"/>
                <w:szCs w:val="15"/>
                <w:highlight w:val="none"/>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擅自改变公共绿地性质和用途的，系数5-9；主动改正违法行为或者减轻违法后果的，系数1-4。2.改变其它绿地的，系数1-4；3.存在其它情节严重或者社会影响恶劣的情形，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罚款数额＝面积×300×（1＋变量系数）</w:t>
            </w:r>
          </w:p>
        </w:tc>
        <w:tc>
          <w:tcPr>
            <w:tcW w:w="2385"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未按规定移植树木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罚款数额＝树木价值×（3＋</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未按规定砍伐树木</w:t>
            </w:r>
          </w:p>
        </w:tc>
        <w:tc>
          <w:tcPr>
            <w:tcW w:w="2789" w:type="dxa"/>
            <w:shd w:val="clear" w:color="auto" w:fill="auto"/>
            <w:vAlign w:val="center"/>
          </w:tcPr>
          <w:p>
            <w:pPr>
              <w:spacing w:line="232"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违反规定截除树木主干、去除树冠</w:t>
            </w:r>
          </w:p>
        </w:tc>
        <w:tc>
          <w:tcPr>
            <w:tcW w:w="2789" w:type="dxa"/>
            <w:shd w:val="clear" w:color="auto" w:fill="auto"/>
            <w:vAlign w:val="center"/>
          </w:tcPr>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第五十条第（六）项；</w:t>
            </w:r>
          </w:p>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第七十条第一款、第二款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未经许可临时占用绿地</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处罚条款：第六十八条 责令限期改正、恢复原状，并按照改变的面积处每平方米300元以上3000元以下罚款。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存在以下情节的，增加相应变量系数:1.临时占用公共绿地的，系数5-9；主动改正违法行为或者减轻违法后果的，系数1-4。2.临时占用其它绿地的，系数1-4；3.存在其它情节严重或者社会影响恶劣的情形，系数5-9。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 +变量系数）</w:t>
            </w:r>
          </w:p>
        </w:tc>
        <w:tc>
          <w:tcPr>
            <w:tcW w:w="2385" w:type="dxa"/>
            <w:shd w:val="clear" w:color="auto" w:fill="auto"/>
            <w:vAlign w:val="center"/>
          </w:tcPr>
          <w:p>
            <w:pPr>
              <w:spacing w:line="21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未将代征绿地交绿化主管部门组织绿化</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处罚条款：第七十一条 责令限期交回，并处每日每平方米0.5元的罚款。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按规定计算罚款额度。</w:t>
            </w: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1"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6" w:name="_Toc110851468"/>
            <w:bookmarkStart w:id="107" w:name="_Toc177791596"/>
            <w:bookmarkStart w:id="108" w:name="_Toc300786751"/>
            <w:r>
              <w:rPr>
                <w:rFonts w:hint="eastAsia" w:asciiTheme="minorEastAsia" w:hAnsiTheme="minorEastAsia" w:eastAsiaTheme="minorEastAsia"/>
                <w:color w:val="auto"/>
                <w:sz w:val="21"/>
                <w:szCs w:val="21"/>
                <w:highlight w:val="none"/>
              </w:rPr>
              <w:t>《北京市物业</w:t>
            </w:r>
            <w:r>
              <w:rPr>
                <w:rFonts w:asciiTheme="minorEastAsia" w:hAnsiTheme="minorEastAsia" w:eastAsiaTheme="minorEastAsia"/>
                <w:color w:val="auto"/>
                <w:sz w:val="21"/>
                <w:szCs w:val="21"/>
                <w:highlight w:val="none"/>
              </w:rPr>
              <w:t>管理条例</w:t>
            </w:r>
            <w:r>
              <w:rPr>
                <w:rFonts w:hint="eastAsia" w:asciiTheme="minorEastAsia" w:hAnsiTheme="minorEastAsia" w:eastAsiaTheme="minorEastAsia"/>
                <w:color w:val="auto"/>
                <w:sz w:val="21"/>
                <w:szCs w:val="21"/>
                <w:highlight w:val="none"/>
              </w:rPr>
              <w:t>》案由1项</w:t>
            </w:r>
            <w:bookmarkEnd w:id="106"/>
            <w:bookmarkEnd w:id="107"/>
            <w:bookmark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侵占绿地、毁坏绿化植物和绿化设施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违反条款：第七十八条第二款第(九)项。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处罚条款：第九十八条第（九）项，责令改正，拒不改正的，处五百元以上五千元以下的罚款。</w:t>
            </w:r>
          </w:p>
        </w:tc>
        <w:tc>
          <w:tcPr>
            <w:tcW w:w="851" w:type="dxa"/>
            <w:shd w:val="clear" w:color="auto" w:fill="auto"/>
            <w:vAlign w:val="center"/>
          </w:tcPr>
          <w:p>
            <w:pPr>
              <w:spacing w:line="212" w:lineRule="exact"/>
              <w:ind w:firstLine="225" w:firstLine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造成绿化</w:t>
            </w:r>
            <w:r>
              <w:rPr>
                <w:rFonts w:asciiTheme="minorEastAsia" w:hAnsiTheme="minorEastAsia" w:eastAsiaTheme="minorEastAsia"/>
                <w:color w:val="auto"/>
                <w:sz w:val="15"/>
                <w:szCs w:val="15"/>
                <w:highlight w:val="none"/>
              </w:rPr>
              <w:t>植物</w:t>
            </w:r>
            <w:r>
              <w:rPr>
                <w:rFonts w:hint="eastAsia" w:asciiTheme="minorEastAsia" w:hAnsiTheme="minorEastAsia" w:eastAsiaTheme="minorEastAsia"/>
                <w:color w:val="auto"/>
                <w:sz w:val="15"/>
                <w:szCs w:val="15"/>
                <w:highlight w:val="none"/>
              </w:rPr>
              <w:t>、绿地或绿化设施损毁严重的，系数9。</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经责令改正后，当事人主动改正违法行为，不予处罚</w:t>
            </w:r>
            <w:r>
              <w:rPr>
                <w:rFonts w:hint="eastAsia" w:asciiTheme="minorEastAsia" w:hAnsiTheme="minorEastAsia" w:eastAsiaTheme="minorEastAsia"/>
                <w:strike w:val="0"/>
                <w:dstrike w:val="0"/>
                <w:color w:val="auto"/>
                <w:sz w:val="15"/>
                <w:szCs w:val="15"/>
                <w:highlight w:val="none"/>
                <w:lang w:eastAsia="zh-CN"/>
              </w:rPr>
              <w:t>。</w:t>
            </w: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0"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9" w:name="_Toc110851469"/>
            <w:bookmarkStart w:id="110" w:name="_Toc1576301640"/>
            <w:bookmarkStart w:id="111" w:name="_Toc2077007023"/>
            <w:r>
              <w:rPr>
                <w:rFonts w:hint="eastAsia" w:asciiTheme="minorEastAsia" w:hAnsiTheme="minorEastAsia" w:eastAsiaTheme="minorEastAsia"/>
                <w:color w:val="auto"/>
                <w:sz w:val="21"/>
                <w:szCs w:val="21"/>
                <w:highlight w:val="none"/>
              </w:rPr>
              <w:t>《北京市古树名木保护管理条例》案由11项</w:t>
            </w:r>
            <w:bookmarkEnd w:id="109"/>
            <w:bookmarkEnd w:id="110"/>
            <w:bookmarkEnd w:id="1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对古树名木刻划钉钉（缠绕绳索、攀树折枝、剥损树皮）</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违反条款：第十二条第（一）项；</w:t>
            </w:r>
          </w:p>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0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借用古树名木树干做支撑物</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违反条款：第十二条第（二）项；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4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擅自采摘古树名木果实</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71"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在划定的范围内挖坑取土（动用明火、排放烟气、倾倒污水污物、堆放物料、修建建筑物构筑物）</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6"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9"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擅自移植古树名木</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违反条款：第十二条第（五）项、第十五条第二款；处罚条款：第二十二条 处以损失额1倍至2倍的罚款；造成死亡的，处以损失额2倍至3倍罚款。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1.擅自移植一级古树或者具有特殊历史价值和特别珍贵名木的，系数为1；2.造成古树名木树干皮层损伤部分超过树干周长50%，受伤根系超过全部根系40%，主枝损伤超过树冠50%的，系数1。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擅自砍伐古树名木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违反条款：第十二条第（六）项；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 处以损失额3倍至5倍罚款。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1.擅自砍伐一级古树或者具有特殊历史价值和特别珍贵名木的，系数为1；2.造成古树名木死亡的，系数为1。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罚款数额＝损失额×（3＋</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损坏古树名木标志及附属设施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违反条款：第六条；处罚条款：第十七条 责令恢复原貌，赔偿损失，并可处损失额1倍以下的罚款。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按照规定的执行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3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未按规定养护管理古树名木</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违反条款：第十一条第一款；处罚条款：第十八条第一款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未按要求对古树名木治理、复壮</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违反条款：第十一条第二款；处罚条款：第十八条第一款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3"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擅自处理死亡古树名木</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违反条款：第十一条第三款；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处罚条款：第十八条第二款 每株处以2000元至1万元罚款。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9"/>
              <w:spacing w:line="212" w:lineRule="exact"/>
              <w:jc w:val="both"/>
              <w:rPr>
                <w:rFonts w:hint="default"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擅自处理死亡一级古树的，变量系数4；二级古树的，变量系数3</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建设施工未按规定对古树名木</w:t>
            </w:r>
            <w:r>
              <w:rPr>
                <w:rFonts w:cs="宋体" w:asciiTheme="minorEastAsia" w:hAnsiTheme="minorEastAsia" w:eastAsiaTheme="minorEastAsia"/>
                <w:color w:val="auto"/>
                <w:kern w:val="0"/>
                <w:sz w:val="15"/>
                <w:szCs w:val="15"/>
                <w:highlight w:val="none"/>
              </w:rPr>
              <w:t>采取避让保护措施</w:t>
            </w:r>
          </w:p>
        </w:tc>
        <w:tc>
          <w:tcPr>
            <w:tcW w:w="2789" w:type="dxa"/>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处罚条款：第二十一条 责令停止施工。造成古树名木损害的，依照本条例有关规定处理。</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2" w:name="_Toc110851470"/>
            <w:bookmarkStart w:id="113" w:name="_Toc465734653"/>
            <w:bookmarkStart w:id="114" w:name="_Toc1915491681"/>
            <w:r>
              <w:rPr>
                <w:rFonts w:hint="eastAsia" w:asciiTheme="minorEastAsia" w:hAnsiTheme="minorEastAsia" w:eastAsiaTheme="minorEastAsia"/>
                <w:color w:val="auto"/>
                <w:sz w:val="21"/>
                <w:szCs w:val="21"/>
                <w:highlight w:val="none"/>
              </w:rPr>
              <w:t>《北京市公园条例》案由</w:t>
            </w:r>
            <w:r>
              <w:rPr>
                <w:rFonts w:asciiTheme="minorEastAsia" w:hAnsiTheme="minorEastAsia" w:eastAsiaTheme="minorEastAsia"/>
                <w:color w:val="auto"/>
                <w:sz w:val="21"/>
                <w:szCs w:val="21"/>
                <w:highlight w:val="none"/>
              </w:rPr>
              <w:t xml:space="preserve"> 18</w:t>
            </w:r>
            <w:r>
              <w:rPr>
                <w:rFonts w:hint="eastAsia" w:asciiTheme="minorEastAsia" w:hAnsiTheme="minorEastAsia" w:eastAsiaTheme="minorEastAsia"/>
                <w:color w:val="auto"/>
                <w:sz w:val="21"/>
                <w:szCs w:val="21"/>
                <w:highlight w:val="none"/>
              </w:rPr>
              <w:t>项</w:t>
            </w:r>
            <w:bookmarkEnd w:id="112"/>
            <w:bookmarkEnd w:id="113"/>
            <w:bookmarkEnd w:id="1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翻越围墙、栏杆、绿篱</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第（一）项；处罚条款：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第一款第（一）项 </w:t>
            </w:r>
            <w:r>
              <w:rPr>
                <w:rFonts w:cs="宋体" w:asciiTheme="minorEastAsia" w:hAnsiTheme="minorEastAsia" w:eastAsiaTheme="minorEastAsia"/>
                <w:color w:val="auto"/>
                <w:kern w:val="0"/>
                <w:sz w:val="15"/>
                <w:szCs w:val="15"/>
                <w:highlight w:val="none"/>
              </w:rPr>
              <w:t>责令改正，并可以处20元以上50元以下罚款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在禁烟区吸烟</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在非游泳区游泳，在非滑冰区滑冰，在非钓鱼区钓鱼，在非体育运动场所踢球、滑旱冰</w:t>
            </w:r>
            <w:r>
              <w:rPr>
                <w:rFonts w:hint="eastAsia" w:cs="宋体" w:asciiTheme="minorEastAsia" w:hAnsiTheme="minorEastAsia" w:eastAsiaTheme="minorEastAsia"/>
                <w:color w:val="auto"/>
                <w:kern w:val="0"/>
                <w:sz w:val="15"/>
                <w:szCs w:val="15"/>
                <w:highlight w:val="none"/>
              </w:rPr>
              <w:t>）</w:t>
            </w: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随地吐痰、便溺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乱丢果皮等废弃物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1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营火、烧烤</w:t>
            </w:r>
          </w:p>
        </w:tc>
        <w:tc>
          <w:tcPr>
            <w:tcW w:w="2789"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第（二）项；处罚条款：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第一款第（二）项 </w:t>
            </w:r>
            <w:r>
              <w:rPr>
                <w:rFonts w:cs="宋体" w:asciiTheme="minorEastAsia" w:hAnsiTheme="minorEastAsia" w:eastAsiaTheme="minorEastAsia"/>
                <w:color w:val="auto"/>
                <w:kern w:val="0"/>
                <w:sz w:val="15"/>
                <w:szCs w:val="15"/>
                <w:highlight w:val="none"/>
              </w:rPr>
              <w:t>责令改正，并可以处50元以上100元以下罚款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按照《基准》规定的执行</w:t>
            </w:r>
            <w:r>
              <w:rPr>
                <w:rFonts w:hint="eastAsia" w:cs="宋体" w:asciiTheme="minorEastAsia" w:hAnsiTheme="minorEastAsia" w:eastAsiaTheme="minorEastAsia"/>
                <w:color w:val="auto"/>
                <w:kern w:val="0"/>
                <w:sz w:val="15"/>
                <w:szCs w:val="15"/>
                <w:highlight w:val="none"/>
                <w:lang w:eastAsia="zh-CN"/>
              </w:rPr>
              <w:t>。</w:t>
            </w:r>
          </w:p>
        </w:tc>
        <w:tc>
          <w:tcPr>
            <w:tcW w:w="17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9"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捕捞、捕捉动物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采挖植物，恐吓、投打、伤害动物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在非投喂区投喂动物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61"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在建筑物、构筑物、设施、树木上涂写、刻划</w:t>
            </w:r>
            <w:r>
              <w:rPr>
                <w:rFonts w:hint="eastAsia" w:cs="宋体" w:asciiTheme="minorEastAsia" w:hAnsiTheme="minorEastAsia" w:eastAsiaTheme="minorEastAsia"/>
                <w:color w:val="auto"/>
                <w:kern w:val="0"/>
                <w:sz w:val="15"/>
                <w:szCs w:val="15"/>
                <w:highlight w:val="none"/>
              </w:rPr>
              <w:t xml:space="preserve"> </w:t>
            </w:r>
          </w:p>
        </w:tc>
        <w:tc>
          <w:tcPr>
            <w:tcW w:w="2789"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w:t>
            </w:r>
            <w:r>
              <w:rPr>
                <w:rFonts w:hint="eastAsia" w:cs="宋体" w:asciiTheme="minorEastAsia" w:hAnsiTheme="minorEastAsia" w:eastAsiaTheme="minorEastAsia"/>
                <w:color w:val="auto"/>
                <w:kern w:val="0"/>
                <w:sz w:val="15"/>
                <w:szCs w:val="15"/>
                <w:highlight w:val="none"/>
              </w:rPr>
              <w:t>第（三）项；处罚条款：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第一款第（三）项 </w:t>
            </w:r>
            <w:r>
              <w:rPr>
                <w:rFonts w:cs="宋体" w:asciiTheme="minorEastAsia" w:hAnsiTheme="minorEastAsia" w:eastAsiaTheme="minorEastAsia"/>
                <w:color w:val="auto"/>
                <w:kern w:val="0"/>
                <w:sz w:val="15"/>
                <w:szCs w:val="15"/>
                <w:highlight w:val="none"/>
              </w:rPr>
              <w:t>给予警告，并处5元以上50元以下罚款</w:t>
            </w:r>
          </w:p>
        </w:tc>
        <w:tc>
          <w:tcPr>
            <w:tcW w:w="851"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 </w:t>
            </w:r>
          </w:p>
        </w:tc>
        <w:tc>
          <w:tcPr>
            <w:tcW w:w="17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攀折花木</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损坏草坪、树木</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擅自改变公园的功能</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第（一）项 责令限期改正，恢复原功能，并可以处1万元以上10万元以下罚款。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1.改变</w:t>
            </w:r>
            <w:r>
              <w:rPr>
                <w:rFonts w:cs="宋体" w:asciiTheme="minorEastAsia" w:hAnsiTheme="minorEastAsia" w:eastAsiaTheme="minorEastAsia"/>
                <w:color w:val="auto"/>
                <w:kern w:val="0"/>
                <w:sz w:val="15"/>
                <w:szCs w:val="15"/>
                <w:highlight w:val="none"/>
              </w:rPr>
              <w:t>市主要公园</w:t>
            </w:r>
            <w:r>
              <w:rPr>
                <w:rFonts w:hint="eastAsia" w:cs="宋体" w:asciiTheme="minorEastAsia" w:hAnsiTheme="minorEastAsia" w:eastAsiaTheme="minorEastAsia"/>
                <w:color w:val="auto"/>
                <w:kern w:val="0"/>
                <w:sz w:val="15"/>
                <w:szCs w:val="15"/>
                <w:highlight w:val="none"/>
              </w:rPr>
              <w:t>功能</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侵占公园用地</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第（二）项 责令立即腾退，恢复原状，并可以按照侵占面积每平方米处300元罚款。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罚款数额＝侵占面积×300元。</w:t>
            </w: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公园未经验收交付使用</w:t>
            </w:r>
          </w:p>
        </w:tc>
        <w:tc>
          <w:tcPr>
            <w:tcW w:w="2789"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，责令改正，并可以处1万元以上10万元以下罚款。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1.公园建设工程已经完工，具备开园条件，但未经验收交付使用的，系数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-4；2.公园建设工程尚未完全完工，且未经验收交付使用的，系数5-9。</w:t>
            </w:r>
          </w:p>
        </w:tc>
        <w:tc>
          <w:tcPr>
            <w:tcW w:w="17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在历史名园保护区内建设影响原有风貌和格局的建筑物、构建物</w:t>
            </w:r>
          </w:p>
        </w:tc>
        <w:tc>
          <w:tcPr>
            <w:tcW w:w="2789"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二十九</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三</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1.面积500平方米以下（不含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.违法建筑物、构筑物的面积500平方米以上不足1000平方米（不含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）的，系数4</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.违法建筑物、构筑物的面积1000平方米以上的，系数7-9。</w:t>
            </w:r>
          </w:p>
        </w:tc>
        <w:tc>
          <w:tcPr>
            <w:tcW w:w="17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＋变量系数）×面积。</w:t>
            </w:r>
          </w:p>
        </w:tc>
        <w:tc>
          <w:tcPr>
            <w:tcW w:w="23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对原有文物建筑及其附属物损毁、改建、拆除的，按照文物保护的法律、法规规定予以处罚和赔偿。</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擅自改变无法以人力再造和无法再生的自然景观</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 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pPr>
              <w:spacing w:line="240" w:lineRule="exact"/>
              <w:rPr>
                <w:rFonts w:cs="宋体" w:asciiTheme="minorEastAsia" w:hAnsiTheme="minorEastAsia" w:eastAsiaTheme="minorEastAsia"/>
                <w:color w:val="auto"/>
                <w:kern w:val="0"/>
                <w:sz w:val="15"/>
                <w:szCs w:val="15"/>
                <w:highlight w:val="none"/>
              </w:rPr>
            </w:pP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造成损失的，依法承担赔偿责任；构成犯罪的，依法追究刑事责任。</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擅自改变具有特殊历史文化价值的人文景观原有风貌和格局</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公园管理机构未按照标准做好清扫保洁</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三十六</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第一款第</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六</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在公园内搭建棚舍、擅自摆摊设点</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在公园内随意堆放物料、拉绳挂物</w:t>
            </w:r>
          </w:p>
        </w:tc>
        <w:tc>
          <w:tcPr>
            <w:tcW w:w="2789" w:type="dxa"/>
            <w:shd w:val="clear" w:color="auto" w:fill="auto"/>
            <w:vAlign w:val="center"/>
          </w:tcPr>
          <w:p>
            <w:pPr>
              <w:spacing w:line="20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w:t>
            </w:r>
            <w:r>
              <w:rPr>
                <w:rFonts w:cs="宋体" w:asciiTheme="minorEastAsia" w:hAnsiTheme="minorEastAsia" w:eastAsiaTheme="minorEastAsia"/>
                <w:color w:val="auto"/>
                <w:spacing w:val="-4"/>
                <w:kern w:val="0"/>
                <w:sz w:val="15"/>
                <w:szCs w:val="15"/>
                <w:highlight w:val="none"/>
              </w:rPr>
              <w:t>第</w:t>
            </w:r>
            <w:r>
              <w:rPr>
                <w:rFonts w:hint="eastAsia" w:cs="宋体" w:asciiTheme="minorEastAsia" w:hAnsiTheme="minorEastAsia" w:eastAsiaTheme="minorEastAsia"/>
                <w:color w:val="auto"/>
                <w:spacing w:val="-4"/>
                <w:kern w:val="0"/>
                <w:sz w:val="15"/>
                <w:szCs w:val="15"/>
                <w:highlight w:val="none"/>
              </w:rPr>
              <w:t>三十七</w:t>
            </w:r>
            <w:r>
              <w:rPr>
                <w:rFonts w:cs="宋体" w:asciiTheme="minorEastAsia" w:hAnsiTheme="minorEastAsia" w:eastAsiaTheme="minorEastAsia"/>
                <w:color w:val="auto"/>
                <w:spacing w:val="-4"/>
                <w:kern w:val="0"/>
                <w:sz w:val="15"/>
                <w:szCs w:val="15"/>
                <w:highlight w:val="none"/>
              </w:rPr>
              <w:t>条</w:t>
            </w:r>
            <w:r>
              <w:rPr>
                <w:rFonts w:hint="eastAsia" w:cs="宋体" w:asciiTheme="minorEastAsia" w:hAnsiTheme="minorEastAsia" w:eastAsiaTheme="minorEastAsia"/>
                <w:color w:val="auto"/>
                <w:spacing w:val="-4"/>
                <w:kern w:val="0"/>
                <w:sz w:val="15"/>
                <w:szCs w:val="15"/>
                <w:highlight w:val="none"/>
              </w:rPr>
              <w:t>；处罚条款：</w:t>
            </w:r>
            <w:r>
              <w:rPr>
                <w:rFonts w:cs="宋体" w:asciiTheme="minorEastAsia" w:hAnsiTheme="minorEastAsia" w:eastAsiaTheme="minorEastAsia"/>
                <w:color w:val="auto"/>
                <w:spacing w:val="-4"/>
                <w:kern w:val="0"/>
                <w:sz w:val="15"/>
                <w:szCs w:val="15"/>
                <w:highlight w:val="none"/>
              </w:rPr>
              <w:t>第五十</w:t>
            </w:r>
            <w:r>
              <w:rPr>
                <w:rFonts w:hint="eastAsia" w:cs="宋体" w:asciiTheme="minorEastAsia" w:hAnsiTheme="minorEastAsia" w:eastAsiaTheme="minorEastAsia"/>
                <w:color w:val="auto"/>
                <w:spacing w:val="-4"/>
                <w:kern w:val="0"/>
                <w:sz w:val="15"/>
                <w:szCs w:val="15"/>
                <w:highlight w:val="none"/>
              </w:rPr>
              <w:t>五</w:t>
            </w:r>
            <w:r>
              <w:rPr>
                <w:rFonts w:cs="宋体" w:asciiTheme="minorEastAsia" w:hAnsiTheme="minorEastAsia" w:eastAsiaTheme="minorEastAsia"/>
                <w:color w:val="auto"/>
                <w:spacing w:val="-4"/>
                <w:kern w:val="0"/>
                <w:sz w:val="15"/>
                <w:szCs w:val="15"/>
                <w:highlight w:val="none"/>
              </w:rPr>
              <w:t>条第（</w:t>
            </w:r>
            <w:r>
              <w:rPr>
                <w:rFonts w:hint="eastAsia" w:cs="宋体" w:asciiTheme="minorEastAsia" w:hAnsiTheme="minorEastAsia" w:eastAsiaTheme="minorEastAsia"/>
                <w:color w:val="auto"/>
                <w:spacing w:val="-4"/>
                <w:kern w:val="0"/>
                <w:sz w:val="15"/>
                <w:szCs w:val="15"/>
                <w:highlight w:val="none"/>
              </w:rPr>
              <w:t>三</w:t>
            </w:r>
            <w:r>
              <w:rPr>
                <w:rFonts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公园内牌示污损、丢失不及时更换或者补设</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在公园内追逐游客强行兜售物品</w:t>
            </w:r>
          </w:p>
        </w:tc>
        <w:tc>
          <w:tcPr>
            <w:tcW w:w="2789"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w:t>
            </w:r>
            <w:r>
              <w:rPr>
                <w:rFonts w:hint="eastAsia" w:cs="宋体" w:asciiTheme="minorEastAsia" w:hAnsiTheme="minorEastAsia" w:eastAsiaTheme="minorEastAsia"/>
                <w:color w:val="auto"/>
                <w:kern w:val="0"/>
                <w:sz w:val="15"/>
                <w:szCs w:val="15"/>
                <w:highlight w:val="none"/>
              </w:rPr>
              <w:t>七条；处罚条款：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，责令改正，没收违法所得，并处50元以上500元以下罚款。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1" w:hRule="atLeast"/>
          <w:jc w:val="center"/>
        </w:trPr>
        <w:tc>
          <w:tcPr>
            <w:tcW w:w="14218" w:type="dxa"/>
            <w:gridSpan w:val="9"/>
            <w:shd w:val="clear" w:color="auto" w:fill="auto"/>
            <w:vAlign w:val="center"/>
          </w:tcPr>
          <w:p>
            <w:pPr>
              <w:pStyle w:val="4"/>
              <w:bidi w:val="0"/>
              <w:rPr>
                <w:rFonts w:ascii="黑体" w:hAnsi="黑体" w:eastAsia="黑体" w:cs="宋体"/>
                <w:color w:val="auto"/>
                <w:kern w:val="0"/>
                <w:highlight w:val="none"/>
              </w:rPr>
            </w:pPr>
            <w:bookmarkStart w:id="115" w:name="_Toc1235576526"/>
            <w:r>
              <w:rPr>
                <w:rFonts w:hint="eastAsia" w:ascii="黑体" w:hAnsi="黑体" w:eastAsia="黑体" w:cs="黑体"/>
                <w:b w:val="0"/>
                <w:bCs w:val="0"/>
                <w:color w:val="auto"/>
                <w:highlight w:val="none"/>
              </w:rPr>
              <w:t>环境保护管理方面</w:t>
            </w:r>
            <w:bookmarkEnd w:id="1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7" w:hRule="atLeast"/>
          <w:jc w:val="center"/>
        </w:trPr>
        <w:tc>
          <w:tcPr>
            <w:tcW w:w="14218" w:type="dxa"/>
            <w:gridSpan w:val="9"/>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cs="宋体" w:asciiTheme="minorEastAsia" w:hAnsiTheme="minorEastAsia" w:eastAsiaTheme="minorEastAsia"/>
                <w:color w:val="auto"/>
                <w:kern w:val="0"/>
                <w:szCs w:val="15"/>
                <w:highlight w:val="none"/>
              </w:rPr>
            </w:pPr>
            <w:bookmarkStart w:id="116" w:name="_Toc796613074"/>
            <w:r>
              <w:rPr>
                <w:rFonts w:hint="eastAsia"/>
                <w:color w:val="auto"/>
                <w:sz w:val="21"/>
                <w:szCs w:val="21"/>
                <w:highlight w:val="none"/>
              </w:rPr>
              <w:t>《中华人民共和国大气污染防治法》案由18项</w:t>
            </w:r>
            <w:bookmarkEnd w:id="1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施工单位未设置硬质围挡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施工单位未采取有效防尘降尘措施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施工单位未及时清运建筑土方（工程渣土、建筑垃圾）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1.垃圾占地面积10㎡以下的，系数0；11－15㎡的，系数1；16－20㎡系数2，以此类推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施工单位未采用密闭式防尘网遮盖建筑土方（工程渣土、建筑垃圾）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cs="宋体"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建设单位未对暂不开工的建设用地裸露地面进行覆盖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建设单位未对超过三个月不能开工的建设用地裸露地面进行绿化、铺装或者遮盖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运输散装、流体物料车辆未采取密闭或者其</w:t>
            </w:r>
            <w:r>
              <w:rPr>
                <w:rFonts w:hint="eastAsia" w:asciiTheme="minorEastAsia" w:hAnsiTheme="minorEastAsia" w:eastAsiaTheme="minorEastAsia"/>
                <w:color w:val="auto"/>
                <w:sz w:val="15"/>
                <w:szCs w:val="15"/>
                <w:highlight w:val="red"/>
                <w:lang w:eastAsia="zh-CN"/>
              </w:rPr>
              <w:t>他</w:t>
            </w:r>
            <w:r>
              <w:rPr>
                <w:rFonts w:hint="eastAsia" w:asciiTheme="minorEastAsia" w:hAnsiTheme="minorEastAsia" w:eastAsiaTheme="minorEastAsia"/>
                <w:color w:val="auto"/>
                <w:sz w:val="15"/>
                <w:szCs w:val="15"/>
                <w:highlight w:val="none"/>
              </w:rPr>
              <w:t>措施防止物料遗撒</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违反条款：第七十条第一款；处罚条款：第一百一十六条：责令改正，处二千元以上二万元以下的罚款；拒不改正的，车辆不得上道路行驶。</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易产生扬尘的物料未密闭贮存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易产生扬尘的物料不能密闭贮存的，未按规定设置围挡或者未采取有效覆盖措施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装卸物料未采取密闭或者喷淋等方式控制扬尘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尘土飞扬，对环境造成严重影响的，系数5-9。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填埋场（消纳场）未采取有效措施防治扬尘污染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露天焚烧秸秆（落叶）等产生烟尘污染的物质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违反条款：第七十七条；处罚条款：第一百一十九条第一款：责令改正，并可以处五百元以上二千元以下的罚款。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焚烧沥青（油毡、橡胶、塑料、皮革、垃圾）等产生有毒有害烟尘和恶臭气体的物质</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违反规定为露天烧烤食品提供场地</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拒不执行停止工地土石方作业（建筑物拆除施工）等重污染天气应急措施</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违反条款：第九十六条第一款、第一百二十一条第二款；处罚条款：第一百二十一条第二款：处一万元以上十万元以下的罚款。</w:t>
            </w:r>
          </w:p>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市政府的预警级别和应对措施请参照《北京市空气重污染应急预案（试行）》。</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拒不接受大气环境保护监督检查</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1.经责令改正，仍拒不接受监督检查的，系数为4；2.空气重污染预警期间，拒不接受监督检查的，系数4；3.造成大气污染或者不良社会影响等较为严重情形之一的，系数为4-9。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“拒不配合”的情形，不纳入本案由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0" w:hRule="atLeast"/>
          <w:jc w:val="center"/>
        </w:trPr>
        <w:tc>
          <w:tcPr>
            <w:tcW w:w="9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接受大气环境保护监督检查时弄虚作假</w:t>
            </w:r>
          </w:p>
        </w:tc>
        <w:tc>
          <w:tcPr>
            <w:tcW w:w="2789"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1.经责令改正，仍弄虚作假的，系数为4；2.空气重污染预警期间，弄虚作假的，系数4；3.造成大气污染或者不良社会影响等较为严重情形之一的，系数为4-9。</w:t>
            </w:r>
          </w:p>
        </w:tc>
        <w:tc>
          <w:tcPr>
            <w:tcW w:w="17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Times New Roman"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虚假陈述”的情形，不纳入本案由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9" w:hRule="atLeast"/>
          <w:jc w:val="center"/>
        </w:trPr>
        <w:tc>
          <w:tcPr>
            <w:tcW w:w="14218" w:type="dxa"/>
            <w:gridSpan w:val="9"/>
            <w:tcBorders>
              <w:bottom w:val="single" w:color="auto" w:sz="4" w:space="0"/>
            </w:tcBorders>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asciiTheme="minorEastAsia" w:hAnsiTheme="minorEastAsia" w:eastAsiaTheme="minorEastAsia"/>
                <w:color w:val="auto"/>
                <w:szCs w:val="15"/>
                <w:highlight w:val="none"/>
              </w:rPr>
            </w:pPr>
            <w:bookmarkStart w:id="117" w:name="_Toc2119104605"/>
            <w:r>
              <w:rPr>
                <w:rFonts w:hint="eastAsia"/>
                <w:color w:val="auto"/>
                <w:sz w:val="21"/>
                <w:szCs w:val="21"/>
                <w:highlight w:val="none"/>
              </w:rPr>
              <w:t>《北京市大气污染防治条例》案由8项</w:t>
            </w:r>
            <w:bookmarkEnd w:id="1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tcBorders>
              <w:top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拒不执行空气重污染应急措施</w:t>
            </w:r>
          </w:p>
        </w:tc>
        <w:tc>
          <w:tcPr>
            <w:tcW w:w="2789"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p>
        </w:tc>
        <w:tc>
          <w:tcPr>
            <w:tcW w:w="178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违反条款：第五十九条第二款；处罚条款：第一百零八条第二款，责令改正；拒不改正的，予以关闭，并处一万元以上十万元以下罚款。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产生较大环境污染或者社会影响的，系数为5-8；造成事故或者其它社会恶劣影响的，系数为9。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1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露天焚烧秸秆（树叶、枯草）</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违反条款：第六十一条第一款；处罚条款：第一百一十条第一款：责令改正，可以处五百元以上二千元以下罚款。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1"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露天焚烧垃圾（电子废物、油毡、橡胶、塑料、皮革、沥青）</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违反条款：第六十一条第一款；处罚条款：第一百一十条第一款：责令改正，对单位处以一万元以上十万元以下罚款，对个人处五百元以上二千元以下罚款。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1.对大气环境或者生产生活造成较大影响的，系数2-3；2.导致事故发生或者其它恶劣影响的，系数为3。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5"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shd w:val="clear" w:fill="FF0000"/>
              </w:rPr>
              <w:t>在政府划定的禁止范围内露天烧烤食品</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根据案件情形，需要作出公式之外其它罚款额度处罚的，报案审会决定。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7"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为露天烧烤食品提供场地</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 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7"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运输散装、流体物料车辆不符合条件（未安装卫星定位系统、未密闭运输）</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违反条款：第八十三条；处罚条款：第一百二十一条：责令改正，处二千元以上二万以下罚款；拒不改正的，车辆不得上道路行驶。</w:t>
            </w:r>
          </w:p>
        </w:tc>
        <w:tc>
          <w:tcPr>
            <w:tcW w:w="851"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建筑垃圾资源化处置场（渣土消纳场、燃煤电厂贮灰场、垃圾填埋场）未实施分区作业或者未采取措施防治扬尘污染</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40"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8" w:name="_Toc110851471"/>
            <w:bookmarkStart w:id="119" w:name="_Toc1745180410"/>
            <w:bookmarkStart w:id="120" w:name="_Toc1538019583"/>
            <w:r>
              <w:rPr>
                <w:rFonts w:hint="eastAsia" w:asciiTheme="minorEastAsia" w:hAnsiTheme="minorEastAsia" w:eastAsiaTheme="minorEastAsia"/>
                <w:color w:val="auto"/>
                <w:sz w:val="21"/>
                <w:szCs w:val="21"/>
                <w:highlight w:val="none"/>
              </w:rPr>
              <w:t>《北京市环境噪声污染防治办法》案由2项</w:t>
            </w:r>
            <w:bookmarkEnd w:id="118"/>
            <w:bookmarkEnd w:id="119"/>
            <w:bookmarkEnd w:id="1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8"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未把产生噪声的设备、设施布置在远离居住区一侧</w:t>
            </w:r>
          </w:p>
        </w:tc>
        <w:tc>
          <w:tcPr>
            <w:tcW w:w="2789"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违反条款：第十六条；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 责令改正，并可处1万元以上3万元以下罚款。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2"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特殊时段在噪声敏感建筑物集中区域内从事产生噪声的施工作业</w:t>
            </w:r>
          </w:p>
        </w:tc>
        <w:tc>
          <w:tcPr>
            <w:tcW w:w="2789"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处罚条款：第三十九条 责令停止违法行为，并处1万元以上3万元以下罚款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tabs>
                <w:tab w:val="left" w:pos="312"/>
              </w:tabs>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噪声较大或者持续时间较长，或者造成其它社会恶劣影响等情形，系数为1；2.媒体曝光，造成不良社会影响的，系数2；3.在中（高）考考场周边的，系数2。</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21"/>
                <w:szCs w:val="21"/>
                <w:highlight w:val="none"/>
              </w:rPr>
            </w:pPr>
            <w:bookmarkStart w:id="121" w:name="_Toc110851472"/>
            <w:bookmarkStart w:id="122" w:name="_Toc193344115"/>
            <w:bookmarkStart w:id="123" w:name="_Toc647128843"/>
            <w:r>
              <w:rPr>
                <w:rStyle w:val="32"/>
                <w:rFonts w:hint="eastAsia" w:asciiTheme="minorEastAsia" w:hAnsiTheme="minorEastAsia" w:eastAsiaTheme="minorEastAsia"/>
                <w:color w:val="auto"/>
                <w:sz w:val="21"/>
                <w:szCs w:val="21"/>
                <w:highlight w:val="none"/>
              </w:rPr>
              <w:t>《中华人民共和国噪声污染防治法》案由3项</w:t>
            </w:r>
            <w:bookmarkEnd w:id="121"/>
            <w:bookmarkEnd w:id="122"/>
            <w:bookmarkEnd w:id="1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未取得证明夜间施工</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处罚条款：第七十七条第（二）项 责令改正，处一万元以上十万元以下的罚款；拒不改正的，可以责令暂停施工。</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1.噪声较大或者持续时间较长，系数1-4；2.存在在中高考等特殊时段，投诉举报较多，媒体曝光，或者造成其它社会恶劣影响等情形的，系数5-9。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20" w:lineRule="exact"/>
              <w:rPr>
                <w:color w:val="auto"/>
                <w:highlight w:val="none"/>
              </w:rPr>
            </w:pPr>
            <w:r>
              <w:rPr>
                <w:rFonts w:hint="eastAsia" w:asciiTheme="minorEastAsia" w:hAnsiTheme="minorEastAsia" w:eastAsiaTheme="minorEastAsia"/>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未按照规定制定噪声污染防治实施方案</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违反条款：第四十条第二款 ；</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处罚条款：第七十八条第（二）项 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w:t>
            </w:r>
            <w:r>
              <w:rPr>
                <w:rFonts w:hint="eastAsia" w:asciiTheme="minorEastAsia" w:hAnsiTheme="minorEastAsia" w:eastAsiaTheme="minorEastAsia"/>
                <w:color w:val="auto"/>
                <w:sz w:val="15"/>
                <w:szCs w:val="15"/>
                <w:highlight w:val="none"/>
                <w:lang w:val="en"/>
              </w:rPr>
              <w:t>是指</w:t>
            </w:r>
            <w:r>
              <w:rPr>
                <w:rFonts w:hint="eastAsia" w:asciiTheme="minorEastAsia" w:hAnsiTheme="minorEastAsia" w:eastAsiaTheme="minorEastAsia"/>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c>
          <w:tcPr>
            <w:tcW w:w="824" w:type="dxa"/>
            <w:vMerge w:val="restart"/>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建设单位夜间施工未按照规定公告</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处罚条款：第七十八条第（四）项，责令改正，处五千元以上五万元以下的罚款；拒不改正的，处五万元以上二十万元以下的罚款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《北京市环境噪声污染防治办法》的“进行夜间施工作业未公告相关内容”停止执行。</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1"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24" w:name="_Toc110851473"/>
            <w:bookmarkStart w:id="125" w:name="_Toc760985315"/>
            <w:bookmarkStart w:id="126" w:name="_Toc611358730"/>
            <w:r>
              <w:rPr>
                <w:rFonts w:hint="eastAsia" w:ascii="黑体" w:hAnsi="黑体" w:eastAsia="黑体"/>
                <w:b w:val="0"/>
                <w:color w:val="auto"/>
                <w:sz w:val="36"/>
                <w:szCs w:val="36"/>
                <w:highlight w:val="none"/>
              </w:rPr>
              <w:t>施工现场管理方面</w:t>
            </w:r>
            <w:bookmarkEnd w:id="124"/>
            <w:bookmarkEnd w:id="125"/>
            <w:bookmarkEnd w:id="1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7" w:name="_Toc110851474"/>
            <w:bookmarkStart w:id="128" w:name="_Toc1669927446"/>
            <w:bookmarkStart w:id="129" w:name="_Toc862543300"/>
            <w:r>
              <w:rPr>
                <w:rFonts w:hint="eastAsia" w:asciiTheme="minorEastAsia" w:hAnsiTheme="minorEastAsia" w:eastAsiaTheme="minorEastAsia"/>
                <w:color w:val="auto"/>
                <w:sz w:val="21"/>
                <w:szCs w:val="21"/>
                <w:highlight w:val="none"/>
              </w:rPr>
              <w:t>《北京市大气污染防治条例》施工现场执法案由16项</w:t>
            </w:r>
            <w:bookmarkEnd w:id="127"/>
            <w:bookmarkEnd w:id="128"/>
            <w:bookmarkEnd w:id="1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未按规定管护围挡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施工单位未在施工现场出入口公示相关信息</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未对施工现场内主要道路和物料堆放场地进行硬化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未硬化、覆盖或者绿化面积10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未对施工现场内除主要道路和物料堆放场地外其它场地进行覆盖或者临时绿化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大风天气未停止可能产生扬尘污染的施工作业</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级及</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级以上大风未停止可能产生扬尘污染的施工作业的，系数</w:t>
            </w:r>
            <w:r>
              <w:rPr>
                <w:rFonts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施工现场未按规定安装视频监控系统</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施工车辆未经除泥、冲洗驶出工地</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hint="default" w:cs="宋体"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车辆清洗处未配套设置排水、泥浆沉淀设施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施工现场道路及进出口周边一百米以内的道路有泥土和建筑垃圾</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违反条款：第八十一条第一款第（六）项；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道路挖掘施工过程中未及时覆盖破损路面并采取措施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路面长21－30米的，系数1；31－40米的，系数2；以此类推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道路挖掘施工完成后未及时修复路面</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未修复的道路长21－30米的，系数1；31－40米的，系数2；以此类推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产生扬尘的物料未按规定贮存或者未</w:t>
            </w:r>
            <w:r>
              <w:rPr>
                <w:rFonts w:hint="eastAsia" w:asciiTheme="minorEastAsia" w:hAnsiTheme="minorEastAsia" w:eastAsiaTheme="minorEastAsia"/>
                <w:bCs/>
                <w:color w:val="auto"/>
                <w:sz w:val="15"/>
                <w:szCs w:val="15"/>
                <w:highlight w:val="none"/>
              </w:rPr>
              <w:t>采取有效防尘措施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未按规定处置或覆盖建筑土方、工程渣土、建筑垃圾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占地面积10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的，系数1；16－20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0" w:name="_Toc854219027"/>
            <w:bookmarkStart w:id="131" w:name="_Toc110851475"/>
            <w:bookmarkStart w:id="132" w:name="_Toc1309076452"/>
            <w:r>
              <w:rPr>
                <w:rFonts w:hint="eastAsia" w:asciiTheme="minorEastAsia" w:hAnsiTheme="minorEastAsia" w:eastAsiaTheme="minorEastAsia"/>
                <w:color w:val="auto"/>
                <w:sz w:val="21"/>
                <w:szCs w:val="21"/>
                <w:highlight w:val="none"/>
              </w:rPr>
              <w:t>《北京市建设工程施工现场管理办法》案由13项</w:t>
            </w:r>
            <w:bookmarkEnd w:id="130"/>
            <w:bookmarkEnd w:id="131"/>
            <w:bookmarkEnd w:id="1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w:t>
            </w: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市政基础设施工程因特殊情况不能进行围挡的未设置警示标志（或未在工程危险部位采取防护措施）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1.违法行为持续时间较长，或者未设置警示标志或者防护措施的长度、面积较大的，发生在人口密集地区的，系数</w:t>
            </w:r>
            <w:r>
              <w:rPr>
                <w:rFonts w:asciiTheme="minorEastAsia" w:hAnsiTheme="minorEastAsia" w:eastAsiaTheme="minorEastAsia"/>
                <w:color w:val="auto"/>
                <w:sz w:val="15"/>
                <w:szCs w:val="15"/>
                <w:highlight w:val="none"/>
              </w:rPr>
              <w:t>5-9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未按规定对施工现场道路、场地进行硬化、覆盖或者绿化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未硬化、覆盖或者绿化面积</w:t>
            </w:r>
            <w:r>
              <w:rPr>
                <w:rFonts w:cs="宋体" w:asciiTheme="minorEastAsia" w:hAnsiTheme="minorEastAsia" w:eastAsiaTheme="minorEastAsia"/>
                <w:color w:val="auto"/>
                <w:kern w:val="0"/>
                <w:sz w:val="15"/>
                <w:szCs w:val="15"/>
                <w:highlight w:val="none"/>
              </w:rPr>
              <w:t>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w:t>
            </w:r>
            <w:r>
              <w:rPr>
                <w:rFonts w:cs="宋体" w:asciiTheme="minorEastAsia" w:hAnsiTheme="minorEastAsia" w:eastAsiaTheme="minorEastAsia"/>
                <w:color w:val="auto"/>
                <w:kern w:val="0"/>
                <w:sz w:val="15"/>
                <w:szCs w:val="15"/>
                <w:highlight w:val="none"/>
              </w:rPr>
              <w:t>11</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26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5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固化等措施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1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建设单位</w:t>
            </w:r>
            <w:r>
              <w:rPr>
                <w:rFonts w:hint="eastAsia" w:cs="宋体" w:asciiTheme="minorEastAsia" w:hAnsiTheme="minorEastAsia" w:eastAsiaTheme="minorEastAsia"/>
                <w:color w:val="auto"/>
                <w:kern w:val="0"/>
                <w:sz w:val="15"/>
                <w:szCs w:val="15"/>
                <w:highlight w:val="none"/>
              </w:rPr>
              <w:t>未对暂时不开发的空地进行绿化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施工现场未采取洒水措施防止扬尘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拆除作业时未采取洒水措施防止扬尘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可能产生扬尘污染的建筑材料未在库房存放或者未严密遮盖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w:t>
            </w:r>
            <w:r>
              <w:rPr>
                <w:rFonts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6－</w:t>
            </w:r>
            <w:r>
              <w:rPr>
                <w:rFonts w:asciiTheme="minorEastAsia" w:hAnsiTheme="minorEastAsia" w:eastAsiaTheme="minorEastAsia"/>
                <w:color w:val="auto"/>
                <w:sz w:val="15"/>
                <w:szCs w:val="15"/>
                <w:highlight w:val="none"/>
              </w:rPr>
              <w:t>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适用于施工现场相关违法行为的查处。</w:t>
            </w:r>
          </w:p>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施工现场存放油料未采取防止泄漏和污染措施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。2.其他严重污染环境情形的，系数为9。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w:t>
            </w:r>
            <w:r>
              <w:rPr>
                <w:rFonts w:asciiTheme="minorEastAsia" w:hAnsiTheme="minorEastAsia" w:eastAsiaTheme="minorEastAsia"/>
                <w:color w:val="auto"/>
                <w:sz w:val="15"/>
                <w:szCs w:val="15"/>
                <w:highlight w:val="none"/>
              </w:rPr>
              <w:t>三十七条，</w:t>
            </w:r>
            <w:r>
              <w:rPr>
                <w:rFonts w:hint="eastAsia" w:asciiTheme="minorEastAsia" w:hAnsiTheme="minorEastAsia" w:eastAsiaTheme="minorEastAsia"/>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p>
            <w:pPr>
              <w:spacing w:line="232" w:lineRule="exact"/>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未设密闭式垃圾站</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未设置时间持续较长、垃圾堆放量较大，垃圾飘洒、恶臭等环境脏乱严重等情形，系数为1。</w:t>
            </w:r>
          </w:p>
        </w:tc>
        <w:tc>
          <w:tcPr>
            <w:tcW w:w="1785"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未搭设密闭式专用垃圾通道或者未采用容器吊运的</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未搭设密闭式专用垃圾通道时间持续较长或不采用容器吊运时间较长的，系数为1。</w:t>
            </w:r>
          </w:p>
        </w:tc>
        <w:tc>
          <w:tcPr>
            <w:tcW w:w="1785"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6"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33" w:name="_Toc1256403622"/>
            <w:bookmarkStart w:id="134" w:name="_Toc110851476"/>
            <w:bookmarkStart w:id="135" w:name="_Toc1339639682"/>
            <w:r>
              <w:rPr>
                <w:rFonts w:hint="eastAsia" w:ascii="黑体" w:hAnsi="黑体" w:eastAsia="黑体"/>
                <w:b w:val="0"/>
                <w:color w:val="auto"/>
                <w:sz w:val="36"/>
                <w:szCs w:val="36"/>
                <w:highlight w:val="none"/>
              </w:rPr>
              <w:t>停车场管理方面案由</w:t>
            </w:r>
            <w:bookmarkEnd w:id="133"/>
            <w:bookmarkEnd w:id="134"/>
            <w:bookmarkEnd w:id="1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6" w:name="_Toc509001082"/>
            <w:bookmarkStart w:id="137" w:name="_Toc110851477"/>
            <w:bookmarkStart w:id="138" w:name="_Toc418827229"/>
            <w:r>
              <w:rPr>
                <w:rFonts w:hint="eastAsia" w:asciiTheme="minorEastAsia" w:hAnsiTheme="minorEastAsia" w:eastAsiaTheme="minorEastAsia"/>
                <w:color w:val="auto"/>
                <w:sz w:val="21"/>
                <w:szCs w:val="21"/>
                <w:highlight w:val="none"/>
              </w:rPr>
              <w:t>《北京市机动车停车管理办法》案由13项</w:t>
            </w:r>
            <w:bookmarkEnd w:id="136"/>
            <w:bookmarkEnd w:id="137"/>
            <w:bookmarkEnd w:id="1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擅自停止使用机动车停车场</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擅自将机动车停车场改作他用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擅自将机动车临时停车场停止使用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违反条款第十四条第二款；处罚条款；第三十一条：责令限期改正，恢复原状。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190" w:lineRule="exact"/>
              <w:contextualSpacing/>
              <w:jc w:val="left"/>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无照经营（机动车停车场）</w:t>
            </w:r>
          </w:p>
        </w:tc>
        <w:tc>
          <w:tcPr>
            <w:tcW w:w="2789"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违反条款：《北京市机动车停车管理办法》第二十条第一款、《无证无照经营查处办法》第二条；</w:t>
            </w:r>
          </w:p>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3000</w:t>
            </w:r>
          </w:p>
        </w:tc>
        <w:tc>
          <w:tcPr>
            <w:tcW w:w="840"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2304" w:type="dxa"/>
            <w:shd w:val="clear" w:color="auto" w:fill="auto"/>
            <w:vAlign w:val="center"/>
          </w:tcPr>
          <w:p>
            <w:pPr>
              <w:spacing w:line="190" w:lineRule="exact"/>
              <w:contextualSpacing/>
              <w:jc w:val="left"/>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rPr>
              <w:t>按照《基准》的规定执行</w:t>
            </w:r>
            <w:r>
              <w:rPr>
                <w:rFonts w:hint="eastAsia" w:cs="宋体" w:asciiTheme="minorEastAsia" w:hAnsiTheme="minorEastAsia" w:eastAsiaTheme="minorEastAsia"/>
                <w:bCs/>
                <w:color w:val="auto"/>
                <w:kern w:val="0"/>
                <w:sz w:val="15"/>
                <w:szCs w:val="15"/>
                <w:highlight w:val="none"/>
                <w:lang w:eastAsia="zh-CN"/>
              </w:rPr>
              <w:t>。</w:t>
            </w:r>
          </w:p>
        </w:tc>
        <w:tc>
          <w:tcPr>
            <w:tcW w:w="1785"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罚款数额＝3000×（1＋</w:t>
            </w:r>
            <w:r>
              <w:rPr>
                <w:rFonts w:hint="eastAsia" w:cs="宋体" w:asciiTheme="minorEastAsia" w:hAnsiTheme="minorEastAsia" w:eastAsiaTheme="minorEastAsia"/>
                <w:bCs/>
                <w:color w:val="auto"/>
                <w:kern w:val="0"/>
                <w:sz w:val="15"/>
                <w:szCs w:val="15"/>
                <w:highlight w:val="none"/>
                <w:lang w:eastAsia="zh-CN"/>
              </w:rPr>
              <w:t>常量系数＋区域系数</w:t>
            </w:r>
            <w:r>
              <w:rPr>
                <w:rFonts w:hint="eastAsia" w:cs="宋体" w:asciiTheme="minorEastAsia" w:hAnsiTheme="minorEastAsia" w:eastAsiaTheme="minorEastAsia"/>
                <w:bCs/>
                <w:color w:val="auto"/>
                <w:kern w:val="0"/>
                <w:sz w:val="15"/>
                <w:szCs w:val="15"/>
                <w:highlight w:val="none"/>
              </w:rPr>
              <w:t>）</w:t>
            </w:r>
          </w:p>
        </w:tc>
        <w:tc>
          <w:tcPr>
            <w:tcW w:w="2385" w:type="dxa"/>
            <w:shd w:val="clear" w:color="auto" w:fill="auto"/>
            <w:vAlign w:val="center"/>
          </w:tcPr>
          <w:p>
            <w:pPr>
              <w:spacing w:line="190" w:lineRule="exact"/>
              <w:contextualSpacing/>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lang w:eastAsia="zh-CN"/>
              </w:rPr>
              <w:t>需要</w:t>
            </w:r>
            <w:r>
              <w:rPr>
                <w:rFonts w:hint="eastAsia" w:cs="宋体" w:asciiTheme="minorEastAsia" w:hAnsiTheme="minorEastAsia" w:eastAsiaTheme="minorEastAsia"/>
                <w:bCs/>
                <w:color w:val="auto"/>
                <w:kern w:val="0"/>
                <w:sz w:val="15"/>
                <w:szCs w:val="15"/>
                <w:highlight w:val="none"/>
              </w:rPr>
              <w:t>在3000元以下进行处罚</w:t>
            </w:r>
            <w:r>
              <w:rPr>
                <w:rFonts w:hint="eastAsia" w:cs="宋体" w:asciiTheme="minorEastAsia" w:hAnsiTheme="minorEastAsia" w:eastAsiaTheme="minorEastAsia"/>
                <w:bCs/>
                <w:color w:val="auto"/>
                <w:kern w:val="0"/>
                <w:sz w:val="15"/>
                <w:szCs w:val="15"/>
                <w:highlight w:val="none"/>
                <w:lang w:eastAsia="zh-CN"/>
              </w:rPr>
              <w:t>，</w:t>
            </w:r>
            <w:r>
              <w:rPr>
                <w:rFonts w:hint="eastAsia" w:cs="宋体" w:asciiTheme="minorEastAsia" w:hAnsiTheme="minorEastAsia" w:eastAsiaTheme="minorEastAsia"/>
                <w:bCs/>
                <w:color w:val="auto"/>
                <w:kern w:val="0"/>
                <w:sz w:val="15"/>
                <w:szCs w:val="15"/>
                <w:highlight w:val="none"/>
              </w:rPr>
              <w:t>报案审会审议</w:t>
            </w:r>
            <w:r>
              <w:rPr>
                <w:rFonts w:hint="eastAsia" w:cs="宋体" w:asciiTheme="minorEastAsia" w:hAnsiTheme="minorEastAsia" w:eastAsiaTheme="minorEastAsia"/>
                <w:bCs/>
                <w:color w:val="auto"/>
                <w:kern w:val="0"/>
                <w:sz w:val="15"/>
                <w:szCs w:val="15"/>
                <w:highlight w:val="none"/>
                <w:lang w:eastAsia="zh-CN"/>
              </w:rPr>
              <w:t>决定。</w:t>
            </w: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未按规定对停车泊位备案</w:t>
            </w:r>
          </w:p>
        </w:tc>
        <w:tc>
          <w:tcPr>
            <w:tcW w:w="2789"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违反条款：第二十条第一款；处罚条款：第三十二条第二款:处1万元罚款.</w:t>
            </w:r>
          </w:p>
        </w:tc>
        <w:tc>
          <w:tcPr>
            <w:tcW w:w="85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0"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停车场管理单位未配置完备的停车设施标志标识（或未为停车人进出提供明确的引导或未为残疾人提供必要服务）</w:t>
            </w:r>
          </w:p>
        </w:tc>
        <w:tc>
          <w:tcPr>
            <w:tcW w:w="2789"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同时存在设施标志标识不“完备”、“未提供明确引导”、“未为残疾人提供必要服务”等2个以上（含2个）违法行为的（认定可参照国家GB11/T-596-2008标准），系数0.5；同时存在本款2个以上（含2个）违法形态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停车场管理单位未指挥车辆按序进出和停放，维护停车秩序</w:t>
            </w:r>
          </w:p>
        </w:tc>
        <w:tc>
          <w:tcPr>
            <w:tcW w:w="2789"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停车场管理单位未对停车管理员进行专业培训、考核</w:t>
            </w:r>
          </w:p>
        </w:tc>
        <w:tc>
          <w:tcPr>
            <w:tcW w:w="2789"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2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经核实，管理单位长达半年以上未对管理员进行培训考核，或者存在3名以上管理员同时未参与培训、考核的情形，系数1。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停车场管理单位在停车区域从事影响车辆安全停放的其</w:t>
            </w:r>
            <w:r>
              <w:rPr>
                <w:rFonts w:hint="eastAsia" w:asciiTheme="minorEastAsia" w:hAnsiTheme="minorEastAsia" w:eastAsiaTheme="minorEastAsia"/>
                <w:color w:val="auto"/>
                <w:sz w:val="15"/>
                <w:szCs w:val="15"/>
                <w:highlight w:val="none"/>
                <w:shd w:val="clear" w:fill="FF0000"/>
                <w:lang w:eastAsia="zh-CN"/>
              </w:rPr>
              <w:t>他</w:t>
            </w:r>
            <w:r>
              <w:rPr>
                <w:rFonts w:hint="eastAsia" w:asciiTheme="minorEastAsia" w:hAnsiTheme="minorEastAsia" w:eastAsiaTheme="minorEastAsia"/>
                <w:color w:val="auto"/>
                <w:sz w:val="15"/>
                <w:szCs w:val="15"/>
                <w:highlight w:val="none"/>
              </w:rPr>
              <w:t>经营活动</w:t>
            </w:r>
          </w:p>
        </w:tc>
        <w:tc>
          <w:tcPr>
            <w:tcW w:w="2789"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一年内群众投诉3次以上，或者致使周边交通拥堵的，或者因上述原因诱发停车事故或者交通事故的，系数1。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停车场管理单位未建立投诉处理制度</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停车场管理单位未遵守国家和本市其</w:t>
            </w:r>
            <w:r>
              <w:rPr>
                <w:rFonts w:hint="eastAsia" w:asciiTheme="minorEastAsia" w:hAnsiTheme="minorEastAsia" w:eastAsiaTheme="minorEastAsia"/>
                <w:color w:val="auto"/>
                <w:sz w:val="15"/>
                <w:szCs w:val="15"/>
                <w:highlight w:val="none"/>
                <w:shd w:val="clear" w:fill="FF0000"/>
                <w:lang w:eastAsia="zh-CN"/>
              </w:rPr>
              <w:t>他</w:t>
            </w:r>
            <w:r>
              <w:rPr>
                <w:rFonts w:hint="eastAsia" w:asciiTheme="minorEastAsia" w:hAnsiTheme="minorEastAsia" w:eastAsiaTheme="minorEastAsia"/>
                <w:color w:val="auto"/>
                <w:sz w:val="15"/>
                <w:szCs w:val="15"/>
                <w:highlight w:val="none"/>
              </w:rPr>
              <w:t>相关停车管理服务规范和标准</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违反条款：第二十一条第二款；处罚条款：第三十四条，责令限期改正，并处5000元以上1万元以下罚款。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 xml:space="preserve">适用于中心城范围内向社会开放并收费的停车场；按规定实行限时的临时停车场除外。 </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擅自设置地桩、地锁等障碍物</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违反条款：第二十七条第一款；处罚条款：第三十七条</w:t>
            </w:r>
            <w:r>
              <w:rPr>
                <w:rFonts w:hint="eastAsia" w:asciiTheme="minorEastAsia" w:hAnsiTheme="minorEastAsia" w:eastAsiaTheme="minorEastAsia"/>
                <w:color w:val="auto"/>
                <w:sz w:val="15"/>
                <w:szCs w:val="15"/>
                <w:highlight w:val="none"/>
                <w:lang w:eastAsia="zh-CN"/>
              </w:rPr>
              <w:t>第一款</w:t>
            </w:r>
            <w:r>
              <w:rPr>
                <w:rFonts w:hint="eastAsia" w:asciiTheme="minorEastAsia" w:hAnsiTheme="minorEastAsia" w:eastAsiaTheme="minorEastAsia"/>
                <w:color w:val="auto"/>
                <w:sz w:val="15"/>
                <w:szCs w:val="15"/>
                <w:highlight w:val="none"/>
              </w:rPr>
              <w:t>，责令停止违法行为，恢复原状，并处500元以上5000元以下罚款。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一年内群众投诉3次以上的，系数1；2.设置地桩、地锁等障碍物数量2个，系数1；3个，系数2，以此累加</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10个及以上的，系数9</w:t>
            </w:r>
            <w:r>
              <w:rPr>
                <w:rFonts w:hint="eastAsia" w:cs="宋体" w:asciiTheme="minorEastAsia" w:hAnsiTheme="minorEastAsia" w:eastAsiaTheme="minorEastAsia"/>
                <w:color w:val="auto"/>
                <w:kern w:val="0"/>
                <w:sz w:val="15"/>
                <w:szCs w:val="15"/>
                <w:highlight w:val="none"/>
              </w:rPr>
              <w:t>；3.存在其它严重影响通行和市容秩序、致使公共安全等事件的，系数9。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9" w:name="_Toc1557995543"/>
            <w:bookmarkStart w:id="140" w:name="_Toc110851478"/>
            <w:bookmarkStart w:id="141" w:name="_Toc669201170"/>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机动车停车条例</w:t>
            </w:r>
            <w:r>
              <w:rPr>
                <w:rFonts w:hint="eastAsia" w:asciiTheme="minorEastAsia" w:hAnsiTheme="minorEastAsia" w:eastAsiaTheme="minorEastAsia"/>
                <w:color w:val="auto"/>
                <w:sz w:val="21"/>
                <w:szCs w:val="21"/>
                <w:highlight w:val="none"/>
              </w:rPr>
              <w:t>》案由6项</w:t>
            </w:r>
            <w:bookmarkEnd w:id="139"/>
            <w:bookmarkEnd w:id="140"/>
            <w:bookmarkEnd w:id="1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未如实报送停车设施设置情况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处罚条款：第二十一条第三款，责令限期改正；逾期未改正的，处1万元罚款。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未按照规定时限（或未如实）报送停车设施设置情况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处罚条款：第二十二条第二款，责令限期改正；逾期未改正的，处2000元罚款。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先行责令限期改正，当事人在规定期限内改正的，不予处罚；逾期未改正的，处2000元罚款。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公共停车设施未按照标准配建停车诱导设施（进出车辆信息采集及号牌系统、与所在区域停车诱导系统实时对接）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先行责令限期改正，当事人在规定期限内改正的，不予处罚；逾期未改正的，处1万元罚款。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擅自设置固定或者可移动障碍物</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处罚条款：第二十六条第二款，责令停止违法行为，恢复原状，并处500元以上1000元以下罚款。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该条规定的障碍物包括地桩、地锁等固定式障碍物和废旧桌椅、自行车等可移动障碍物，和《办法》规定的“地桩、地锁等障碍物”有所区别。</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处罚条款：第三十二条第二款，责令限期改正，并处5000元以上1万元以下罚款。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1.仅限于中心城区范围内经营性停车设施；2.《条例》未涉及的停车设施经营单位应遵守的其它规定，依据《办法》第二十一条规定执行。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违反规划将停车设施改作他用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处罚条款：第三十三条第四款，责令限期改正、恢复原状，并处每个泊位1万元罚款。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按照规定执行，处每个泊位1万元罚款。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42" w:name="_Toc110851479"/>
            <w:bookmarkStart w:id="143" w:name="_Toc67594986"/>
            <w:bookmarkStart w:id="144" w:name="_Toc2117121609"/>
            <w:r>
              <w:rPr>
                <w:rFonts w:hint="eastAsia" w:asciiTheme="minorEastAsia" w:hAnsiTheme="minorEastAsia" w:eastAsiaTheme="minorEastAsia"/>
                <w:color w:val="auto"/>
                <w:sz w:val="21"/>
                <w:szCs w:val="21"/>
                <w:highlight w:val="none"/>
              </w:rPr>
              <w:t>《北京市非机动车停车管理办法》《北京市</w:t>
            </w:r>
            <w:r>
              <w:rPr>
                <w:rFonts w:asciiTheme="minorEastAsia" w:hAnsiTheme="minorEastAsia" w:eastAsiaTheme="minorEastAsia"/>
                <w:color w:val="auto"/>
                <w:sz w:val="21"/>
                <w:szCs w:val="21"/>
                <w:highlight w:val="none"/>
              </w:rPr>
              <w:t>非机动车</w:t>
            </w:r>
            <w:r>
              <w:rPr>
                <w:rFonts w:hint="eastAsia" w:asciiTheme="minorEastAsia" w:hAnsiTheme="minorEastAsia" w:eastAsiaTheme="minorEastAsia"/>
                <w:color w:val="auto"/>
                <w:sz w:val="21"/>
                <w:szCs w:val="21"/>
                <w:highlight w:val="none"/>
              </w:rPr>
              <w:t>管理</w:t>
            </w:r>
            <w:r>
              <w:rPr>
                <w:rFonts w:asciiTheme="minorEastAsia" w:hAnsiTheme="minorEastAsia" w:eastAsiaTheme="minorEastAsia"/>
                <w:color w:val="auto"/>
                <w:sz w:val="21"/>
                <w:szCs w:val="21"/>
                <w:highlight w:val="none"/>
              </w:rPr>
              <w:t>条例</w:t>
            </w:r>
            <w:r>
              <w:rPr>
                <w:rFonts w:hint="eastAsia" w:asciiTheme="minorEastAsia" w:hAnsiTheme="minorEastAsia" w:eastAsiaTheme="minorEastAsia"/>
                <w:color w:val="auto"/>
                <w:sz w:val="21"/>
                <w:szCs w:val="21"/>
                <w:highlight w:val="none"/>
              </w:rPr>
              <w:t>》案由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42"/>
            <w:bookmarkEnd w:id="143"/>
            <w:bookmarkEnd w:id="1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7"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非机动车公共停车场未对公众开放</w:t>
            </w:r>
          </w:p>
        </w:tc>
        <w:tc>
          <w:tcPr>
            <w:tcW w:w="2789"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5"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擅自侵占、停止使用非机动车公共停车场或者将其挪作他用</w:t>
            </w:r>
          </w:p>
        </w:tc>
        <w:tc>
          <w:tcPr>
            <w:tcW w:w="2789"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150" w:firstLineChars="100"/>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9" w:hRule="atLeast"/>
          <w:jc w:val="center"/>
        </w:trPr>
        <w:tc>
          <w:tcPr>
            <w:tcW w:w="940" w:type="dxa"/>
            <w:vMerge w:val="restart"/>
            <w:tcBorders>
              <w:top w:val="single" w:color="000000" w:sz="4" w:space="0"/>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3</w:t>
            </w:r>
          </w:p>
        </w:tc>
        <w:tc>
          <w:tcPr>
            <w:tcW w:w="1500"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非机动车公共停车场未按规范设置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适应于非经营性非机车停车场。</w:t>
            </w: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7" w:hRule="atLeast"/>
          <w:jc w:val="center"/>
        </w:trPr>
        <w:tc>
          <w:tcPr>
            <w:tcW w:w="940" w:type="dxa"/>
            <w:vMerge w:val="continue"/>
            <w:tcBorders>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91" w:hRule="atLeast"/>
          <w:jc w:val="center"/>
        </w:trPr>
        <w:tc>
          <w:tcPr>
            <w:tcW w:w="940" w:type="dxa"/>
            <w:vMerge w:val="continue"/>
            <w:tcBorders>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2</w:t>
            </w:r>
            <w:r>
              <w:rPr>
                <w:rFonts w:hint="eastAsia" w:cs="Arial" w:asciiTheme="minorEastAsia" w:hAnsiTheme="minorEastAsia" w:eastAsiaTheme="minorEastAsia"/>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65"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非机动车公共停车场未建立并落实各项管理和服务制度</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按照《北京市非机动车管理条例》进行查处。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4"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非机动车公共停车场的经营、管理单位拒绝接受指导和监督检查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1"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未保证非机动车公共停车场内的停车秩序（环境卫生、停车安全）</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违反条款：《北京市非机动车停车管理办法》第十一条第一款第（五）项；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适用于查处“未保证良好的环境卫生”行为。</w:t>
            </w: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5"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违反条款：《北京市非机动车管理条例》第二十三条第（二）项。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r>
              <w:rPr>
                <w:rFonts w:cs="Arial" w:asciiTheme="minorEastAsia" w:hAnsiTheme="minorEastAsia" w:eastAsiaTheme="minorEastAsia"/>
                <w:color w:val="auto"/>
                <w:kern w:val="0"/>
                <w:sz w:val="15"/>
                <w:szCs w:val="15"/>
                <w:highlight w:val="none"/>
              </w:rPr>
              <w:t>000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适用于查处“未保障停车场内的停车秩序和停车安全”行为。</w:t>
            </w: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45" w:name="_Toc110851480"/>
            <w:bookmarkStart w:id="146" w:name="_Toc2072679585"/>
            <w:bookmarkStart w:id="147" w:name="_Toc1863603006"/>
            <w:r>
              <w:rPr>
                <w:rFonts w:hint="eastAsia" w:ascii="黑体" w:hAnsi="黑体" w:eastAsia="黑体"/>
                <w:b w:val="0"/>
                <w:color w:val="auto"/>
                <w:sz w:val="36"/>
                <w:szCs w:val="36"/>
                <w:highlight w:val="none"/>
              </w:rPr>
              <w:t>交通运输管理方面</w:t>
            </w:r>
            <w:bookmarkEnd w:id="145"/>
            <w:bookmarkEnd w:id="146"/>
            <w:bookmarkEnd w:id="1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trike w:val="0"/>
                <w:color w:val="auto"/>
                <w:sz w:val="15"/>
                <w:szCs w:val="15"/>
                <w:highlight w:val="none"/>
              </w:rPr>
            </w:pPr>
            <w:bookmarkStart w:id="148" w:name="_Toc110851481"/>
            <w:bookmarkStart w:id="149" w:name="_Toc1833599949"/>
            <w:bookmarkStart w:id="150" w:name="_Toc587170636"/>
            <w:r>
              <w:rPr>
                <w:rFonts w:hint="eastAsia" w:asciiTheme="minorEastAsia" w:hAnsiTheme="minorEastAsia" w:eastAsiaTheme="minorEastAsia"/>
                <w:b/>
                <w:bCs/>
                <w:strike w:val="0"/>
                <w:dstrike w:val="0"/>
                <w:color w:val="auto"/>
                <w:sz w:val="21"/>
                <w:szCs w:val="21"/>
                <w:highlight w:val="none"/>
              </w:rPr>
              <w:t>《巡游出租汽车经营服务管理规定》案由1项</w:t>
            </w:r>
            <w:bookmarkEnd w:id="148"/>
            <w:bookmarkEnd w:id="149"/>
            <w:bookmarkEnd w:id="15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500" w:type="dxa"/>
            <w:shd w:val="clear" w:color="auto" w:fill="auto"/>
            <w:vAlign w:val="center"/>
          </w:tcPr>
          <w:p>
            <w:pPr>
              <w:spacing w:line="204"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无证经营出租汽车</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违反条款：第八条；</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strike w:val="0"/>
                <w:dstrike w:val="0"/>
                <w:color w:val="auto"/>
                <w:sz w:val="15"/>
                <w:szCs w:val="15"/>
                <w:highlight w:val="none"/>
              </w:rPr>
            </w:pPr>
            <w:r>
              <w:rPr>
                <w:rFonts w:hint="eastAsia" w:cs="宋体" w:asciiTheme="minorEastAsia" w:hAnsiTheme="minorEastAsia" w:eastAsiaTheme="minorEastAsia"/>
                <w:strike w:val="0"/>
                <w:dstrike w:val="0"/>
                <w:color w:val="auto"/>
                <w:sz w:val="15"/>
                <w:szCs w:val="15"/>
                <w:highlight w:val="none"/>
              </w:rPr>
              <w:t>罚款数额＝5000×</w:t>
            </w:r>
            <w:r>
              <w:rPr>
                <w:rFonts w:hint="eastAsia" w:cs="宋体" w:asciiTheme="minorEastAsia" w:hAnsiTheme="minorEastAsia" w:eastAsiaTheme="minorEastAsia"/>
                <w:bCs/>
                <w:strike w:val="0"/>
                <w:dstrike w:val="0"/>
                <w:color w:val="auto"/>
                <w:sz w:val="15"/>
                <w:szCs w:val="15"/>
                <w:highlight w:val="none"/>
              </w:rPr>
              <w:t>（1＋</w:t>
            </w:r>
            <w:r>
              <w:rPr>
                <w:rFonts w:hint="eastAsia" w:cs="宋体" w:asciiTheme="minorEastAsia" w:hAnsiTheme="minorEastAsia" w:eastAsiaTheme="minorEastAsia"/>
                <w:bCs/>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cs="宋体" w:asciiTheme="minorEastAsia" w:hAnsiTheme="minorEastAsia" w:eastAsiaTheme="minorEastAsia"/>
                <w:bCs/>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shd w:val="clear" w:color="auto" w:fill="auto"/>
            <w:vAlign w:val="center"/>
          </w:tcPr>
          <w:p>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街道</w:t>
            </w:r>
          </w:p>
          <w:p>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3"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51" w:name="_Toc121789162"/>
            <w:bookmarkStart w:id="152" w:name="_Toc110851482"/>
            <w:bookmarkStart w:id="153" w:name="_Toc1024525621"/>
            <w:r>
              <w:rPr>
                <w:rFonts w:hint="eastAsia" w:asciiTheme="minorEastAsia" w:hAnsiTheme="minorEastAsia" w:eastAsiaTheme="minorEastAsia"/>
                <w:color w:val="auto"/>
                <w:sz w:val="21"/>
                <w:szCs w:val="21"/>
                <w:highlight w:val="none"/>
              </w:rPr>
              <w:t>《北京市查处非法客运若干规定》案由2项</w:t>
            </w:r>
            <w:bookmarkEnd w:id="151"/>
            <w:bookmarkEnd w:id="152"/>
            <w:bookmarkEnd w:id="1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9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未经许可擅自（或组织）从事巡游出租汽车客运经营</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没有违法所得或者违法所得不足2万元的，基数为10000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pPr>
              <w:spacing w:line="232" w:lineRule="exact"/>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10000×（1＋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违法所得2万元以上的，基数为违法所得。</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违法所得×2×（1＋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利用摩托车、三轮车、残疾人机动轮椅车等车辆从事客运经营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违反条款：第八条第一款。 </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处罚条款：第八条第二款，没收车辆，没收违法所得，并可处500元以上2000元以下罚款。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造成秩序混乱或者较大社会影响的，系数1-3。</w:t>
            </w: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w:t>
            </w:r>
            <w:r>
              <w:rPr>
                <w:rFonts w:hint="eastAsia" w:cs="宋体" w:asciiTheme="minorEastAsia" w:hAnsiTheme="minorEastAsia" w:eastAsiaTheme="minorEastAsia"/>
                <w:bCs/>
                <w:color w:val="auto"/>
                <w:sz w:val="15"/>
                <w:szCs w:val="15"/>
                <w:highlight w:val="none"/>
              </w:rPr>
              <w:t>（1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cs="宋体" w:asciiTheme="minorEastAsia" w:hAnsiTheme="minorEastAsia" w:eastAsiaTheme="minorEastAsia"/>
                <w:bCs/>
                <w:color w:val="auto"/>
                <w:sz w:val="15"/>
                <w:szCs w:val="15"/>
                <w:highlight w:val="none"/>
              </w:rPr>
              <w:t>）</w:t>
            </w:r>
          </w:p>
        </w:tc>
        <w:tc>
          <w:tcPr>
            <w:tcW w:w="23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4"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54" w:name="_Toc110851483"/>
            <w:bookmarkStart w:id="155" w:name="_Toc360901343"/>
            <w:bookmarkStart w:id="156" w:name="_Toc1990957976"/>
            <w:r>
              <w:rPr>
                <w:rFonts w:hint="eastAsia" w:ascii="黑体" w:hAnsi="黑体" w:eastAsia="黑体"/>
                <w:b w:val="0"/>
                <w:color w:val="auto"/>
                <w:sz w:val="36"/>
                <w:szCs w:val="36"/>
                <w:highlight w:val="none"/>
              </w:rPr>
              <w:t>市场监督管理（流动无照经营）方面</w:t>
            </w:r>
            <w:bookmarkEnd w:id="154"/>
            <w:bookmarkEnd w:id="155"/>
            <w:bookmarkEnd w:id="1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57" w:name="_Toc704954681"/>
            <w:bookmarkStart w:id="158" w:name="_Toc110851484"/>
            <w:bookmarkStart w:id="159" w:name="_Toc773948337"/>
            <w:r>
              <w:rPr>
                <w:rFonts w:hint="eastAsia" w:asciiTheme="minorEastAsia" w:hAnsiTheme="minorEastAsia" w:eastAsiaTheme="minorEastAsia"/>
                <w:color w:val="auto"/>
                <w:sz w:val="21"/>
                <w:szCs w:val="21"/>
                <w:highlight w:val="none"/>
              </w:rPr>
              <w:t>《无证</w:t>
            </w:r>
            <w:r>
              <w:rPr>
                <w:rFonts w:asciiTheme="minorEastAsia" w:hAnsiTheme="minorEastAsia" w:eastAsiaTheme="minorEastAsia"/>
                <w:color w:val="auto"/>
                <w:sz w:val="21"/>
                <w:szCs w:val="21"/>
                <w:highlight w:val="none"/>
              </w:rPr>
              <w:t>无照经营查处办法</w:t>
            </w:r>
            <w:r>
              <w:rPr>
                <w:rFonts w:hint="eastAsia" w:asciiTheme="minorEastAsia" w:hAnsiTheme="minorEastAsia" w:eastAsiaTheme="minorEastAsia"/>
                <w:color w:val="auto"/>
                <w:sz w:val="21"/>
                <w:szCs w:val="21"/>
                <w:highlight w:val="none"/>
              </w:rPr>
              <w:t>》案由3项</w:t>
            </w:r>
            <w:bookmarkEnd w:id="157"/>
            <w:bookmarkEnd w:id="158"/>
            <w:bookmarkEnd w:id="1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75"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w:t>
            </w:r>
          </w:p>
        </w:tc>
        <w:tc>
          <w:tcPr>
            <w:tcW w:w="2789"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违反条款：第二条；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罚款数额＝100×（1＋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适用于一般无照经营情形；2.占用无障碍设施或者机动车道；占用过街桥、地下过街通道；使用畜力车、农用运输车及其它机动车、电动车为经营工具；经营违禁品；占用非机动车道或者其它公共场所面积较大；或者造成通行秩序、市容秩序混乱等无照经营情形，原则按照“摆摊设点”案由查处；需要给予500元以下较轻罚款的，说明理由，报案审会决定按照“无照经营”案由查处。</w:t>
            </w: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72"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2</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cs="宋体" w:asciiTheme="minorEastAsia" w:hAnsiTheme="minorEastAsia" w:eastAsiaTheme="minorEastAsia"/>
                <w:bCs/>
                <w:color w:val="auto"/>
                <w:kern w:val="0"/>
                <w:sz w:val="15"/>
                <w:szCs w:val="15"/>
                <w:highlight w:val="none"/>
              </w:rPr>
              <w:t>为无照经营者提供</w:t>
            </w:r>
            <w:r>
              <w:rPr>
                <w:rFonts w:hint="eastAsia" w:cs="宋体" w:asciiTheme="minorEastAsia" w:hAnsiTheme="minorEastAsia" w:eastAsiaTheme="minorEastAsia"/>
                <w:bCs/>
                <w:color w:val="auto"/>
                <w:kern w:val="0"/>
                <w:sz w:val="15"/>
                <w:szCs w:val="15"/>
                <w:highlight w:val="none"/>
              </w:rPr>
              <w:t>场所或者条件</w:t>
            </w:r>
          </w:p>
        </w:tc>
        <w:tc>
          <w:tcPr>
            <w:tcW w:w="2789"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违反条款：第十四条；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处罚条款：第十四条，责令停止违法行为，没收违法所得，并处</w:t>
            </w:r>
            <w:r>
              <w:rPr>
                <w:rFonts w:cs="宋体" w:asciiTheme="minorEastAsia" w:hAnsiTheme="minorEastAsia" w:eastAsiaTheme="minorEastAsia"/>
                <w:bCs/>
                <w:color w:val="auto"/>
                <w:kern w:val="0"/>
                <w:sz w:val="15"/>
                <w:szCs w:val="15"/>
                <w:highlight w:val="none"/>
              </w:rPr>
              <w:t>5000</w:t>
            </w:r>
            <w:r>
              <w:rPr>
                <w:rFonts w:hint="eastAsia" w:cs="宋体" w:asciiTheme="minorEastAsia" w:hAnsiTheme="minorEastAsia" w:eastAsiaTheme="minorEastAsia"/>
                <w:bCs/>
                <w:color w:val="auto"/>
                <w:kern w:val="0"/>
                <w:sz w:val="15"/>
                <w:szCs w:val="15"/>
                <w:highlight w:val="none"/>
              </w:rPr>
              <w:t>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500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严重</w:t>
            </w:r>
            <w:r>
              <w:rPr>
                <w:rFonts w:hint="eastAsia" w:asciiTheme="minorEastAsia" w:hAnsiTheme="minorEastAsia" w:eastAsiaTheme="minorEastAsia"/>
                <w:color w:val="auto"/>
                <w:sz w:val="15"/>
                <w:szCs w:val="15"/>
                <w:highlight w:val="none"/>
              </w:rPr>
              <w:t>影响的，系数</w:t>
            </w:r>
            <w:r>
              <w:rPr>
                <w:rFonts w:hint="eastAsia" w:asciiTheme="minorEastAsia" w:hAnsiTheme="minorEastAsia" w:eastAsiaTheme="minorEastAsia"/>
                <w:color w:val="auto"/>
                <w:sz w:val="15"/>
                <w:szCs w:val="15"/>
                <w:highlight w:val="none"/>
                <w:lang w:val="en-US" w:eastAsia="zh-CN"/>
              </w:rPr>
              <w:t>5-9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contextualSpacing/>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00×（1＋</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4"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cs="宋体" w:asciiTheme="minorEastAsia" w:hAnsiTheme="minorEastAsia" w:eastAsiaTheme="minorEastAsia"/>
                <w:bCs/>
                <w:strike w:val="0"/>
                <w:dstrike w:val="0"/>
                <w:color w:val="auto"/>
                <w:kern w:val="0"/>
                <w:sz w:val="15"/>
                <w:szCs w:val="15"/>
                <w:highlight w:val="none"/>
              </w:rPr>
              <w:t>3</w:t>
            </w:r>
          </w:p>
        </w:tc>
        <w:tc>
          <w:tcPr>
            <w:tcW w:w="1500"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无照经营（人力三轮车等业务）</w:t>
            </w:r>
          </w:p>
        </w:tc>
        <w:tc>
          <w:tcPr>
            <w:tcW w:w="2789"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违反条款：第二条；</w:t>
            </w:r>
          </w:p>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500</w:t>
            </w:r>
          </w:p>
        </w:tc>
        <w:tc>
          <w:tcPr>
            <w:tcW w:w="8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1</w:t>
            </w:r>
          </w:p>
        </w:tc>
        <w:tc>
          <w:tcPr>
            <w:tcW w:w="2304"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罚款数额＝500×</w:t>
            </w:r>
            <w:r>
              <w:rPr>
                <w:rFonts w:hint="eastAsia" w:cs="宋体" w:asciiTheme="minorEastAsia" w:hAnsiTheme="minorEastAsia" w:eastAsiaTheme="minorEastAsia"/>
                <w:bCs/>
                <w:strike w:val="0"/>
                <w:dstrike w:val="0"/>
                <w:color w:val="auto"/>
                <w:sz w:val="15"/>
                <w:szCs w:val="15"/>
                <w:highlight w:val="none"/>
              </w:rPr>
              <w:t>（1</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asciiTheme="minorEastAsia" w:hAnsiTheme="minorEastAsia" w:eastAsiaTheme="minorEastAsia"/>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需要给予其它处罚额度的，报案审会决定。</w:t>
            </w:r>
          </w:p>
          <w:p>
            <w:pPr>
              <w:spacing w:line="232" w:lineRule="exact"/>
              <w:contextualSpacing/>
              <w:rPr>
                <w:rFonts w:hint="eastAsia" w:asciiTheme="minorEastAsia" w:hAnsiTheme="minorEastAsia" w:eastAsiaTheme="minorEastAsia"/>
                <w:strike w:val="0"/>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pPr>
              <w:pStyle w:val="4"/>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60" w:name="_Toc1160691890"/>
            <w:bookmarkStart w:id="161" w:name="_Toc110851485"/>
            <w:bookmarkStart w:id="162" w:name="_Toc73112696"/>
            <w:r>
              <w:rPr>
                <w:rFonts w:hint="eastAsia" w:ascii="黑体" w:hAnsi="黑体" w:eastAsia="黑体"/>
                <w:b w:val="0"/>
                <w:color w:val="auto"/>
                <w:sz w:val="36"/>
                <w:szCs w:val="36"/>
                <w:highlight w:val="none"/>
              </w:rPr>
              <w:t>城市规划管理方面</w:t>
            </w:r>
            <w:bookmarkEnd w:id="160"/>
            <w:bookmarkEnd w:id="161"/>
            <w:bookmarkEnd w:id="1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Theme="minorEastAsia" w:hAnsiTheme="minorEastAsia" w:eastAsiaTheme="minorEastAsia"/>
                <w:color w:val="auto"/>
                <w:sz w:val="15"/>
                <w:szCs w:val="15"/>
                <w:highlight w:val="none"/>
              </w:rPr>
            </w:pPr>
            <w:bookmarkStart w:id="163" w:name="_Toc110851486"/>
            <w:bookmarkStart w:id="164" w:name="_Toc187041735"/>
            <w:bookmarkStart w:id="165" w:name="_Toc664217455"/>
            <w:r>
              <w:rPr>
                <w:rFonts w:hint="eastAsia" w:asciiTheme="minorEastAsia" w:hAnsiTheme="minorEastAsia" w:eastAsiaTheme="minorEastAsia"/>
                <w:color w:val="auto"/>
                <w:sz w:val="21"/>
                <w:szCs w:val="21"/>
                <w:highlight w:val="none"/>
              </w:rPr>
              <w:t>《中华人民共和国城乡规划法》《北京市城乡规划条例》</w:t>
            </w: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案由2项</w:t>
            </w:r>
            <w:bookmarkEnd w:id="163"/>
            <w:bookmarkEnd w:id="164"/>
            <w:bookmarkEnd w:id="16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8569" w:type="dxa"/>
            <w:gridSpan w:val="5"/>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新生违法建设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r>
              <w:rPr>
                <w:rFonts w:hint="eastAsia" w:cs="宋体" w:asciiTheme="minorEastAsia" w:hAnsiTheme="minorEastAsia" w:eastAsiaTheme="minorEastAsia"/>
                <w:color w:val="auto"/>
                <w:kern w:val="0"/>
                <w:sz w:val="15"/>
                <w:szCs w:val="15"/>
                <w:highlight w:val="none"/>
              </w:rPr>
              <w:br w:type="textWrapping"/>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vMerge w:val="continue"/>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bottom w:val="single" w:color="auto" w:sz="4" w:space="0"/>
            </w:tcBorders>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tcBorders>
              <w:bottom w:val="single" w:color="auto" w:sz="4" w:space="0"/>
            </w:tcBorders>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已建成违法建设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拆除条款：（限期拆除）</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（强制拆除）</w:t>
            </w:r>
            <w:r>
              <w:rPr>
                <w:rFonts w:hint="eastAsia" w:cs="宋体" w:asciiTheme="minorEastAsia" w:hAnsiTheme="minorEastAsia" w:eastAsiaTheme="minorEastAsia"/>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b/>
                <w:color w:val="auto"/>
                <w:kern w:val="0"/>
                <w:sz w:val="15"/>
                <w:szCs w:val="15"/>
                <w:highlight w:val="none"/>
              </w:rPr>
              <w:t>（无主公告）</w:t>
            </w:r>
            <w:r>
              <w:rPr>
                <w:rFonts w:hint="eastAsia" w:cs="宋体" w:asciiTheme="minorEastAsia" w:hAnsiTheme="minorEastAsia" w:eastAsiaTheme="minorEastAsia"/>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tcBorders>
              <w:bottom w:val="single" w:color="auto" w:sz="4" w:space="0"/>
            </w:tcBorders>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tcBorders>
              <w:bottom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shd w:val="clear" w:color="auto" w:fill="auto"/>
          </w:tcPr>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城镇临时建设工程未取得临时建设工程规划许可证违法建设</w:t>
            </w:r>
            <w:r>
              <w:rPr>
                <w:rFonts w:cs="宋体" w:asciiTheme="minorEastAsia" w:hAnsiTheme="minorEastAsia" w:eastAsiaTheme="minorEastAsia"/>
                <w:b/>
                <w:bCs/>
                <w:color w:val="auto"/>
                <w:kern w:val="0"/>
                <w:sz w:val="15"/>
                <w:szCs w:val="15"/>
                <w:highlight w:val="none"/>
              </w:rPr>
              <w:t>]</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color w:val="auto"/>
                <w:kern w:val="0"/>
                <w:sz w:val="15"/>
                <w:szCs w:val="15"/>
                <w:highlight w:val="none"/>
                <w:lang w:val="en"/>
              </w:rPr>
            </w:pP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《北京市城乡规划条例》第七十六条。</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未按照规定在施工现场对外公示建设工程规划许可证（含临时）及附件、附图</w:t>
            </w:r>
          </w:p>
        </w:tc>
        <w:tc>
          <w:tcPr>
            <w:tcW w:w="2789"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《北京市城乡规划条例》第六十四条；</w:t>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《北京市城乡规划条例》第八十五条，责令限期改正，可以并处</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元以上</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该项案由执法区域范畴与查处违法建设分工区域范畴相同</w:t>
            </w:r>
            <w:r>
              <w:rPr>
                <w:rFonts w:hint="eastAsia" w:cs="宋体" w:asciiTheme="minorEastAsia" w:hAnsiTheme="minorEastAsia" w:eastAsiaTheme="minorEastAsia"/>
                <w:strike w:val="0"/>
                <w:dstrike w:val="0"/>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2"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66" w:name="_Toc250975437"/>
            <w:bookmarkStart w:id="167" w:name="_Toc110851487"/>
            <w:bookmarkStart w:id="168" w:name="_Toc1687710166"/>
            <w:r>
              <w:rPr>
                <w:rFonts w:hint="eastAsia" w:ascii="黑体" w:hAnsi="黑体" w:eastAsia="黑体"/>
                <w:b w:val="0"/>
                <w:color w:val="auto"/>
                <w:sz w:val="36"/>
                <w:szCs w:val="36"/>
                <w:highlight w:val="none"/>
              </w:rPr>
              <w:t>旅游管理（黑导游）方面</w:t>
            </w:r>
            <w:bookmarkEnd w:id="166"/>
            <w:bookmarkEnd w:id="167"/>
            <w:bookmarkEnd w:id="1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9" w:name="_Toc110851488"/>
            <w:bookmarkStart w:id="170" w:name="_Toc363033362"/>
            <w:bookmarkStart w:id="171" w:name="_Toc1773021119"/>
            <w:r>
              <w:rPr>
                <w:rFonts w:hint="eastAsia" w:asciiTheme="minorEastAsia" w:hAnsiTheme="minorEastAsia" w:eastAsiaTheme="minorEastAsia"/>
                <w:color w:val="auto"/>
                <w:sz w:val="21"/>
                <w:szCs w:val="21"/>
                <w:highlight w:val="none"/>
              </w:rPr>
              <w:t>《中华人民共和国旅游法》案由1项</w:t>
            </w:r>
            <w:bookmarkEnd w:id="169"/>
            <w:bookmarkEnd w:id="170"/>
            <w:bookmarkEnd w:id="1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无导游证进行导游活动</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违反、处罚条款：第一百零二条第一款，责令改正，没收违法所得，并处1千元以上1万元以下罚款，予以公告。</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在4A级景区，系数1；5A级景区，系数2。</w:t>
            </w:r>
          </w:p>
        </w:tc>
        <w:tc>
          <w:tcPr>
            <w:tcW w:w="1785" w:type="dxa"/>
            <w:shd w:val="clear" w:color="auto" w:fill="auto"/>
            <w:vAlign w:val="center"/>
          </w:tcPr>
          <w:p>
            <w:pPr>
              <w:spacing w:line="220"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5"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36"/>
                <w:szCs w:val="36"/>
                <w:highlight w:val="none"/>
              </w:rPr>
            </w:pPr>
            <w:bookmarkStart w:id="172" w:name="_Toc8089072"/>
            <w:bookmarkStart w:id="173" w:name="_Toc110851489"/>
            <w:bookmarkStart w:id="174" w:name="_Toc937757556"/>
            <w:r>
              <w:rPr>
                <w:rFonts w:hint="eastAsia" w:ascii="黑体" w:hAnsi="黑体" w:eastAsia="黑体"/>
                <w:b w:val="0"/>
                <w:color w:val="auto"/>
                <w:sz w:val="36"/>
                <w:szCs w:val="36"/>
                <w:highlight w:val="none"/>
              </w:rPr>
              <w:t>食品安全管理方面</w:t>
            </w:r>
            <w:bookmarkEnd w:id="172"/>
            <w:bookmarkEnd w:id="173"/>
            <w:bookmarkEnd w:id="17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5" w:name="_Toc110851490"/>
            <w:bookmarkStart w:id="176" w:name="_Toc948913247"/>
            <w:bookmarkStart w:id="177" w:name="_Toc1003958422"/>
            <w:r>
              <w:rPr>
                <w:rFonts w:hint="eastAsia" w:asciiTheme="minorEastAsia" w:hAnsiTheme="minorEastAsia" w:eastAsiaTheme="minorEastAsia"/>
                <w:color w:val="auto"/>
                <w:sz w:val="21"/>
                <w:szCs w:val="21"/>
                <w:highlight w:val="none"/>
              </w:rPr>
              <w:t>《北京市小规模食品生产经营管理规定》案由23项</w:t>
            </w:r>
            <w:bookmarkEnd w:id="175"/>
            <w:bookmarkEnd w:id="176"/>
            <w:bookmarkEnd w:id="17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食品摊贩以欺骗、贿赂等不正当手段取得备案</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处罚条款：第二十三条，对食品摊贩处2000元以上5000元以下罚款。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食品摊贩超出备案载明的经营区域、经营时段从事食品生产经营活动</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违反条款：第八条第二款和《北京市市容环境卫生条例》第三十五条第一款；</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1.超出</w:t>
            </w:r>
            <w:r>
              <w:rPr>
                <w:rFonts w:cs="宋体" w:asciiTheme="minorEastAsia" w:hAnsiTheme="minorEastAsia" w:eastAsiaTheme="minorEastAsia"/>
                <w:color w:val="auto"/>
                <w:kern w:val="0"/>
                <w:sz w:val="15"/>
                <w:szCs w:val="15"/>
                <w:highlight w:val="none"/>
              </w:rPr>
              <w:t>备案载明的经营区域或经营时段的，系数</w:t>
            </w:r>
            <w:r>
              <w:rPr>
                <w:rFonts w:hint="eastAsia" w:cs="宋体" w:asciiTheme="minorEastAsia" w:hAnsiTheme="minorEastAsia" w:eastAsiaTheme="minorEastAsia"/>
                <w:color w:val="auto"/>
                <w:kern w:val="0"/>
                <w:sz w:val="15"/>
                <w:szCs w:val="15"/>
                <w:highlight w:val="none"/>
              </w:rPr>
              <w:t>为</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；2.同时</w:t>
            </w:r>
            <w:r>
              <w:rPr>
                <w:rFonts w:cs="宋体" w:asciiTheme="minorEastAsia" w:hAnsiTheme="minorEastAsia" w:eastAsiaTheme="minorEastAsia"/>
                <w:color w:val="auto"/>
                <w:kern w:val="0"/>
                <w:sz w:val="15"/>
                <w:szCs w:val="15"/>
                <w:highlight w:val="none"/>
              </w:rPr>
              <w:t>超出</w:t>
            </w:r>
            <w:r>
              <w:rPr>
                <w:rFonts w:hint="eastAsia" w:cs="宋体" w:asciiTheme="minorEastAsia" w:hAnsiTheme="minorEastAsia" w:eastAsiaTheme="minorEastAsia"/>
                <w:color w:val="auto"/>
                <w:kern w:val="0"/>
                <w:sz w:val="15"/>
                <w:szCs w:val="15"/>
                <w:highlight w:val="none"/>
              </w:rPr>
              <w:t>备</w:t>
            </w:r>
            <w:r>
              <w:rPr>
                <w:rFonts w:cs="宋体" w:asciiTheme="minorEastAsia" w:hAnsiTheme="minorEastAsia" w:eastAsiaTheme="minorEastAsia"/>
                <w:color w:val="auto"/>
                <w:kern w:val="0"/>
                <w:sz w:val="15"/>
                <w:szCs w:val="15"/>
                <w:highlight w:val="none"/>
              </w:rPr>
              <w:t>案载明的经营区域</w:t>
            </w:r>
            <w:r>
              <w:rPr>
                <w:rFonts w:hint="eastAsia" w:cs="宋体" w:asciiTheme="minorEastAsia" w:hAnsiTheme="minorEastAsia" w:eastAsiaTheme="minorEastAsia"/>
                <w:color w:val="auto"/>
                <w:kern w:val="0"/>
                <w:sz w:val="15"/>
                <w:szCs w:val="15"/>
                <w:highlight w:val="none"/>
              </w:rPr>
              <w:t>和</w:t>
            </w:r>
            <w:r>
              <w:rPr>
                <w:rFonts w:cs="宋体" w:asciiTheme="minorEastAsia" w:hAnsiTheme="minorEastAsia" w:eastAsiaTheme="minorEastAsia"/>
                <w:color w:val="auto"/>
                <w:kern w:val="0"/>
                <w:sz w:val="15"/>
                <w:szCs w:val="15"/>
                <w:highlight w:val="none"/>
              </w:rPr>
              <w:t>经营时段的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食品摊贩用非食品原料生产制作食品（在食品中添加食品添加剂以外的化学物质和其它可能危害人体健康的物质、用回收食品作为原料生产加工食品）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违反条款：第十三条第一项；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食品摊贩经营病死、毒死或者死因不明的禽、畜、兽、水产动物肉类或者生产经营其制品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食品摊贩经营未按规定进行检疫或者检疫不合格的肉类（未经检验或者检验不合格的肉类制品）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违反条款：第十三条第三项；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食品摊贩生产经营国家为防病等特殊需要明令禁止生产经营的食品；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违反条款：第十三条第四项；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食品摊贩违反国家规定在食品中添加药品</w:t>
            </w:r>
          </w:p>
        </w:tc>
        <w:tc>
          <w:tcPr>
            <w:tcW w:w="2789"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食品摊贩生产制作致病性微生物，农药残留、兽药残留、生物毒素、重金属等污染物质以及其它危害人体健康的物质含量超过食品安全标准限量的食品</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违反条款：第十三条第六项；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食品摊贩超范围、超限量使用食品添加剂生产制作食品（用超过保质期的食品原料、食品添加剂生产制作食品）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违反条款：第十三条第七项；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食品摊贩生产经营腐败变质、油脂酸败、霉变生虫、污秽不洁、混有异物、掺假掺杂或者感官性状异常的食品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违反条款：第十三条第八项；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食品摊贩标注虚假生产日期、保质期（销售超过保质期的食品）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违反条款：第十三条第九项；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食品摊贩生产制作其它不符合食品安全标准的食品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1.经营</w:t>
            </w:r>
            <w:r>
              <w:rPr>
                <w:rFonts w:cs="宋体" w:asciiTheme="minorEastAsia" w:hAnsiTheme="minorEastAsia" w:eastAsiaTheme="minorEastAsia"/>
                <w:color w:val="auto"/>
                <w:kern w:val="0"/>
                <w:sz w:val="15"/>
                <w:szCs w:val="15"/>
                <w:highlight w:val="none"/>
              </w:rPr>
              <w:t>冷荤</w:t>
            </w:r>
            <w:r>
              <w:rPr>
                <w:rFonts w:hint="eastAsia" w:cs="宋体" w:asciiTheme="minorEastAsia" w:hAnsiTheme="minorEastAsia" w:eastAsiaTheme="minorEastAsia"/>
                <w:color w:val="auto"/>
                <w:kern w:val="0"/>
                <w:sz w:val="15"/>
                <w:szCs w:val="15"/>
                <w:highlight w:val="none"/>
              </w:rPr>
              <w:t>凉菜</w:t>
            </w:r>
            <w:r>
              <w:rPr>
                <w:rFonts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生食水产品、裱花蛋糕、散装熟食、散装酒的</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为0.5；</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经营保健食品、婴幼儿配方食品和特殊医学用途配方食品等特殊食品的</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1；3.经营</w:t>
            </w:r>
            <w:r>
              <w:rPr>
                <w:rFonts w:asciiTheme="minorEastAsia" w:hAnsiTheme="minorEastAsia" w:eastAsiaTheme="minorEastAsia"/>
                <w:color w:val="auto"/>
                <w:sz w:val="15"/>
                <w:szCs w:val="15"/>
                <w:highlight w:val="none"/>
              </w:rPr>
              <w:t>区人民政府确定的不得经营的类别的，系数为</w:t>
            </w:r>
            <w:r>
              <w:rPr>
                <w:rFonts w:hint="eastAsia" w:asciiTheme="minorEastAsia" w:hAnsiTheme="minorEastAsia" w:eastAsiaTheme="minorEastAsia"/>
                <w:color w:val="auto"/>
                <w:sz w:val="15"/>
                <w:szCs w:val="15"/>
                <w:highlight w:val="none"/>
              </w:rPr>
              <w:t>0。</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＝5000×（1+变量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食品摊贩生产经营被包装材料、容器、运输工具等污染的食品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食品摊贩采购、销售第十三条第一项、第五项至第七项、第十项规定情形的食品（使用第十三条第一项、第五项至第七项、第十项食品作为食品原料；）</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食品摊贩购进、存放、使用亚硝酸盐等易滥用的食品添加剂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食品摊贩生产经营无标签的预包装食品（标签不符合法律、法规规定的食品）</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违反条款：第十三条第十四项；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1.无</w:t>
            </w:r>
            <w:r>
              <w:rPr>
                <w:rFonts w:cs="宋体" w:asciiTheme="minorEastAsia" w:hAnsiTheme="minorEastAsia" w:eastAsiaTheme="minorEastAsia"/>
                <w:color w:val="auto"/>
                <w:kern w:val="0"/>
                <w:sz w:val="15"/>
                <w:szCs w:val="15"/>
                <w:highlight w:val="none"/>
              </w:rPr>
              <w:t>标签的预包装食品，系数为2</w:t>
            </w:r>
            <w:r>
              <w:rPr>
                <w:rFonts w:hint="eastAsia" w:cs="宋体" w:asciiTheme="minorEastAsia" w:hAnsiTheme="minorEastAsia" w:eastAsiaTheme="minorEastAsia"/>
                <w:color w:val="auto"/>
                <w:kern w:val="0"/>
                <w:sz w:val="15"/>
                <w:szCs w:val="15"/>
                <w:highlight w:val="none"/>
              </w:rPr>
              <w:t>；2.标签</w:t>
            </w:r>
            <w:r>
              <w:rPr>
                <w:rFonts w:cs="宋体" w:asciiTheme="minorEastAsia" w:hAnsiTheme="minorEastAsia" w:eastAsiaTheme="minorEastAsia"/>
                <w:color w:val="auto"/>
                <w:kern w:val="0"/>
                <w:sz w:val="15"/>
                <w:szCs w:val="15"/>
                <w:highlight w:val="none"/>
              </w:rPr>
              <w:t>不符合法律、法规规定的食品，系数为</w:t>
            </w:r>
            <w:r>
              <w:rPr>
                <w:rFonts w:hint="eastAsia" w:cs="宋体" w:asciiTheme="minorEastAsia" w:hAnsiTheme="minorEastAsia" w:eastAsiaTheme="minorEastAsia"/>
                <w:color w:val="auto"/>
                <w:kern w:val="0"/>
                <w:sz w:val="15"/>
                <w:szCs w:val="15"/>
                <w:highlight w:val="none"/>
              </w:rPr>
              <w:t>1。</w:t>
            </w: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食品摊贩在生产经营条件发生变化，不再符合法律、法规规定要求的情况下继续生产经营</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违反条款：第十三条第十五项；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食品摊贩安排未取得健康证明或者患有国务院卫生健康行政部门规定的有碍食品安全疾病的人员从事接触直接入口食品的工作</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违反条款：第十三条第十六项；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7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食品摊贩采购食品、食品原料、食品添加剂、食品相关产品时查验、记录不规范</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食品摊贩未对食品添加剂实行专区(柜)存放或没有专用的称量器具</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食品摊贩未在生产经营场所显著位置公示备案证明、从业人员健康证明</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食品摊贩使用食品添加剂的记录、公示不规范</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78" w:name="_Toc110851491"/>
            <w:bookmarkStart w:id="179" w:name="_Toc41635676"/>
            <w:bookmarkStart w:id="180" w:name="_Toc359183204"/>
            <w:r>
              <w:rPr>
                <w:rFonts w:hint="eastAsia" w:ascii="黑体" w:hAnsi="黑体" w:eastAsia="黑体"/>
                <w:b w:val="0"/>
                <w:color w:val="auto"/>
                <w:sz w:val="36"/>
                <w:szCs w:val="36"/>
                <w:highlight w:val="none"/>
              </w:rPr>
              <w:t>能源运行管理方面</w:t>
            </w:r>
            <w:bookmarkEnd w:id="178"/>
            <w:bookmarkEnd w:id="179"/>
            <w:bookmarkEnd w:id="18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90" w:hRule="atLeast"/>
          <w:jc w:val="center"/>
        </w:trPr>
        <w:tc>
          <w:tcPr>
            <w:tcW w:w="14218" w:type="dxa"/>
            <w:gridSpan w:val="9"/>
            <w:shd w:val="clear" w:color="auto" w:fill="auto"/>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煤炭经营管理类案由3</w:t>
            </w:r>
            <w:r>
              <w:rPr>
                <w:rFonts w:asciiTheme="minorEastAsia" w:hAnsiTheme="minorEastAsia" w:eastAsiaTheme="minorEastAsia"/>
                <w:b/>
                <w:color w:val="auto"/>
                <w:kern w:val="0"/>
                <w:sz w:val="21"/>
                <w:szCs w:val="21"/>
                <w:highlight w:val="none"/>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1" w:name="_Toc110851492"/>
            <w:bookmarkStart w:id="182" w:name="_Toc1482088652"/>
            <w:bookmarkStart w:id="183" w:name="_Toc1607150865"/>
            <w:r>
              <w:rPr>
                <w:rFonts w:hint="eastAsia" w:asciiTheme="minorEastAsia" w:hAnsiTheme="minorEastAsia" w:eastAsiaTheme="minorEastAsia"/>
                <w:color w:val="auto"/>
                <w:sz w:val="21"/>
                <w:szCs w:val="21"/>
                <w:highlight w:val="none"/>
              </w:rPr>
              <w:t>《中华人民共和国煤炭法》案由</w:t>
            </w:r>
            <w:r>
              <w:rPr>
                <w:rFonts w:asciiTheme="minorEastAsia" w:hAnsiTheme="minorEastAsia" w:eastAsiaTheme="minorEastAsia"/>
                <w:color w:val="auto"/>
                <w:sz w:val="21"/>
                <w:szCs w:val="21"/>
                <w:highlight w:val="none"/>
              </w:rPr>
              <w:t>3</w:t>
            </w:r>
            <w:r>
              <w:rPr>
                <w:rFonts w:hint="eastAsia" w:asciiTheme="minorEastAsia" w:hAnsiTheme="minorEastAsia" w:eastAsiaTheme="minorEastAsia"/>
                <w:color w:val="auto"/>
                <w:sz w:val="21"/>
                <w:szCs w:val="21"/>
                <w:highlight w:val="none"/>
              </w:rPr>
              <w:t>项</w:t>
            </w:r>
            <w:bookmarkEnd w:id="181"/>
            <w:bookmarkEnd w:id="182"/>
            <w:bookmarkEnd w:id="18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18"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擅自开采保安煤柱或者采用危及相邻煤矿生产安全的危险方法采矿作业</w:t>
            </w:r>
          </w:p>
        </w:tc>
        <w:tc>
          <w:tcPr>
            <w:tcW w:w="2789"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966"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未经批准或者未采取安全措施在煤矿采区范围内进行危及煤矿安全的作业</w:t>
            </w:r>
          </w:p>
        </w:tc>
        <w:tc>
          <w:tcPr>
            <w:tcW w:w="2789"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其它额度处罚的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065"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在煤炭产品中掺杂、掺假，以次充好</w:t>
            </w:r>
          </w:p>
        </w:tc>
        <w:tc>
          <w:tcPr>
            <w:tcW w:w="2789" w:type="dxa"/>
            <w:shd w:val="clear" w:color="auto" w:fill="FFFFFF"/>
            <w:vAlign w:val="center"/>
          </w:tcPr>
          <w:p>
            <w:pPr>
              <w:spacing w:line="232" w:lineRule="exact"/>
              <w:ind w:right="315" w:right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造成严重后果或者社会恶劣影响的，系数4。</w:t>
            </w:r>
          </w:p>
        </w:tc>
        <w:tc>
          <w:tcPr>
            <w:tcW w:w="1785"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423" w:hRule="atLeast"/>
          <w:jc w:val="center"/>
        </w:trPr>
        <w:tc>
          <w:tcPr>
            <w:tcW w:w="14218" w:type="dxa"/>
            <w:gridSpan w:val="9"/>
            <w:tcBorders>
              <w:bottom w:val="single" w:color="auto" w:sz="4" w:space="0"/>
            </w:tcBorders>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可再生能源管理类案由2项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tcBorders>
              <w:bottom w:val="single" w:color="auto" w:sz="4" w:space="0"/>
            </w:tcBorders>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4" w:name="_Toc1932982768"/>
            <w:bookmarkStart w:id="185" w:name="_Toc110851493"/>
            <w:bookmarkStart w:id="186" w:name="_Toc153144911"/>
            <w:r>
              <w:rPr>
                <w:rFonts w:hint="eastAsia" w:asciiTheme="minorEastAsia" w:hAnsiTheme="minorEastAsia" w:eastAsiaTheme="minorEastAsia"/>
                <w:color w:val="auto"/>
                <w:sz w:val="21"/>
                <w:szCs w:val="21"/>
                <w:highlight w:val="none"/>
              </w:rPr>
              <w:t>《中华人民共和国可再生能源法》案由2项</w:t>
            </w:r>
            <w:bookmarkEnd w:id="184"/>
            <w:bookmarkEnd w:id="185"/>
            <w:bookmarkEnd w:id="18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92"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经营燃气管网、热力管网的企业不准许符合入网技术标准的燃气、热力入网</w:t>
            </w:r>
          </w:p>
        </w:tc>
        <w:tc>
          <w:tcPr>
            <w:tcW w:w="2789"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993"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石油销售企业未按照规定将符合国家标准的生物液体燃料纳入其燃料销售体系</w:t>
            </w:r>
          </w:p>
        </w:tc>
        <w:tc>
          <w:tcPr>
            <w:tcW w:w="2789"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26" w:hRule="atLeast"/>
          <w:jc w:val="center"/>
        </w:trPr>
        <w:tc>
          <w:tcPr>
            <w:tcW w:w="14218" w:type="dxa"/>
            <w:gridSpan w:val="9"/>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电力管理类案由12项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58" w:hRule="atLeast"/>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87" w:name="_Toc2142516953"/>
            <w:bookmarkStart w:id="188" w:name="_Toc110851494"/>
            <w:bookmarkStart w:id="189" w:name="_Toc593639945"/>
            <w:r>
              <w:rPr>
                <w:rFonts w:hint="eastAsia" w:asciiTheme="minorEastAsia" w:hAnsiTheme="minorEastAsia" w:eastAsiaTheme="minorEastAsia"/>
                <w:color w:val="auto"/>
                <w:sz w:val="21"/>
                <w:szCs w:val="21"/>
                <w:highlight w:val="none"/>
              </w:rPr>
              <w:t>《中华人民共和国电力法》《电力供应与使用条例》案由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87"/>
            <w:bookmarkEnd w:id="188"/>
            <w:bookmarkEnd w:id="1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01"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电力建设项目使用国家明令淘汰的电力设备和技术</w:t>
            </w:r>
          </w:p>
        </w:tc>
        <w:tc>
          <w:tcPr>
            <w:tcW w:w="2789"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1.存在较大安全隐患的，系数2-3；2.发生安全事故的，系数4。</w:t>
            </w:r>
          </w:p>
        </w:tc>
        <w:tc>
          <w:tcPr>
            <w:tcW w:w="17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w:t>
            </w: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546"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FFFFFF"/>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1.使用1台（套）应当淘汰的危及生产安全的设备或者1种工艺逾期未改正的，处5万元以上10万元以下的罚款，对其直接负责的主管人员和其他直接责任人员处1万元以上2万元以下的罚款；</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2.使用2台（套）应当淘汰的危及生产安全的设备或者2种工艺逾期未改正的，处10万元以上15万元以下的罚款，对其直接负责的主管人员和其他直接责任人员处1万元以上2万元以下的罚款；</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3.使用3台（套）以上应当淘汰的危及生产安全的设备或者3种以上工艺逾期未改正的，处15万元以上20万元以下的罚款，对其直接负责的主管人员和其他直接责任人员处1万元以上2万元以下的罚款。</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4.逾期未改正，经责令仍拒不改正的，可予以责令停产停业整顿。</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对违法行为，适用《中华人民共和国电力法》处罚。逾期未改正的，应另行立案，适用《中华人民共和国安全生产法》“逾期未改正”情形处罚。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未经许可从事供电或者变更供电营业区</w:t>
            </w:r>
          </w:p>
        </w:tc>
        <w:tc>
          <w:tcPr>
            <w:tcW w:w="2789"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违法所得</w:t>
            </w:r>
          </w:p>
        </w:tc>
        <w:tc>
          <w:tcPr>
            <w:tcW w:w="840"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未经许可从事电力供应业务，系数2。</w:t>
            </w:r>
          </w:p>
        </w:tc>
        <w:tc>
          <w:tcPr>
            <w:tcW w:w="1785"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79"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供电营业机构拒绝供电</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违反条款：《中华人民共和国电力法》第二十六条第一款；处罚条款：第六十四条，责令改正，给予警告。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供电企业中断供电</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违反条款：《中华人民共和国电力法》第二十九条第一款；处罚条款：第六十四条，责令改正，给予警告。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用户危害供电用电安全或者扰乱供电用电秩序</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w:t>
            </w:r>
          </w:p>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可参照《供用电监督管理办法》第二十八条相关规定。</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47"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盗窃电能</w:t>
            </w:r>
          </w:p>
        </w:tc>
        <w:tc>
          <w:tcPr>
            <w:tcW w:w="2789"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应交电费</w:t>
            </w:r>
          </w:p>
        </w:tc>
        <w:tc>
          <w:tcPr>
            <w:tcW w:w="840" w:type="dxa"/>
            <w:vMerge w:val="restart"/>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1.造成电能损失较大或者供电设施、用电计量装置等损坏的，系数2-3；2.造成电能损失严重或者供用电事故的，系数4。</w:t>
            </w:r>
          </w:p>
        </w:tc>
        <w:tc>
          <w:tcPr>
            <w:tcW w:w="17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罚款数额＝应交电费×（1＋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罚款数额不超过应交电费五倍。</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构成犯罪的，依法追究刑事责任。</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72"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789" w:type="dxa"/>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违反条款：《电力供应与使用条例》第三十一条第（一）（二）（三）（四）（五）（六）项；处罚条款：第四十一条，责令停止违法行为，追缴电费并处应交电费５倍以下的罚款。</w:t>
            </w:r>
          </w:p>
        </w:tc>
        <w:tc>
          <w:tcPr>
            <w:tcW w:w="851"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40" w:type="dxa"/>
            <w:vMerge w:val="continue"/>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2304"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1785"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385" w:type="dxa"/>
            <w:vMerge w:val="continue"/>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412" w:hRule="atLeast"/>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90" w:name="_Toc110851495"/>
            <w:bookmarkStart w:id="191" w:name="_Toc409668775"/>
            <w:bookmarkStart w:id="192" w:name="_Toc972492578"/>
            <w:r>
              <w:rPr>
                <w:rFonts w:hint="eastAsia" w:asciiTheme="minorEastAsia" w:hAnsiTheme="minorEastAsia" w:eastAsiaTheme="minorEastAsia"/>
                <w:color w:val="auto"/>
                <w:sz w:val="21"/>
                <w:szCs w:val="21"/>
                <w:highlight w:val="none"/>
              </w:rPr>
              <w:t>《电力设施保护条例》《电力设施保护条例实施细则》案由5项</w:t>
            </w:r>
            <w:bookmarkEnd w:id="190"/>
            <w:bookmarkEnd w:id="191"/>
            <w:bookmarkEnd w:id="1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p>
        </w:tc>
        <w:tc>
          <w:tcPr>
            <w:tcW w:w="1500"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危害发电设施、变电设施</w:t>
            </w:r>
          </w:p>
        </w:tc>
        <w:tc>
          <w:tcPr>
            <w:tcW w:w="2789"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违反条款：《电力设施保护条例》第十三条第（一）（二）（三）（四）（五）项；</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处罚条款：第二十七条，责令改正；拒不改正的，处１万元以下的罚款。</w:t>
            </w:r>
          </w:p>
        </w:tc>
        <w:tc>
          <w:tcPr>
            <w:tcW w:w="851"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4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危害电力线路设施</w:t>
            </w:r>
          </w:p>
        </w:tc>
        <w:tc>
          <w:tcPr>
            <w:tcW w:w="2789"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违反条款：《电力设施保护条例》第十四条第（一）（二）（三）（四）（五）（六）（七）（八）（九）（十）（十一）项；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处罚条款：第二十七条，责令改正；拒不改正的，处1万元以下的罚款。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pStyle w:val="2"/>
              <w:ind w:left="0" w:leftChars="0" w:firstLine="0" w:firstLineChars="0"/>
              <w:rPr>
                <w:color w:val="auto"/>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9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3</w:t>
            </w:r>
          </w:p>
        </w:tc>
        <w:tc>
          <w:tcPr>
            <w:tcW w:w="1500"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损坏使用中的杆塔基础</w:t>
            </w:r>
          </w:p>
        </w:tc>
        <w:tc>
          <w:tcPr>
            <w:tcW w:w="2789"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1.造成电能损失较大或者设施损坏的，系数2-3；2.造成事故的，系数4。</w:t>
            </w: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3"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4</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损坏、拆卸、盗窃使用中或备用塔材、导线等电力设施</w:t>
            </w:r>
          </w:p>
        </w:tc>
        <w:tc>
          <w:tcPr>
            <w:tcW w:w="2789"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1.损坏、拆卸、盗窃使用中的塔材、导线等电力设施或者造成电能损失较大的，系数2-3；2.造成事故的，系数4。</w:t>
            </w:r>
          </w:p>
        </w:tc>
        <w:tc>
          <w:tcPr>
            <w:tcW w:w="1785"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91"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5</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拆卸、盗窃使用中或备用变压器等电力设备</w:t>
            </w:r>
          </w:p>
        </w:tc>
        <w:tc>
          <w:tcPr>
            <w:tcW w:w="2789"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1.拆卸、盗窃使用中变压器等电力设备或者造成电能损失较大的，系数2-3；2.造成事故的，系数4。</w:t>
            </w:r>
          </w:p>
        </w:tc>
        <w:tc>
          <w:tcPr>
            <w:tcW w:w="1785"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tcBorders>
              <w:bottom w:val="single" w:color="auto" w:sz="4" w:space="0"/>
            </w:tcBorders>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石油天然气管道保护类案由22项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5229" w:type="dxa"/>
            <w:gridSpan w:val="3"/>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tLeast"/>
              <w:jc w:val="center"/>
              <w:textAlignment w:val="auto"/>
              <w:rPr>
                <w:rFonts w:asciiTheme="minorEastAsia" w:hAnsiTheme="minorEastAsia" w:eastAsiaTheme="minorEastAsia"/>
                <w:color w:val="auto"/>
                <w:sz w:val="21"/>
                <w:szCs w:val="21"/>
                <w:highlight w:val="none"/>
              </w:rPr>
            </w:pPr>
            <w:bookmarkStart w:id="193" w:name="_Toc110851497"/>
            <w:bookmarkStart w:id="194" w:name="_Toc1490732698"/>
            <w:bookmarkStart w:id="195" w:name="_Toc453931662"/>
            <w:r>
              <w:rPr>
                <w:rFonts w:hint="eastAsia" w:asciiTheme="minorEastAsia" w:hAnsiTheme="minorEastAsia" w:eastAsiaTheme="minorEastAsia"/>
                <w:color w:val="auto"/>
                <w:sz w:val="21"/>
                <w:szCs w:val="21"/>
                <w:highlight w:val="none"/>
              </w:rPr>
              <w:t>《中华人民共和国石油天然气管道保护法》</w:t>
            </w:r>
            <w:bookmarkEnd w:id="193"/>
            <w:bookmarkEnd w:id="194"/>
            <w:bookmarkStart w:id="196" w:name="_Toc63324556"/>
            <w:bookmarkStart w:id="197" w:name="_Toc110851498"/>
            <w:r>
              <w:rPr>
                <w:rFonts w:hint="eastAsia" w:asciiTheme="minorEastAsia" w:hAnsiTheme="minorEastAsia" w:eastAsiaTheme="minorEastAsia"/>
                <w:color w:val="auto"/>
                <w:sz w:val="21"/>
                <w:szCs w:val="21"/>
                <w:highlight w:val="none"/>
              </w:rPr>
              <w:t>案由22项</w:t>
            </w:r>
            <w:bookmarkEnd w:id="195"/>
            <w:bookmarkEnd w:id="196"/>
            <w:bookmarkEnd w:id="197"/>
          </w:p>
        </w:tc>
        <w:tc>
          <w:tcPr>
            <w:tcW w:w="8989" w:type="dxa"/>
            <w:gridSpan w:val="6"/>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（注：不含东城、西城、平谷、天安门）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618"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未依法对管道进行巡护、检测和维修</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1.未建立巡护制度的，系数2；2.未配备专人进行日常巡护的，系数2；3.未定期对管道风险比较大的区段和场所进行重点监测采取有效措施的，系数2；4.造成事故或者其它严重后果的，系数4。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2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不符合安全使用条件的管道未及时更新、改造或者停止使用</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1.未采取任何措施继续使用，存在较大隐患的，系数2-3；2.造成事故或者其它严重后果的，系数4。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3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未按规定设置、修复或者更新管道标志</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spacing w:val="-3"/>
                <w:kern w:val="0"/>
                <w:sz w:val="15"/>
                <w:szCs w:val="15"/>
                <w:highlight w:val="none"/>
              </w:rPr>
            </w:pPr>
            <w:r>
              <w:rPr>
                <w:rFonts w:hint="eastAsia" w:cs="宋体" w:asciiTheme="minorEastAsia" w:hAnsiTheme="minorEastAsia" w:eastAsiaTheme="minorEastAsia"/>
                <w:color w:val="auto"/>
                <w:spacing w:val="-3"/>
                <w:kern w:val="0"/>
                <w:sz w:val="15"/>
                <w:szCs w:val="15"/>
                <w:highlight w:val="none"/>
              </w:rPr>
              <w:t>1.未依法设置或者未修复更新，存在较大隐患的，系数1-3；2.造成事故或者其它严重后果的，系数4。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5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未按规定将管道竣工测量图报送备案</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1.未报送备案，逾期6-10日，系数1，逾期11-15日，系数2，以此类推；2.造成事故或者其它严重后果的，系数4。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4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未制定管道事故应急预案或者未将应急预案报送备案</w:t>
            </w:r>
          </w:p>
        </w:tc>
        <w:tc>
          <w:tcPr>
            <w:tcW w:w="2789" w:type="dxa"/>
            <w:shd w:val="clear" w:color="auto" w:fill="auto"/>
            <w:vAlign w:val="center"/>
          </w:tcPr>
          <w:p>
            <w:pPr>
              <w:spacing w:line="24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1.未制定预案的，系数2；2.造成事故或者其它严重后果的，系数4。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05"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未采取有效措施消除或者减轻管道事故危害</w:t>
            </w:r>
          </w:p>
        </w:tc>
        <w:tc>
          <w:tcPr>
            <w:tcW w:w="2789"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1.启动应急预案迟缓的，系数2；2.措施明显失当的，系数2；3.造成事故危害扩大的，系数4。</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9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未对停止运行、封存、报废的管道采取必要的安全防护措施</w:t>
            </w:r>
          </w:p>
        </w:tc>
        <w:tc>
          <w:tcPr>
            <w:tcW w:w="2789"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1.未采取任何安全防护措施的，系数2；2.致使事故或者其它严重后果的，系数4。</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692"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789"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190" w:lineRule="exact"/>
              <w:ind w:left="15"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190" w:lineRule="exact"/>
              <w:rPr>
                <w:rFonts w:cs="宋体" w:asciiTheme="minorEastAsia" w:hAnsiTheme="minorEastAsia" w:eastAsiaTheme="minorEastAsia"/>
                <w:color w:val="auto"/>
                <w:kern w:val="0"/>
                <w:sz w:val="15"/>
                <w:szCs w:val="15"/>
                <w:highlight w:val="none"/>
              </w:rPr>
            </w:pP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190" w:lineRule="exact"/>
              <w:rPr>
                <w:rFonts w:cs="宋体" w:asciiTheme="minorEastAsia" w:hAnsiTheme="minorEastAsia" w:eastAsiaTheme="minorEastAsia"/>
                <w:color w:val="auto"/>
                <w:kern w:val="0"/>
                <w:sz w:val="15"/>
                <w:szCs w:val="15"/>
                <w:highlight w:val="none"/>
              </w:rPr>
            </w:pP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946"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0"/>
              <w:widowControl w:val="0"/>
              <w:shd w:val="clear" w:color="auto" w:fill="FFFFFF"/>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51"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在管道线路中心线两侧各五米地域范围内种植可能损坏管道防腐层的深根植物</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9"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86"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在管道线路中心线两侧各五米地域范围内取土、采石、用火、堆放重物、排放腐蚀性物质、使用机械工具进行挖掘施工</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87"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15"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在管道线路中心线两侧各五米地域范围内挖塘、修渠、修晒场、修建水产养殖场、建温室、建家畜棚圈、建房以及修建其它建筑物、构筑物</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40"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0"/>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7"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在穿越河流的管道线路中心线两侧各五百米地域范围内抛锚、拖锚、挖砂、挖泥、采石、水下爆破</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32"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0"/>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73"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在管道专用隧道中心线两侧各一千米地域范围内采石、采矿、爆破</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06"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16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634" w:hRule="atLeast"/>
          <w:jc w:val="center"/>
        </w:trPr>
        <w:tc>
          <w:tcPr>
            <w:tcW w:w="940" w:type="dxa"/>
            <w:tcBorders>
              <w:bottom w:val="single" w:color="auto" w:sz="4" w:space="0"/>
            </w:tcBorders>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2789"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7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未经批准进行穿跨越管道的施工作业</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882"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未经批准，在管道线路中心线两侧各二百米和管道附属设施周边五百米地域范围内，进行爆破、地震法勘探或者工程挖掘、工程钻探、采矿</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3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擅自开启、关闭管道阀门</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66"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移动、毁损、涂改管道标志</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5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在埋地管道上方巡查便道上行驶重型车辆</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在地面管道线路、架空管道线路和管桥上行走或者放置重物</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阻碍依法进行的管道建设</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bl>
    <w:p/>
    <w:tbl>
      <w:tblPr>
        <w:tblStyle w:val="22"/>
        <w:tblW w:w="143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99"/>
        <w:gridCol w:w="441"/>
        <w:gridCol w:w="489"/>
        <w:gridCol w:w="1011"/>
        <w:gridCol w:w="696"/>
        <w:gridCol w:w="2093"/>
        <w:gridCol w:w="1345"/>
        <w:gridCol w:w="2490"/>
        <w:gridCol w:w="1949"/>
        <w:gridCol w:w="2"/>
        <w:gridCol w:w="697"/>
        <w:gridCol w:w="697"/>
        <w:gridCol w:w="712"/>
        <w:gridCol w:w="148"/>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2" w:hRule="atLeast"/>
        </w:trPr>
        <w:tc>
          <w:tcPr>
            <w:tcW w:w="14329" w:type="dxa"/>
            <w:gridSpan w:val="15"/>
            <w:noWrap w:val="0"/>
            <w:vAlign w:val="center"/>
          </w:tcPr>
          <w:p>
            <w:pPr>
              <w:pStyle w:val="4"/>
              <w:bidi w:val="0"/>
              <w:rPr>
                <w:rFonts w:hint="eastAsia"/>
                <w:sz w:val="21"/>
                <w:szCs w:val="21"/>
              </w:rPr>
            </w:pPr>
            <w:bookmarkStart w:id="198" w:name="_Toc1437339030"/>
            <w:bookmarkStart w:id="199" w:name="_Toc110851502"/>
            <w:bookmarkStart w:id="200" w:name="_Toc1953583257"/>
            <w:bookmarkStart w:id="201" w:name="_Toc523163320"/>
            <w:bookmarkStart w:id="202" w:name="_Toc341845612"/>
            <w:r>
              <w:rPr>
                <w:rFonts w:hint="eastAsia"/>
                <w:sz w:val="21"/>
                <w:szCs w:val="21"/>
              </w:rPr>
              <w:t>生态环境管理方面</w:t>
            </w:r>
            <w:bookmarkEnd w:id="198"/>
            <w:r>
              <w:rPr>
                <w:rFonts w:hint="eastAsia"/>
                <w:sz w:val="21"/>
                <w:szCs w:val="21"/>
              </w:rPr>
              <w:t>4项</w:t>
            </w:r>
            <w:bookmarkEnd w:id="199"/>
            <w:bookmarkEnd w:id="200"/>
            <w:bookmarkEnd w:id="201"/>
            <w:bookmarkEnd w:id="202"/>
          </w:p>
          <w:p>
            <w:pPr>
              <w:jc w:val="center"/>
              <w:rPr>
                <w:rFonts w:hint="eastAsia" w:asciiTheme="minorEastAsia" w:hAnsiTheme="minorEastAsia" w:eastAsiaTheme="minorEastAsia" w:cstheme="minorEastAsia"/>
                <w:b/>
                <w:bCs/>
                <w:sz w:val="21"/>
                <w:szCs w:val="21"/>
              </w:rPr>
            </w:pPr>
          </w:p>
          <w:p>
            <w:pPr>
              <w:rPr>
                <w:rFonts w:hint="eastAsia" w:eastAsia="宋体"/>
                <w:lang w:val="en-US" w:eastAsia="zh-CN"/>
              </w:rPr>
            </w:pPr>
            <w:r>
              <w:rPr>
                <w:rFonts w:hint="eastAsia" w:asciiTheme="minorEastAsia" w:hAnsiTheme="minorEastAsia" w:eastAsiaTheme="minorEastAsia" w:cstheme="minorEastAsia"/>
                <w:lang w:val="en-US" w:eastAsia="zh-CN"/>
              </w:rPr>
              <w:t>《北京市生态环境局关于印发&lt;北京市生态环境行政处罚裁量权基准（2023年版）&gt;的通知》（京环发〔2023〕15号）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noWrap w:val="0"/>
            <w:vAlign w:val="center"/>
          </w:tcPr>
          <w:p>
            <w:pPr>
              <w:spacing w:line="220" w:lineRule="exact"/>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服装干洗和机动车维修等</w:t>
            </w:r>
            <w:r>
              <w:rPr>
                <w:rFonts w:hint="eastAsia" w:ascii="宋体" w:hAnsi="宋体" w:eastAsia="宋体" w:cs="仿宋_GB2312"/>
                <w:kern w:val="0"/>
                <w:sz w:val="15"/>
                <w:szCs w:val="15"/>
              </w:rPr>
              <w:t>项目</w:t>
            </w:r>
            <w:r>
              <w:rPr>
                <w:rFonts w:hint="eastAsia" w:ascii="宋体" w:hAnsi="宋体" w:eastAsia="宋体" w:cs="仿宋_GB2312"/>
                <w:color w:val="000000"/>
                <w:kern w:val="0"/>
                <w:sz w:val="15"/>
                <w:szCs w:val="15"/>
                <w:lang w:bidi="ar"/>
              </w:rPr>
              <w:t>，未设置异味和废气处理装置等污染防治设施并保持正常使用</w:t>
            </w:r>
          </w:p>
        </w:tc>
        <w:tc>
          <w:tcPr>
            <w:tcW w:w="2789" w:type="dxa"/>
            <w:gridSpan w:val="2"/>
            <w:noWrap w:val="0"/>
            <w:vAlign w:val="center"/>
          </w:tcPr>
          <w:p>
            <w:pPr>
              <w:spacing w:line="220" w:lineRule="exact"/>
              <w:jc w:val="left"/>
              <w:textAlignment w:val="center"/>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《中华人民共和国大气污染防治法》违反条款：第八十四条；处罚条款：第一百二十条，责令改正，处二千元以上二万元以下的罚款；拒不改正的，责令停业整治。</w:t>
            </w:r>
          </w:p>
        </w:tc>
        <w:tc>
          <w:tcPr>
            <w:tcW w:w="5784" w:type="dxa"/>
            <w:gridSpan w:val="3"/>
            <w:noWrap w:val="0"/>
            <w:vAlign w:val="center"/>
          </w:tcPr>
          <w:p>
            <w:pPr>
              <w:spacing w:line="220" w:lineRule="exact"/>
              <w:rPr>
                <w:rFonts w:ascii="宋体" w:hAnsi="宋体" w:eastAsia="宋体" w:cs="仿宋_GB2312"/>
                <w:sz w:val="15"/>
                <w:szCs w:val="15"/>
              </w:rPr>
            </w:pPr>
            <w:r>
              <w:rPr>
                <w:rFonts w:hint="eastAsia" w:ascii="宋体" w:hAnsi="宋体" w:eastAsia="宋体" w:cs="仿宋_GB2312"/>
                <w:sz w:val="15"/>
                <w:szCs w:val="15"/>
              </w:rPr>
              <w:t>不正常使用异味和废气处理装置等净化设施0.2-1万元；</w:t>
            </w:r>
          </w:p>
          <w:p>
            <w:pPr>
              <w:spacing w:line="220" w:lineRule="exact"/>
              <w:rPr>
                <w:rFonts w:ascii="宋体" w:hAnsi="宋体" w:eastAsia="宋体" w:cs="仿宋_GB2312"/>
                <w:sz w:val="15"/>
                <w:szCs w:val="15"/>
              </w:rPr>
            </w:pPr>
            <w:r>
              <w:rPr>
                <w:rFonts w:hint="eastAsia" w:ascii="宋体" w:hAnsi="宋体" w:eastAsia="宋体" w:cs="仿宋_GB2312"/>
                <w:sz w:val="15"/>
                <w:szCs w:val="15"/>
              </w:rPr>
              <w:t>未安装或者安装后擅自拆除异味和废气净化设施1-2万元；</w:t>
            </w:r>
          </w:p>
          <w:p>
            <w:pPr>
              <w:spacing w:line="220" w:lineRule="exact"/>
              <w:rPr>
                <w:rFonts w:ascii="宋体" w:hAnsi="宋体" w:eastAsia="宋体" w:cs="仿宋_GB2312"/>
                <w:sz w:val="15"/>
                <w:szCs w:val="15"/>
              </w:rPr>
            </w:pPr>
            <w:r>
              <w:rPr>
                <w:rFonts w:hint="eastAsia" w:ascii="宋体" w:hAnsi="宋体" w:eastAsia="宋体" w:cs="仿宋_GB2312"/>
                <w:sz w:val="15"/>
                <w:szCs w:val="15"/>
              </w:rPr>
              <w:t>拒不改正的，责令停业整治。</w:t>
            </w:r>
          </w:p>
        </w:tc>
        <w:tc>
          <w:tcPr>
            <w:tcW w:w="2108" w:type="dxa"/>
            <w:gridSpan w:val="4"/>
            <w:noWrap w:val="0"/>
            <w:vAlign w:val="center"/>
          </w:tcPr>
          <w:p>
            <w:pPr>
              <w:spacing w:line="220" w:lineRule="exact"/>
              <w:rPr>
                <w:rFonts w:ascii="宋体" w:hAnsi="宋体" w:eastAsia="宋体" w:cs="仿宋_GB2312"/>
                <w:sz w:val="15"/>
                <w:szCs w:val="15"/>
              </w:rPr>
            </w:pPr>
            <w:r>
              <w:rPr>
                <w:rFonts w:hint="eastAsia" w:ascii="宋体" w:hAnsi="宋体" w:eastAsia="宋体" w:cs="仿宋_GB2312"/>
                <w:sz w:val="15"/>
                <w:szCs w:val="15"/>
              </w:rPr>
              <w:t>可以从重处罚的情形</w:t>
            </w:r>
          </w:p>
          <w:p>
            <w:pPr>
              <w:spacing w:line="220" w:lineRule="exact"/>
              <w:rPr>
                <w:rFonts w:ascii="宋体" w:hAnsi="宋体" w:eastAsia="宋体" w:cs="仿宋_GB2312"/>
                <w:sz w:val="15"/>
                <w:szCs w:val="15"/>
              </w:rPr>
            </w:pPr>
            <w:r>
              <w:rPr>
                <w:rFonts w:hint="eastAsia" w:ascii="宋体" w:hAnsi="宋体" w:eastAsia="宋体" w:cs="仿宋_GB2312"/>
                <w:sz w:val="15"/>
                <w:szCs w:val="15"/>
              </w:rPr>
              <w:t>1．两年内因同类环境违法行为被处罚3次（含3次）以上的；</w:t>
            </w:r>
          </w:p>
          <w:p>
            <w:pPr>
              <w:spacing w:line="220" w:lineRule="exact"/>
              <w:rPr>
                <w:rFonts w:ascii="宋体" w:hAnsi="宋体" w:eastAsia="宋体" w:cs="仿宋_GB2312"/>
                <w:sz w:val="15"/>
                <w:szCs w:val="15"/>
              </w:rPr>
            </w:pPr>
            <w:r>
              <w:rPr>
                <w:rFonts w:hint="eastAsia" w:ascii="宋体" w:hAnsi="宋体" w:eastAsia="宋体" w:cs="仿宋_GB2312"/>
                <w:sz w:val="15"/>
                <w:szCs w:val="15"/>
              </w:rPr>
              <w:t>2．重污染天气预警期间超标排放大气污染物的；</w:t>
            </w:r>
          </w:p>
          <w:p>
            <w:pPr>
              <w:spacing w:line="220" w:lineRule="exact"/>
              <w:rPr>
                <w:rFonts w:ascii="宋体" w:hAnsi="宋体" w:eastAsia="宋体" w:cs="仿宋_GB2312"/>
                <w:sz w:val="15"/>
                <w:szCs w:val="15"/>
              </w:rPr>
            </w:pPr>
            <w:r>
              <w:rPr>
                <w:rFonts w:hint="eastAsia" w:ascii="宋体" w:hAnsi="宋体" w:eastAsia="宋体" w:cs="仿宋_GB2312"/>
                <w:sz w:val="15"/>
                <w:szCs w:val="15"/>
              </w:rPr>
              <w:t>3．在案件查处中对执法人员进行威胁、辱骂、殴打、恐吓或者打击报复的；</w:t>
            </w:r>
          </w:p>
          <w:p>
            <w:pPr>
              <w:spacing w:line="220" w:lineRule="exact"/>
              <w:rPr>
                <w:rFonts w:ascii="宋体" w:hAnsi="宋体" w:eastAsia="宋体" w:cs="仿宋_GB2312"/>
                <w:sz w:val="15"/>
                <w:szCs w:val="15"/>
              </w:rPr>
            </w:pPr>
            <w:r>
              <w:rPr>
                <w:rFonts w:hint="eastAsia" w:ascii="宋体" w:hAnsi="宋体" w:eastAsia="宋体" w:cs="仿宋_GB2312"/>
                <w:sz w:val="15"/>
                <w:szCs w:val="15"/>
              </w:rPr>
              <w:t>4．环境违法行为造成跨行政区域环境污染的；</w:t>
            </w:r>
          </w:p>
          <w:p>
            <w:pPr>
              <w:spacing w:line="220" w:lineRule="exact"/>
              <w:rPr>
                <w:rFonts w:ascii="宋体" w:hAnsi="宋体" w:eastAsia="宋体" w:cs="仿宋_GB2312"/>
                <w:sz w:val="15"/>
                <w:szCs w:val="15"/>
              </w:rPr>
            </w:pPr>
            <w:r>
              <w:rPr>
                <w:rFonts w:hint="eastAsia" w:ascii="宋体" w:hAnsi="宋体" w:eastAsia="宋体" w:cs="仿宋_GB2312"/>
                <w:sz w:val="15"/>
                <w:szCs w:val="15"/>
              </w:rPr>
              <w:t>5．环境违法行为引起不良社会反响的；</w:t>
            </w:r>
          </w:p>
          <w:p>
            <w:pPr>
              <w:spacing w:line="220" w:lineRule="exact"/>
              <w:rPr>
                <w:rFonts w:ascii="宋体" w:hAnsi="宋体" w:eastAsia="宋体" w:cs="仿宋_GB2312"/>
                <w:sz w:val="15"/>
                <w:szCs w:val="15"/>
              </w:rPr>
            </w:pPr>
            <w:r>
              <w:rPr>
                <w:rFonts w:hint="eastAsia" w:ascii="宋体" w:hAnsi="宋体" w:eastAsia="宋体" w:cs="仿宋_GB2312"/>
                <w:sz w:val="15"/>
                <w:szCs w:val="15"/>
              </w:rPr>
              <w:t>6．其他具有从重情节的。</w:t>
            </w: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4"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w:t>
            </w:r>
          </w:p>
        </w:tc>
        <w:tc>
          <w:tcPr>
            <w:tcW w:w="1500" w:type="dxa"/>
            <w:gridSpan w:val="2"/>
            <w:noWrap w:val="0"/>
            <w:vAlign w:val="center"/>
          </w:tcPr>
          <w:p>
            <w:pPr>
              <w:spacing w:line="232" w:lineRule="exact"/>
              <w:textAlignment w:val="center"/>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不使用清洁能源</w:t>
            </w:r>
          </w:p>
        </w:tc>
        <w:tc>
          <w:tcPr>
            <w:tcW w:w="2789" w:type="dxa"/>
            <w:gridSpan w:val="2"/>
            <w:noWrap w:val="0"/>
            <w:vAlign w:val="center"/>
          </w:tcPr>
          <w:p>
            <w:pPr>
              <w:spacing w:line="232" w:lineRule="exact"/>
              <w:textAlignment w:val="center"/>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《北京市大气污染防治条例》违反条款：第五十三条第三款；处罚条款：第一百零三条第二款，责令限期改正，处一万元以上十万元以下罚款。</w:t>
            </w:r>
          </w:p>
        </w:tc>
        <w:tc>
          <w:tcPr>
            <w:tcW w:w="5784" w:type="dxa"/>
            <w:gridSpan w:val="3"/>
            <w:noWrap w:val="0"/>
            <w:vAlign w:val="center"/>
          </w:tcPr>
          <w:p>
            <w:pPr>
              <w:spacing w:line="232" w:lineRule="exact"/>
              <w:rPr>
                <w:rFonts w:ascii="宋体" w:hAnsi="宋体" w:eastAsia="宋体" w:cs="仿宋_GB2312"/>
                <w:kern w:val="0"/>
                <w:sz w:val="15"/>
                <w:szCs w:val="15"/>
              </w:rPr>
            </w:pPr>
            <w:r>
              <w:rPr>
                <w:rFonts w:hint="eastAsia" w:ascii="宋体" w:hAnsi="宋体" w:eastAsia="宋体" w:cs="仿宋_GB2312"/>
                <w:kern w:val="0"/>
                <w:sz w:val="15"/>
                <w:szCs w:val="15"/>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30"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3</w:t>
            </w:r>
          </w:p>
        </w:tc>
        <w:tc>
          <w:tcPr>
            <w:tcW w:w="1500" w:type="dxa"/>
            <w:gridSpan w:val="2"/>
            <w:noWrap w:val="0"/>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工业企业不能密闭的易产生扬尘的物料，未设置不低于堆放物高度的严密围挡，或者未采取有效覆盖措施防治扬尘污染</w:t>
            </w:r>
          </w:p>
        </w:tc>
        <w:tc>
          <w:tcPr>
            <w:tcW w:w="2789" w:type="dxa"/>
            <w:gridSpan w:val="2"/>
            <w:noWrap w:val="0"/>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《北京市大气污染防治条例》违反条款：第八十二条第一款；处罚条款：第一百二十条，责令改正，处一万元以上十万元以下罚款；拒不改正的，责令停工整治或者停业整治。</w:t>
            </w:r>
          </w:p>
        </w:tc>
        <w:tc>
          <w:tcPr>
            <w:tcW w:w="5784" w:type="dxa"/>
            <w:gridSpan w:val="3"/>
            <w:noWrap w:val="0"/>
            <w:vAlign w:val="center"/>
          </w:tcPr>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未密闭贮存易产生扬尘的物料，</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物料数量≤50立方米，1-2万元；</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50立方米&lt;物料数量≤500立方米，2-4万元；</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 &gt;500立方米，4-10万元。</w:t>
            </w:r>
          </w:p>
          <w:p>
            <w:pPr>
              <w:pStyle w:val="2"/>
              <w:spacing w:after="0" w:line="232" w:lineRule="exact"/>
              <w:ind w:left="0" w:leftChars="0" w:firstLine="0" w:firstLineChars="0"/>
              <w:textAlignment w:val="center"/>
              <w:rPr>
                <w:rFonts w:ascii="宋体" w:hAnsi="宋体" w:eastAsia="宋体" w:cs="仿宋_GB2312"/>
                <w:sz w:val="15"/>
                <w:szCs w:val="15"/>
              </w:rPr>
            </w:pPr>
            <w:r>
              <w:rPr>
                <w:rFonts w:hint="eastAsia" w:ascii="宋体" w:hAnsi="宋体" w:eastAsia="宋体" w:cs="仿宋_GB2312"/>
                <w:sz w:val="15"/>
                <w:szCs w:val="15"/>
              </w:rPr>
              <w:t>未设置严密围挡，或未采取有效覆盖措施防治扬尘，</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物料数量≤50立方米，1-2万元；</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50立方米&lt;物料数量≤500立方米，2-4万元；</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 &gt;500立方米，4-10万元。</w:t>
            </w:r>
          </w:p>
          <w:p>
            <w:pPr>
              <w:pStyle w:val="2"/>
              <w:spacing w:after="0" w:line="232" w:lineRule="exact"/>
              <w:ind w:left="0" w:leftChars="0" w:firstLine="0" w:firstLineChars="0"/>
              <w:textAlignment w:val="center"/>
              <w:rPr>
                <w:rFonts w:ascii="宋体" w:hAnsi="宋体" w:eastAsia="宋体"/>
                <w:sz w:val="15"/>
                <w:szCs w:val="15"/>
              </w:rPr>
            </w:pPr>
            <w:r>
              <w:rPr>
                <w:rFonts w:hint="eastAsia" w:ascii="宋体" w:hAnsi="宋体" w:eastAsia="宋体" w:cs="仿宋_GB2312"/>
                <w:color w:val="000000"/>
                <w:kern w:val="0"/>
                <w:sz w:val="15"/>
                <w:szCs w:val="15"/>
                <w:lang w:bidi="ar"/>
              </w:rPr>
              <w:t>拒不改正的，责令停工整治或者停业整治。</w:t>
            </w:r>
          </w:p>
        </w:tc>
        <w:tc>
          <w:tcPr>
            <w:tcW w:w="2108" w:type="dxa"/>
            <w:gridSpan w:val="4"/>
            <w:noWrap w:val="0"/>
            <w:vAlign w:val="center"/>
          </w:tcPr>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可以从重处罚的情形</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1．两年内因同类环境违法行为被处罚3次（含3次）以上的；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2．重污染天气预警期间超标排放大气污染物的；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3．在案件查处中对执法人员进行威胁、辱骂、殴打、恐吓或者打击报复的；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4．环境违法行为造成跨行政区域环境污染的；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5．环境违法行为引起不良社会反响的；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6．其他具有从重情节的。</w:t>
            </w: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9"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4</w:t>
            </w:r>
          </w:p>
        </w:tc>
        <w:tc>
          <w:tcPr>
            <w:tcW w:w="1500" w:type="dxa"/>
            <w:gridSpan w:val="2"/>
            <w:noWrap w:val="0"/>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加工、维修、餐饮、娱乐、健身、超市及其他商业服务业经营者未采取有效措施，生产经营活动产生噪声干扰周围生活环境，且拒不改正</w:t>
            </w:r>
          </w:p>
        </w:tc>
        <w:tc>
          <w:tcPr>
            <w:tcW w:w="2789" w:type="dxa"/>
            <w:gridSpan w:val="2"/>
            <w:noWrap w:val="0"/>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《北京市环境噪声污染防治办法》违反条款：第三十条；处罚条款：第四十二条，责令改正；拒不改正的，处3万元以下罚款。</w:t>
            </w:r>
          </w:p>
        </w:tc>
        <w:tc>
          <w:tcPr>
            <w:tcW w:w="5784" w:type="dxa"/>
            <w:gridSpan w:val="3"/>
            <w:noWrap w:val="0"/>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3" w:hRule="atLeast"/>
        </w:trPr>
        <w:tc>
          <w:tcPr>
            <w:tcW w:w="14329" w:type="dxa"/>
            <w:gridSpan w:val="15"/>
            <w:noWrap w:val="0"/>
            <w:vAlign w:val="center"/>
          </w:tcPr>
          <w:p>
            <w:pPr>
              <w:pStyle w:val="4"/>
              <w:bidi w:val="0"/>
              <w:rPr>
                <w:rFonts w:hint="eastAsia"/>
                <w:sz w:val="21"/>
                <w:szCs w:val="21"/>
              </w:rPr>
            </w:pPr>
            <w:bookmarkStart w:id="203" w:name="_Toc1642327804"/>
            <w:bookmarkStart w:id="204" w:name="_Toc740500612"/>
            <w:bookmarkStart w:id="205" w:name="_Toc1112894806"/>
            <w:bookmarkStart w:id="206" w:name="_Toc110851503"/>
            <w:r>
              <w:rPr>
                <w:rFonts w:hint="eastAsia"/>
                <w:sz w:val="21"/>
                <w:szCs w:val="21"/>
              </w:rPr>
              <w:t>水务管理方面20项</w:t>
            </w:r>
            <w:bookmarkEnd w:id="203"/>
            <w:bookmarkEnd w:id="204"/>
            <w:bookmarkEnd w:id="205"/>
            <w:bookmarkEnd w:id="206"/>
          </w:p>
          <w:p>
            <w:pPr>
              <w:rPr>
                <w:rFonts w:hint="eastAsia"/>
              </w:rPr>
            </w:pPr>
          </w:p>
          <w:p>
            <w:pPr>
              <w:rPr>
                <w:rFonts w:hint="eastAsia" w:eastAsia="宋体"/>
                <w:lang w:eastAsia="zh-CN"/>
              </w:rPr>
            </w:pPr>
            <w:r>
              <w:rPr>
                <w:rFonts w:hint="eastAsia" w:ascii="宋体" w:hAnsi="宋体" w:eastAsia="宋体"/>
                <w:sz w:val="15"/>
                <w:szCs w:val="15"/>
                <w:lang w:eastAsia="zh-CN"/>
              </w:rPr>
              <w:t>《北京市水务局关于印发</w:t>
            </w:r>
            <w:r>
              <w:rPr>
                <w:rFonts w:hint="default" w:ascii="宋体" w:hAnsi="宋体"/>
                <w:sz w:val="15"/>
                <w:szCs w:val="15"/>
                <w:lang w:val="en-US" w:eastAsia="zh-CN"/>
              </w:rPr>
              <w:t>&lt;</w:t>
            </w:r>
            <w:r>
              <w:rPr>
                <w:rFonts w:hint="eastAsia" w:ascii="宋体" w:hAnsi="宋体" w:eastAsia="宋体"/>
                <w:sz w:val="15"/>
                <w:szCs w:val="15"/>
                <w:lang w:eastAsia="zh-CN"/>
              </w:rPr>
              <w:t>北京市常用水行政处罚裁量基准表</w:t>
            </w:r>
            <w:r>
              <w:rPr>
                <w:rFonts w:hint="default" w:ascii="宋体" w:hAnsi="宋体"/>
                <w:sz w:val="15"/>
                <w:szCs w:val="15"/>
                <w:lang w:val="en-US" w:eastAsia="zh-CN"/>
              </w:rPr>
              <w:t>&gt;</w:t>
            </w:r>
            <w:r>
              <w:rPr>
                <w:rFonts w:hint="eastAsia" w:ascii="宋体" w:hAnsi="宋体" w:eastAsia="宋体"/>
                <w:sz w:val="15"/>
                <w:szCs w:val="15"/>
                <w:lang w:eastAsia="zh-CN"/>
              </w:rPr>
              <w:t>的通知》</w:t>
            </w:r>
            <w:r>
              <w:rPr>
                <w:rFonts w:hint="eastAsia" w:ascii="宋体" w:hAnsi="宋体"/>
                <w:sz w:val="15"/>
                <w:szCs w:val="15"/>
                <w:lang w:eastAsia="zh-CN"/>
              </w:rPr>
              <w:t>（京水务法〔2023〕12号）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28"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noWrap w:val="0"/>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向雨水收集口、雨水管道排放或者倾倒污水、污物和垃圾等废弃物</w:t>
            </w:r>
          </w:p>
        </w:tc>
        <w:tc>
          <w:tcPr>
            <w:tcW w:w="2789" w:type="dxa"/>
            <w:gridSpan w:val="2"/>
            <w:noWrap w:val="0"/>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《北京市水污染防治条例》</w:t>
            </w:r>
          </w:p>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违反条款：第三十九条第二款；处罚条款：第八十六条，责令停止违法行为，对个人处一千元以上一万元以下的罚款；对单位处一万元以上十万元以下的罚款。</w:t>
            </w:r>
          </w:p>
        </w:tc>
        <w:tc>
          <w:tcPr>
            <w:tcW w:w="5784" w:type="dxa"/>
            <w:gridSpan w:val="3"/>
            <w:noWrap w:val="0"/>
            <w:vAlign w:val="center"/>
          </w:tcPr>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对单位：倾倒少量生活污水的，1万≤罚款额≤3万；排放或者倾倒污水污物和垃圾等废弃物，3万＜罚款额≤6</w:t>
            </w:r>
            <w:r>
              <w:rPr>
                <w:rFonts w:hint="eastAsia" w:ascii="宋体" w:hAnsi="宋体" w:eastAsia="宋体" w:cs="仿宋_GB2312"/>
                <w:color w:val="000000"/>
                <w:kern w:val="0"/>
                <w:sz w:val="15"/>
                <w:szCs w:val="15"/>
                <w:lang w:bidi="ar"/>
              </w:rPr>
              <w:tab/>
            </w:r>
            <w:r>
              <w:rPr>
                <w:rFonts w:hint="eastAsia" w:ascii="宋体" w:hAnsi="宋体" w:eastAsia="宋体" w:cs="仿宋_GB2312"/>
                <w:color w:val="000000"/>
                <w:kern w:val="0"/>
                <w:sz w:val="15"/>
                <w:szCs w:val="15"/>
                <w:lang w:bidi="ar"/>
              </w:rPr>
              <w:t>万；排放或者倾倒污水污物和垃圾等废弃物，情节严重的，6万＜罚款额≤10万。</w:t>
            </w:r>
          </w:p>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对个人：倾倒少量生活污水的，0.1万≤罚款额≤0.3万；排放或者倾倒污水污物和垃圾等废弃物，0.3万＜罚款额≤0.6万；</w:t>
            </w:r>
            <w:r>
              <w:rPr>
                <w:rFonts w:hint="eastAsia" w:ascii="宋体" w:hAnsi="宋体" w:eastAsia="宋体" w:cs="仿宋_GB2312"/>
                <w:color w:val="000000"/>
                <w:kern w:val="0"/>
                <w:sz w:val="15"/>
                <w:szCs w:val="15"/>
                <w:lang w:bidi="ar"/>
              </w:rPr>
              <w:tab/>
            </w:r>
            <w:r>
              <w:rPr>
                <w:rFonts w:hint="eastAsia" w:ascii="宋体" w:hAnsi="宋体" w:eastAsia="宋体" w:cs="仿宋_GB2312"/>
                <w:color w:val="000000"/>
                <w:kern w:val="0"/>
                <w:sz w:val="15"/>
                <w:szCs w:val="15"/>
                <w:lang w:bidi="ar"/>
              </w:rPr>
              <w:t>排放或者倾倒污水污物和垃圾等废弃物，情节严重的，0.6万＜罚款额≤1万。</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40"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w:t>
            </w:r>
          </w:p>
        </w:tc>
        <w:tc>
          <w:tcPr>
            <w:tcW w:w="1500" w:type="dxa"/>
            <w:gridSpan w:val="2"/>
            <w:noWrap w:val="0"/>
            <w:vAlign w:val="center"/>
          </w:tcPr>
          <w:p>
            <w:pPr>
              <w:spacing w:line="232" w:lineRule="exact"/>
              <w:textAlignment w:val="center"/>
              <w:rPr>
                <w:rFonts w:ascii="宋体" w:hAnsi="宋体" w:eastAsia="宋体"/>
                <w:kern w:val="0"/>
                <w:sz w:val="15"/>
                <w:szCs w:val="15"/>
              </w:rPr>
            </w:pPr>
            <w:r>
              <w:rPr>
                <w:rFonts w:hint="eastAsia" w:ascii="宋体" w:hAnsi="宋体" w:eastAsia="宋体"/>
                <w:sz w:val="15"/>
                <w:szCs w:val="15"/>
              </w:rPr>
              <w:t>擅自倾倒、堆放、丢弃、遗撒污泥</w:t>
            </w:r>
          </w:p>
        </w:tc>
        <w:tc>
          <w:tcPr>
            <w:tcW w:w="2789" w:type="dxa"/>
            <w:gridSpan w:val="2"/>
            <w:noWrap w:val="0"/>
            <w:vAlign w:val="center"/>
          </w:tcPr>
          <w:p>
            <w:pPr>
              <w:spacing w:line="190" w:lineRule="exact"/>
              <w:textAlignment w:val="center"/>
              <w:rPr>
                <w:rFonts w:ascii="宋体" w:hAnsi="宋体" w:eastAsia="宋体"/>
                <w:kern w:val="0"/>
                <w:sz w:val="15"/>
                <w:szCs w:val="15"/>
              </w:rPr>
            </w:pPr>
            <w:r>
              <w:rPr>
                <w:rFonts w:hint="eastAsia" w:ascii="宋体" w:hAnsi="宋体" w:eastAsia="宋体"/>
                <w:sz w:val="15"/>
                <w:szCs w:val="15"/>
              </w:rPr>
              <w:t>《城镇排水与污水处理条例</w:t>
            </w:r>
            <w:r>
              <w:rPr>
                <w:rFonts w:hint="eastAsia" w:ascii="宋体" w:hAnsi="宋体" w:eastAsia="宋体"/>
                <w:spacing w:val="-4"/>
                <w:sz w:val="15"/>
                <w:szCs w:val="15"/>
              </w:rPr>
              <w:t>》违反条款：第三十条；处罚条款：第五十三条第二款，责令停止违法行为，限期采取治理措施，给予警告；造成严重后果的，对单位处10万元以上50万元以下罚款，对个人处2万元以上10万元以下罚款；逾期不采取治理措施的，城镇排水主管部门可以指定有治理能力的单位代为治理，所需费用由当事人承担；造成损失的，依法承担赔偿责任。</w:t>
            </w:r>
            <w:r>
              <w:rPr>
                <w:rFonts w:hint="eastAsia" w:ascii="宋体" w:hAnsi="宋体" w:eastAsia="宋体"/>
                <w:sz w:val="15"/>
                <w:szCs w:val="15"/>
              </w:rPr>
              <w:br w:type="textWrapping"/>
            </w:r>
            <w:r>
              <w:rPr>
                <w:rFonts w:hint="eastAsia" w:ascii="宋体" w:hAnsi="宋体" w:eastAsia="宋体"/>
                <w:sz w:val="15"/>
                <w:szCs w:val="15"/>
              </w:rPr>
              <w:t>《中华人民共和国固体废物污染环境防治法》违反条款：第七十二条第一款；处罚条款：第一百零八条第二款，违反本法规定，擅自倾倒、堆放、丢弃、遗撒城镇污水处理设施产生的污泥和处理后的污泥的，由城镇排水主管部门责令改正，处二十万元以上二百万元以下的罚款，对直接负责的主管人员和其他直接责任人员处二万元以上十万元以下的罚款；造成严重后果的，处二百万元以上五百万元以下的罚款，对直接负责的主管人员和其他直接责任人员处五万元以上五十万元以下的罚款；拒不改正的，城镇排水主管部门可以指定有治理能力的单位代为治理，所需费用由违法者承担。</w:t>
            </w:r>
          </w:p>
        </w:tc>
        <w:tc>
          <w:tcPr>
            <w:tcW w:w="5784" w:type="dxa"/>
            <w:gridSpan w:val="3"/>
            <w:noWrap w:val="0"/>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24"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3</w:t>
            </w:r>
          </w:p>
        </w:tc>
        <w:tc>
          <w:tcPr>
            <w:tcW w:w="1500" w:type="dxa"/>
            <w:gridSpan w:val="2"/>
            <w:noWrap w:val="0"/>
            <w:vAlign w:val="center"/>
          </w:tcPr>
          <w:p>
            <w:pPr>
              <w:spacing w:line="232" w:lineRule="exact"/>
              <w:textAlignment w:val="center"/>
              <w:rPr>
                <w:rFonts w:ascii="宋体" w:hAnsi="宋体" w:eastAsia="宋体"/>
                <w:sz w:val="15"/>
                <w:szCs w:val="15"/>
              </w:rPr>
            </w:pPr>
            <w:r>
              <w:rPr>
                <w:rFonts w:hint="eastAsia" w:ascii="宋体" w:hAnsi="宋体" w:eastAsia="宋体"/>
                <w:sz w:val="15"/>
                <w:szCs w:val="15"/>
              </w:rPr>
              <w:t>因巡查、维护不到位，导致窨井盖丢失、损毁，造成人员伤亡和财产损失</w:t>
            </w:r>
          </w:p>
        </w:tc>
        <w:tc>
          <w:tcPr>
            <w:tcW w:w="2789" w:type="dxa"/>
            <w:gridSpan w:val="2"/>
            <w:noWrap w:val="0"/>
            <w:vAlign w:val="center"/>
          </w:tcPr>
          <w:p>
            <w:pPr>
              <w:spacing w:line="232" w:lineRule="exact"/>
              <w:textAlignment w:val="center"/>
              <w:rPr>
                <w:rFonts w:ascii="宋体" w:hAnsi="宋体" w:eastAsia="宋体"/>
                <w:sz w:val="15"/>
                <w:szCs w:val="15"/>
              </w:rPr>
            </w:pPr>
            <w:r>
              <w:rPr>
                <w:rFonts w:hint="eastAsia" w:ascii="宋体" w:hAnsi="宋体" w:eastAsia="宋体"/>
                <w:sz w:val="15"/>
                <w:szCs w:val="15"/>
              </w:rPr>
              <w:t>《城镇排水与污水处理条例》违反条款：第三十八条第一款；处罚条款：第五十五条第一款第（三）项，责令改正，给予警告；逾期不改正或者造成严重后果的，处10万元以上50万元以下罚款；造成损失的，依法承担赔偿责任；构成犯罪的，依法追究刑事责任。</w:t>
            </w:r>
          </w:p>
        </w:tc>
        <w:tc>
          <w:tcPr>
            <w:tcW w:w="5784" w:type="dxa"/>
            <w:gridSpan w:val="3"/>
            <w:noWrap w:val="0"/>
            <w:vAlign w:val="center"/>
          </w:tcPr>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逾期不改正，但未造成其他严重后果的，10万≤罚款额≤30万；</w:t>
            </w:r>
          </w:p>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造成财产损失的，30万＜罚款额≤40万；</w:t>
            </w:r>
          </w:p>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造成人员伤亡的，40万＜罚款额≤50万</w:t>
            </w:r>
            <w:r>
              <w:rPr>
                <w:rFonts w:ascii="宋体" w:hAnsi="宋体" w:eastAsia="宋体" w:cs="仿宋_GB2312"/>
                <w:color w:val="000000"/>
                <w:kern w:val="0"/>
                <w:sz w:val="15"/>
                <w:szCs w:val="15"/>
                <w:lang w:bidi="ar"/>
              </w:rPr>
              <w:t>。</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4</w:t>
            </w:r>
          </w:p>
        </w:tc>
        <w:tc>
          <w:tcPr>
            <w:tcW w:w="1500" w:type="dxa"/>
            <w:gridSpan w:val="2"/>
            <w:noWrap w:val="0"/>
            <w:vAlign w:val="center"/>
          </w:tcPr>
          <w:p>
            <w:pPr>
              <w:spacing w:line="232" w:lineRule="exact"/>
              <w:textAlignment w:val="center"/>
              <w:rPr>
                <w:rFonts w:ascii="宋体" w:hAnsi="宋体" w:eastAsia="宋体"/>
                <w:sz w:val="15"/>
                <w:szCs w:val="15"/>
              </w:rPr>
            </w:pPr>
            <w:r>
              <w:rPr>
                <w:rFonts w:hint="eastAsia" w:ascii="宋体" w:hAnsi="宋体" w:eastAsia="宋体"/>
                <w:sz w:val="15"/>
                <w:szCs w:val="15"/>
              </w:rPr>
              <w:t>在河湖管理范围、保护范围内围河、挖筑鱼塘、挖坑开槽、勘探或者设立线杆、线塔、无线通信塔、标识</w:t>
            </w:r>
          </w:p>
        </w:tc>
        <w:tc>
          <w:tcPr>
            <w:tcW w:w="2789" w:type="dxa"/>
            <w:gridSpan w:val="2"/>
            <w:noWrap w:val="0"/>
            <w:vAlign w:val="center"/>
          </w:tcPr>
          <w:p>
            <w:pPr>
              <w:spacing w:line="216" w:lineRule="exact"/>
              <w:textAlignment w:val="center"/>
              <w:rPr>
                <w:rFonts w:ascii="宋体" w:hAnsi="宋体" w:eastAsia="宋体"/>
                <w:sz w:val="15"/>
                <w:szCs w:val="15"/>
              </w:rPr>
            </w:pPr>
            <w:r>
              <w:rPr>
                <w:rFonts w:hint="eastAsia" w:ascii="宋体" w:hAnsi="宋体" w:eastAsia="宋体"/>
                <w:sz w:val="15"/>
                <w:szCs w:val="15"/>
              </w:rPr>
              <w:t>《北京市河湖保护管理条例》违反条款：第二十条第一款第（二）项；处罚条款：第三十九条第（一）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在保护范围内，1万≤罚款额≤3万；</w:t>
            </w:r>
          </w:p>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在管理范围内，3万＜罚款额≤5万</w:t>
            </w:r>
            <w:r>
              <w:rPr>
                <w:rFonts w:ascii="宋体" w:hAnsi="宋体" w:eastAsia="宋体" w:cs="仿宋_GB2312"/>
                <w:color w:val="000000"/>
                <w:kern w:val="0"/>
                <w:sz w:val="15"/>
                <w:szCs w:val="15"/>
                <w:lang w:bidi="ar"/>
              </w:rPr>
              <w:t>。</w:t>
            </w:r>
          </w:p>
        </w:tc>
        <w:tc>
          <w:tcPr>
            <w:tcW w:w="2108" w:type="dxa"/>
            <w:gridSpan w:val="4"/>
            <w:noWrap w:val="0"/>
            <w:vAlign w:val="center"/>
          </w:tcPr>
          <w:p>
            <w:pPr>
              <w:spacing w:line="232" w:lineRule="exact"/>
              <w:rPr>
                <w:rFonts w:ascii="宋体" w:hAnsi="宋体" w:eastAsia="宋体" w:cs="仿宋_GB2312"/>
                <w:sz w:val="15"/>
                <w:szCs w:val="15"/>
              </w:rPr>
            </w:pPr>
            <w:r>
              <w:rPr>
                <w:rFonts w:hint="eastAsia" w:ascii="宋体" w:hAnsi="宋体" w:eastAsia="宋体" w:cs="仿宋_GB2312"/>
                <w:sz w:val="15"/>
                <w:szCs w:val="15"/>
              </w:rPr>
              <w:t>备注：危害活动同时涉及管理范围和保护范围的，按在管理范围内确定罚款额。</w:t>
            </w: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5</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在河湖管理范围、保护范围内设置固定停车场所</w:t>
            </w:r>
          </w:p>
        </w:tc>
        <w:tc>
          <w:tcPr>
            <w:tcW w:w="2789" w:type="dxa"/>
            <w:gridSpan w:val="2"/>
            <w:noWrap w:val="0"/>
            <w:vAlign w:val="center"/>
          </w:tcPr>
          <w:p>
            <w:pPr>
              <w:spacing w:line="216" w:lineRule="exact"/>
              <w:rPr>
                <w:rFonts w:ascii="宋体" w:hAnsi="宋体" w:eastAsia="宋体"/>
                <w:sz w:val="15"/>
                <w:szCs w:val="15"/>
              </w:rPr>
            </w:pPr>
            <w:r>
              <w:rPr>
                <w:rFonts w:hint="eastAsia" w:ascii="宋体" w:hAnsi="宋体" w:eastAsia="宋体"/>
                <w:sz w:val="15"/>
                <w:szCs w:val="15"/>
              </w:rPr>
              <w:t>《北京市河湖保护管理条例》违反条款：第二十条第一款第（三）项；处罚条款：第三十九条第（二）项，责令停止违法行为，限期补办行政许可手续，处5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6</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在河湖管理范围、保护范围内修路，或者修建园林小品、管理房及其附属设施</w:t>
            </w:r>
          </w:p>
        </w:tc>
        <w:tc>
          <w:tcPr>
            <w:tcW w:w="2789" w:type="dxa"/>
            <w:gridSpan w:val="2"/>
            <w:noWrap w:val="0"/>
            <w:vAlign w:val="center"/>
          </w:tcPr>
          <w:p>
            <w:pPr>
              <w:spacing w:line="204" w:lineRule="exact"/>
              <w:rPr>
                <w:rFonts w:ascii="宋体" w:hAnsi="宋体" w:eastAsia="宋体"/>
                <w:sz w:val="15"/>
                <w:szCs w:val="15"/>
              </w:rPr>
            </w:pPr>
            <w:r>
              <w:rPr>
                <w:rFonts w:hint="eastAsia" w:ascii="宋体" w:hAnsi="宋体" w:eastAsia="宋体"/>
                <w:sz w:val="15"/>
                <w:szCs w:val="15"/>
              </w:rPr>
              <w:t>《北京市河湖保护管理条例》违反条款：第二十条第一款第（四）项；处罚条款：第三十九条第（三）项，责令停止违法行为，限期补办行政许可手续，处1万元以上10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7</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在河湖管理范围、保护范围内进行河道改线、开挖人工湖泊</w:t>
            </w:r>
          </w:p>
        </w:tc>
        <w:tc>
          <w:tcPr>
            <w:tcW w:w="2789" w:type="dxa"/>
            <w:gridSpan w:val="2"/>
            <w:noWrap w:val="0"/>
            <w:vAlign w:val="center"/>
          </w:tcPr>
          <w:p>
            <w:pPr>
              <w:spacing w:line="204" w:lineRule="exact"/>
              <w:rPr>
                <w:rFonts w:ascii="宋体" w:hAnsi="宋体" w:eastAsia="宋体"/>
                <w:sz w:val="15"/>
                <w:szCs w:val="15"/>
              </w:rPr>
            </w:pPr>
            <w:r>
              <w:rPr>
                <w:rFonts w:hint="eastAsia" w:ascii="宋体" w:hAnsi="宋体" w:eastAsia="宋体"/>
                <w:sz w:val="15"/>
                <w:szCs w:val="15"/>
              </w:rPr>
              <w:t>《北京市河湖保护管理条例》违反条款：第二十条第三款；处罚条款：第三十九条第（五）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8</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毁坏或者拆除保护名录中的水工建筑物、构筑物、遗址</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《北京市河湖保护管理条例》违反条款：第二十四条第二款；处罚条款：第四十二条，责令其停止违法行为，限期恢复原状，处10万元以上50万元以下的罚款。</w:t>
            </w:r>
          </w:p>
        </w:tc>
        <w:tc>
          <w:tcPr>
            <w:tcW w:w="5784" w:type="dxa"/>
            <w:gridSpan w:val="3"/>
            <w:noWrap w:val="0"/>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9</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开展水上旅游项目或者其他利用活动时使用以柴油、汽油为动力的游船</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《北京市河湖保护管理条例》违反条款：第三十一条第一款；处罚条款：第四十四条第一款，责令停止违法行为，限期改正，处8000元以上8万元以下的罚款；造成损失的，依法赔偿损失或者采取补救措施。</w:t>
            </w:r>
          </w:p>
        </w:tc>
        <w:tc>
          <w:tcPr>
            <w:tcW w:w="5784" w:type="dxa"/>
            <w:gridSpan w:val="3"/>
            <w:noWrap w:val="0"/>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4"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10</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未经批准擅自利用河湖进行开发利用活动</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《北京市河湖保护管理条例》违反条款：第三十一条第二款；处罚条款：第四十四条第二款，责令停止违法行为，限期改正，处2万元以上10万元以下的罚款。</w:t>
            </w:r>
          </w:p>
        </w:tc>
        <w:tc>
          <w:tcPr>
            <w:tcW w:w="5784" w:type="dxa"/>
            <w:gridSpan w:val="3"/>
            <w:noWrap w:val="0"/>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11</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在地表饮用水水源一级保护区的水域内垂钓</w:t>
            </w:r>
          </w:p>
        </w:tc>
        <w:tc>
          <w:tcPr>
            <w:tcW w:w="2789" w:type="dxa"/>
            <w:gridSpan w:val="2"/>
            <w:noWrap w:val="0"/>
            <w:vAlign w:val="center"/>
          </w:tcPr>
          <w:p>
            <w:pPr>
              <w:spacing w:line="212" w:lineRule="exact"/>
              <w:rPr>
                <w:rFonts w:ascii="宋体" w:hAnsi="宋体" w:eastAsia="宋体"/>
                <w:spacing w:val="-4"/>
                <w:sz w:val="15"/>
                <w:szCs w:val="15"/>
              </w:rPr>
            </w:pPr>
            <w:r>
              <w:rPr>
                <w:rFonts w:hint="eastAsia" w:ascii="宋体" w:hAnsi="宋体" w:eastAsia="宋体"/>
                <w:spacing w:val="-4"/>
                <w:sz w:val="15"/>
                <w:szCs w:val="15"/>
              </w:rPr>
              <w:t xml:space="preserve">《北京市水污染防治条例》违反条款：第五十七条第二款；处罚条款：第八十条第二款，责令停止违法行为，并可以处五百元以下的罚款。                                                                            </w:t>
            </w:r>
          </w:p>
        </w:tc>
        <w:tc>
          <w:tcPr>
            <w:tcW w:w="5784" w:type="dxa"/>
            <w:gridSpan w:val="3"/>
            <w:noWrap w:val="0"/>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12</w:t>
            </w:r>
          </w:p>
        </w:tc>
        <w:tc>
          <w:tcPr>
            <w:tcW w:w="1500" w:type="dxa"/>
            <w:gridSpan w:val="2"/>
            <w:noWrap w:val="0"/>
            <w:vAlign w:val="center"/>
          </w:tcPr>
          <w:p>
            <w:pPr>
              <w:spacing w:line="212" w:lineRule="exact"/>
              <w:rPr>
                <w:rFonts w:ascii="宋体" w:hAnsi="宋体" w:eastAsia="宋体"/>
                <w:sz w:val="15"/>
                <w:szCs w:val="15"/>
              </w:rPr>
            </w:pPr>
            <w:r>
              <w:rPr>
                <w:rFonts w:hint="eastAsia" w:ascii="宋体" w:hAnsi="宋体" w:eastAsia="宋体"/>
                <w:sz w:val="15"/>
                <w:szCs w:val="15"/>
              </w:rPr>
              <w:t>在堤防和护堤地，从事放牧、葬坟、晒粮、开渠、打井、挖窖、取土、存放物料、开办集市贸易、开采地下资源、进行考古发掘等活动</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 xml:space="preserve">《北京市河湖保护管理条例》违反条款：第十九条第（六）项；处罚条款：第三十八条，责令停止违法行为，排除阻碍或者采取其他补救措施，可以处5万元以下罚款，有违法所得的，没收违法所得。                                     </w:t>
            </w:r>
          </w:p>
        </w:tc>
        <w:tc>
          <w:tcPr>
            <w:tcW w:w="5784" w:type="dxa"/>
            <w:gridSpan w:val="3"/>
            <w:noWrap w:val="0"/>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13</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在堤防上及大型渠道内垦</w:t>
            </w:r>
            <w:r>
              <w:rPr>
                <w:rFonts w:hint="eastAsia" w:ascii="宋体" w:hAnsi="宋体" w:eastAsia="宋体"/>
                <w:sz w:val="15"/>
                <w:szCs w:val="15"/>
                <w:lang w:eastAsia="zh-CN"/>
              </w:rPr>
              <w:t>殖</w:t>
            </w:r>
            <w:r>
              <w:rPr>
                <w:rFonts w:hint="eastAsia" w:ascii="宋体" w:hAnsi="宋体" w:eastAsia="宋体"/>
                <w:sz w:val="15"/>
                <w:szCs w:val="15"/>
              </w:rPr>
              <w:t>、放牧</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《北京市水利工程保护管理条例》违反条款：第九条第（七）项；处罚条款：第二十一条第（四）项，除责令纠正违法行为、赔偿损失、采取补救措施外，并可以处警告、200元以下罚款。在堤坝及大型渠道垦</w:t>
            </w:r>
            <w:r>
              <w:rPr>
                <w:rFonts w:hint="eastAsia" w:ascii="宋体" w:hAnsi="宋体" w:eastAsia="宋体"/>
                <w:sz w:val="15"/>
                <w:szCs w:val="15"/>
                <w:lang w:eastAsia="zh-CN"/>
              </w:rPr>
              <w:t>殖</w:t>
            </w:r>
            <w:r>
              <w:rPr>
                <w:rFonts w:hint="eastAsia" w:ascii="宋体" w:hAnsi="宋体" w:eastAsia="宋体"/>
                <w:sz w:val="15"/>
                <w:szCs w:val="15"/>
              </w:rPr>
              <w:t xml:space="preserve">的，还应令其恢复地貌。 </w:t>
            </w:r>
          </w:p>
        </w:tc>
        <w:tc>
          <w:tcPr>
            <w:tcW w:w="5784" w:type="dxa"/>
            <w:gridSpan w:val="3"/>
            <w:noWrap w:val="0"/>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08"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14</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在河道、湖泊管理范围内倾倒垃圾、渣土从事影响河势稳定、危害河岸堤防安全和其他妨碍河道行洪的活动</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 xml:space="preserve">《中华人民共和国防洪法》违反条款：第二十二条第二款；处罚条款：第五十五条第（二）项，责令停止违法行为，排除阻碍或者采取其他补救措施，可以处五万元以下的罚款。                                                                  </w:t>
            </w:r>
            <w:r>
              <w:rPr>
                <w:rFonts w:hint="eastAsia" w:ascii="宋体" w:hAnsi="宋体" w:eastAsia="宋体"/>
                <w:sz w:val="15"/>
                <w:szCs w:val="15"/>
              </w:rPr>
              <w:br w:type="textWrapping"/>
            </w:r>
            <w:r>
              <w:rPr>
                <w:rFonts w:hint="eastAsia" w:ascii="宋体" w:hAnsi="宋体" w:eastAsia="宋体"/>
                <w:sz w:val="15"/>
                <w:szCs w:val="15"/>
              </w:rPr>
              <w:t>《北京市水利工程保护管理条例》违反条款：第九条第（三）项；处罚条款：第二十一条第（二）项，责令排除阻碍或者采取其他补救措施，可以处5万元以下罚款。</w:t>
            </w:r>
          </w:p>
        </w:tc>
        <w:tc>
          <w:tcPr>
            <w:tcW w:w="5784" w:type="dxa"/>
            <w:gridSpan w:val="3"/>
            <w:noWrap w:val="0"/>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倾倒量≤5m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，罚款额≤1万；5m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倾倒量≤10m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，1万＜罚款额≤2万；10m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倾倒量≤20m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，2万＜罚款额≤3万；20m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倾倒量，3万＜罚款额≤5万</w:t>
            </w:r>
            <w:r>
              <w:rPr>
                <w:rFonts w:ascii="宋体" w:hAnsi="宋体" w:eastAsia="宋体" w:cs="Calibri"/>
                <w:color w:val="000000"/>
                <w:kern w:val="0"/>
                <w:sz w:val="15"/>
                <w:szCs w:val="15"/>
                <w:lang w:bidi="ar"/>
              </w:rPr>
              <w:t>。</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26"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15</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在地表饮用水水源保护区和准保护区内、组织水上旅游或者其他可能污染饮用水水源活动</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《北京市水污染防治条例》违反条款：第六十条第一款第（一）项、第（二）项、第（三）项；第六十条第二款；处罚条款：第八十条第二款，责令停止违法行为，并处二万元以上十万元以下的罚款。</w:t>
            </w:r>
          </w:p>
        </w:tc>
        <w:tc>
          <w:tcPr>
            <w:tcW w:w="5784" w:type="dxa"/>
            <w:gridSpan w:val="3"/>
            <w:noWrap w:val="0"/>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16</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在河道、湖泊管理范围内建设妨碍行洪的建筑物、构筑物，或者从事影响河势稳定、危害河岸堤防安全和其他妨碍河道行洪的活动</w:t>
            </w:r>
          </w:p>
        </w:tc>
        <w:tc>
          <w:tcPr>
            <w:tcW w:w="2789" w:type="dxa"/>
            <w:gridSpan w:val="2"/>
            <w:noWrap w:val="0"/>
            <w:vAlign w:val="center"/>
          </w:tcPr>
          <w:p>
            <w:pPr>
              <w:spacing w:line="232" w:lineRule="exact"/>
              <w:jc w:val="left"/>
              <w:rPr>
                <w:rFonts w:ascii="宋体" w:hAnsi="宋体" w:eastAsia="宋体"/>
                <w:sz w:val="15"/>
                <w:szCs w:val="15"/>
              </w:rPr>
            </w:pPr>
            <w:r>
              <w:rPr>
                <w:rFonts w:hint="eastAsia" w:ascii="宋体" w:hAnsi="宋体" w:eastAsia="宋体"/>
                <w:sz w:val="15"/>
                <w:szCs w:val="15"/>
              </w:rPr>
              <w:t>《中华人民共和国水法》违反条款：第三十七条第二款；处罚条款：第六十五条第一款，责令停止违法行为，限期拆除违法建筑物、构筑物，恢复原状；逾期不拆除、不恢复原状的，强行拆除，所需费用由违法单位或者个人负担，并处一万元以上十万元以下的罚款。                                                   《中华人民共和国防洪法》违反条款：第二十二条第二款、第三款；处罚条款：第五十五条第（一）项、第（二）项、第（三）项，责令停止违法行为，排除阻碍或者采取其他补救措施，可以处五万元以下的罚款。                                                                                                                           《北京市水利工程保护管理条例》违反条款：第九条第（二）项、第（八）项；处罚条款：第二十一条第（二）项 有下列行为之一的单位或个人，给予处罚：（二）违反本条例第九条第二项、第三项、第八项规定的，责令排除阻碍或者采取其他补救措施，可以处5万元以下罚款。</w:t>
            </w:r>
          </w:p>
          <w:p>
            <w:pPr>
              <w:spacing w:line="204" w:lineRule="exact"/>
              <w:rPr>
                <w:rFonts w:ascii="宋体" w:hAnsi="宋体" w:eastAsia="宋体"/>
                <w:sz w:val="15"/>
                <w:szCs w:val="15"/>
              </w:rPr>
            </w:pPr>
            <w:r>
              <w:rPr>
                <w:rFonts w:hint="eastAsia" w:ascii="宋体" w:hAnsi="宋体" w:eastAsia="宋体"/>
                <w:sz w:val="15"/>
                <w:szCs w:val="15"/>
              </w:rPr>
              <w:t>《北京市河湖保护管理条例》违反条款：第二十条第一款第（四）项；处罚条款：第三十九第（一）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1</w:t>
            </w:r>
            <w:r>
              <w:rPr>
                <w:rFonts w:ascii="宋体" w:hAnsi="宋体" w:eastAsia="宋体" w:cs="仿宋_GB2312"/>
                <w:color w:val="000000"/>
                <w:kern w:val="0"/>
                <w:sz w:val="15"/>
                <w:szCs w:val="15"/>
                <w:lang w:bidi="ar"/>
              </w:rPr>
              <w:t>.</w:t>
            </w:r>
            <w:r>
              <w:rPr>
                <w:rFonts w:hint="eastAsia" w:ascii="宋体" w:hAnsi="宋体" w:eastAsia="宋体" w:cs="仿宋_GB2312"/>
                <w:color w:val="000000"/>
                <w:kern w:val="0"/>
                <w:sz w:val="15"/>
                <w:szCs w:val="15"/>
                <w:lang w:bidi="ar"/>
              </w:rPr>
              <w:t>依据《中华人民共和国水法》处罚：</w:t>
            </w:r>
          </w:p>
          <w:p>
            <w:pPr>
              <w:pStyle w:val="2"/>
              <w:spacing w:after="0" w:line="232" w:lineRule="exact"/>
              <w:ind w:left="0" w:leftChars="0" w:firstLine="0" w:firstLineChars="0"/>
              <w:rPr>
                <w:rFonts w:ascii="宋体" w:hAnsi="宋体" w:eastAsia="宋体" w:cs="Batang"/>
                <w:color w:val="000000"/>
                <w:kern w:val="0"/>
                <w:sz w:val="15"/>
                <w:szCs w:val="15"/>
                <w:lang w:bidi="ar"/>
              </w:rPr>
            </w:pPr>
            <w:r>
              <w:rPr>
                <w:rFonts w:hint="eastAsia" w:ascii="宋体" w:hAnsi="宋体" w:eastAsia="宋体" w:cs="仿宋_GB2312"/>
                <w:color w:val="000000"/>
                <w:kern w:val="0"/>
                <w:sz w:val="15"/>
                <w:szCs w:val="15"/>
                <w:lang w:bidi="ar"/>
              </w:rPr>
              <w:t>在限期内拆除，恢复原状的，不予处罚；逾期不拆除，不恢复原状的，占地面积≤25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，1万≤罚款额≤3万；25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，3万＜罚款额≤6万；100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＜占地面积，6万＜罚款额≤10万</w:t>
            </w:r>
            <w:r>
              <w:rPr>
                <w:rFonts w:ascii="宋体" w:hAnsi="宋体" w:eastAsia="宋体" w:cs="Batang"/>
                <w:color w:val="000000"/>
                <w:kern w:val="0"/>
                <w:sz w:val="15"/>
                <w:szCs w:val="15"/>
                <w:lang w:bidi="ar"/>
              </w:rPr>
              <w:t>。</w:t>
            </w:r>
          </w:p>
          <w:p>
            <w:pPr>
              <w:pStyle w:val="2"/>
              <w:spacing w:after="0" w:line="232" w:lineRule="exact"/>
              <w:ind w:left="0" w:leftChars="0" w:firstLine="0" w:firstLineChars="0"/>
              <w:rPr>
                <w:rFonts w:ascii="宋体" w:hAnsi="宋体" w:eastAsia="宋体" w:cs="Batang"/>
                <w:color w:val="000000"/>
                <w:kern w:val="0"/>
                <w:sz w:val="15"/>
                <w:szCs w:val="15"/>
                <w:lang w:bidi="ar"/>
              </w:rPr>
            </w:pPr>
            <w:r>
              <w:rPr>
                <w:rFonts w:hint="eastAsia" w:ascii="宋体" w:hAnsi="宋体" w:eastAsia="宋体" w:cs="Batang"/>
                <w:color w:val="000000"/>
                <w:kern w:val="0"/>
                <w:sz w:val="15"/>
                <w:szCs w:val="15"/>
                <w:lang w:bidi="ar"/>
              </w:rPr>
              <w:t>2</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依据《中华人民共和国防洪法》《北京市水利工程保护管理条例》《北京市河湖保护管理条例》处罚：</w:t>
            </w:r>
          </w:p>
          <w:p>
            <w:pPr>
              <w:pStyle w:val="2"/>
              <w:spacing w:after="0" w:line="232" w:lineRule="exact"/>
              <w:ind w:left="0" w:leftChars="0" w:firstLine="0" w:firstLineChars="0"/>
              <w:rPr>
                <w:rFonts w:ascii="宋体" w:hAnsi="宋体" w:eastAsia="宋体" w:cs="Batang"/>
                <w:color w:val="000000"/>
                <w:kern w:val="0"/>
                <w:sz w:val="15"/>
                <w:szCs w:val="15"/>
                <w:lang w:bidi="ar"/>
              </w:rPr>
            </w:pPr>
            <w:r>
              <w:rPr>
                <w:rFonts w:hint="eastAsia" w:ascii="宋体" w:hAnsi="宋体" w:eastAsia="宋体" w:cs="仿宋_GB2312"/>
                <w:color w:val="000000"/>
                <w:kern w:val="0"/>
                <w:sz w:val="15"/>
                <w:szCs w:val="15"/>
                <w:lang w:bidi="ar"/>
              </w:rPr>
              <w:t>占地面积≤25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，罚款额≤1万；25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，1万＜罚款额≤3万；100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＜占地面积，3万＜罚款额≤5万</w:t>
            </w:r>
            <w:r>
              <w:rPr>
                <w:rFonts w:ascii="宋体" w:hAnsi="宋体" w:eastAsia="宋体" w:cs="Batang"/>
                <w:color w:val="000000"/>
                <w:kern w:val="0"/>
                <w:sz w:val="15"/>
                <w:szCs w:val="15"/>
                <w:lang w:bidi="ar"/>
              </w:rPr>
              <w:t>。</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2"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17</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在生态清洁小流域范围内的沟道内私搭乱建、堆放物品</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《北京市水土保持条例》违反条款：第二十条第一款第（一）项；处罚条款：第三十六条，责令改正，对个人可处500元以上5000元以下罚款；对单位可处1万元以上10万元以下罚款。</w:t>
            </w:r>
          </w:p>
        </w:tc>
        <w:tc>
          <w:tcPr>
            <w:tcW w:w="5784" w:type="dxa"/>
            <w:gridSpan w:val="3"/>
            <w:noWrap w:val="0"/>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7"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18</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在生态清洁小流域范围内随意取土、挖砂、倾倒垃圾、排放污水</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《北京市水土保持条例》违反条款：第二十条第一款第（二）项；处罚条款：第三十六条，责令改正，对个人可处500元以上5000元以下罚款；对单位可处1万元以上10万元以下罚款。</w:t>
            </w:r>
          </w:p>
        </w:tc>
        <w:tc>
          <w:tcPr>
            <w:tcW w:w="5784" w:type="dxa"/>
            <w:gridSpan w:val="3"/>
            <w:noWrap w:val="0"/>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1"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19</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在生态清洁小流域范围内破坏水土保持设施或者干扰其正常运行</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《北京市水土保持条例》违反条款：第二十条第一款第（三）项；处罚条款：第三十六条，责令改正，对个人可处500元以上5000元以下罚款；对单位可处1万元以上10万元以下罚款。</w:t>
            </w:r>
          </w:p>
        </w:tc>
        <w:tc>
          <w:tcPr>
            <w:tcW w:w="5784" w:type="dxa"/>
            <w:gridSpan w:val="3"/>
            <w:noWrap w:val="0"/>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20</w:t>
            </w:r>
          </w:p>
        </w:tc>
        <w:tc>
          <w:tcPr>
            <w:tcW w:w="1500" w:type="dxa"/>
            <w:gridSpan w:val="2"/>
            <w:noWrap w:val="0"/>
            <w:vAlign w:val="center"/>
          </w:tcPr>
          <w:p>
            <w:pPr>
              <w:spacing w:line="210" w:lineRule="exact"/>
              <w:rPr>
                <w:rFonts w:ascii="宋体" w:hAnsi="宋体" w:eastAsia="宋体"/>
                <w:sz w:val="15"/>
                <w:szCs w:val="15"/>
              </w:rPr>
            </w:pPr>
            <w:r>
              <w:rPr>
                <w:rFonts w:hint="eastAsia" w:ascii="宋体" w:hAnsi="宋体" w:eastAsia="宋体"/>
                <w:sz w:val="15"/>
                <w:szCs w:val="15"/>
              </w:rPr>
              <w:t>擅自在河湖管理范围内新建、改建或者扩大排水口</w:t>
            </w:r>
          </w:p>
        </w:tc>
        <w:tc>
          <w:tcPr>
            <w:tcW w:w="2789" w:type="dxa"/>
            <w:gridSpan w:val="2"/>
            <w:noWrap w:val="0"/>
            <w:vAlign w:val="center"/>
          </w:tcPr>
          <w:p>
            <w:pPr>
              <w:spacing w:line="210" w:lineRule="exact"/>
              <w:rPr>
                <w:rFonts w:ascii="宋体" w:hAnsi="宋体" w:eastAsia="宋体"/>
                <w:sz w:val="15"/>
                <w:szCs w:val="15"/>
              </w:rPr>
            </w:pPr>
            <w:r>
              <w:rPr>
                <w:rFonts w:hint="eastAsia" w:ascii="宋体" w:hAnsi="宋体" w:eastAsia="宋体"/>
                <w:sz w:val="15"/>
                <w:szCs w:val="15"/>
              </w:rPr>
              <w:t>《北京市河湖保护管理条例》违反条款：第二十八条第一款；处罚条款：第四十三条，责令停止违法行为，限期恢复原状，处5万元以上10万元以下的罚款。</w:t>
            </w:r>
          </w:p>
        </w:tc>
        <w:tc>
          <w:tcPr>
            <w:tcW w:w="5784" w:type="dxa"/>
            <w:gridSpan w:val="3"/>
            <w:noWrap w:val="0"/>
            <w:vAlign w:val="center"/>
          </w:tcPr>
          <w:p>
            <w:pPr>
              <w:pStyle w:val="2"/>
              <w:spacing w:after="0" w:line="210"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10" w:lineRule="exact"/>
              <w:rPr>
                <w:rFonts w:ascii="宋体" w:hAnsi="宋体" w:eastAsia="宋体" w:cs="仿宋_GB2312"/>
                <w:sz w:val="15"/>
                <w:szCs w:val="15"/>
              </w:rPr>
            </w:pPr>
          </w:p>
        </w:tc>
        <w:tc>
          <w:tcPr>
            <w:tcW w:w="1208" w:type="dxa"/>
            <w:gridSpan w:val="2"/>
            <w:noWrap w:val="0"/>
            <w:vAlign w:val="center"/>
          </w:tcPr>
          <w:p>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5" w:hRule="atLeast"/>
        </w:trPr>
        <w:tc>
          <w:tcPr>
            <w:tcW w:w="14329" w:type="dxa"/>
            <w:gridSpan w:val="15"/>
            <w:noWrap w:val="0"/>
            <w:vAlign w:val="center"/>
          </w:tcPr>
          <w:p>
            <w:pPr>
              <w:pStyle w:val="4"/>
              <w:bidi w:val="0"/>
              <w:rPr>
                <w:rFonts w:ascii="宋体" w:hAnsi="宋体" w:eastAsia="宋体"/>
                <w:szCs w:val="15"/>
              </w:rPr>
            </w:pPr>
            <w:bookmarkStart w:id="207" w:name="_Toc473764242"/>
            <w:bookmarkStart w:id="208" w:name="_Toc1290044525"/>
            <w:bookmarkStart w:id="209" w:name="_Toc1689508188"/>
            <w:bookmarkStart w:id="210" w:name="_Toc110851504"/>
            <w:r>
              <w:rPr>
                <w:rFonts w:hint="eastAsia"/>
                <w:sz w:val="21"/>
                <w:szCs w:val="21"/>
              </w:rPr>
              <w:t>农业农村管理方面1项</w:t>
            </w:r>
            <w:bookmarkEnd w:id="207"/>
            <w:bookmarkEnd w:id="208"/>
            <w:bookmarkEnd w:id="209"/>
            <w:bookmarkEnd w:id="2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noWrap w:val="0"/>
            <w:vAlign w:val="center"/>
          </w:tcPr>
          <w:p>
            <w:pPr>
              <w:spacing w:line="210" w:lineRule="exact"/>
              <w:rPr>
                <w:rFonts w:ascii="宋体" w:hAnsi="宋体" w:eastAsia="宋体"/>
                <w:kern w:val="0"/>
                <w:sz w:val="15"/>
                <w:szCs w:val="15"/>
              </w:rPr>
            </w:pPr>
            <w:r>
              <w:rPr>
                <w:rFonts w:hint="eastAsia" w:ascii="宋体" w:hAnsi="宋体" w:eastAsia="宋体"/>
                <w:sz w:val="15"/>
                <w:szCs w:val="15"/>
              </w:rPr>
              <w:t>在增殖放流水域垂钓</w:t>
            </w:r>
          </w:p>
        </w:tc>
        <w:tc>
          <w:tcPr>
            <w:tcW w:w="2789" w:type="dxa"/>
            <w:gridSpan w:val="2"/>
            <w:noWrap w:val="0"/>
            <w:vAlign w:val="center"/>
          </w:tcPr>
          <w:p>
            <w:pPr>
              <w:spacing w:line="210" w:lineRule="exact"/>
              <w:rPr>
                <w:rFonts w:ascii="宋体" w:hAnsi="宋体" w:eastAsia="宋体"/>
                <w:sz w:val="15"/>
                <w:szCs w:val="15"/>
              </w:rPr>
            </w:pPr>
            <w:r>
              <w:rPr>
                <w:rFonts w:hint="eastAsia" w:ascii="宋体" w:hAnsi="宋体" w:eastAsia="宋体"/>
                <w:sz w:val="15"/>
                <w:szCs w:val="15"/>
              </w:rPr>
              <w:t>《北京市实施〈中华人民共和国渔业法〉办法》违反条款：第二十一条第一款第（七）项；处罚条款：第二十六条第一款第（五）项，责令停止违法行为，没收渔具，并可以处50元以上500元以下罚款。</w:t>
            </w:r>
          </w:p>
        </w:tc>
        <w:tc>
          <w:tcPr>
            <w:tcW w:w="5784" w:type="dxa"/>
            <w:gridSpan w:val="3"/>
            <w:noWrap w:val="0"/>
            <w:vAlign w:val="center"/>
          </w:tcPr>
          <w:p>
            <w:pPr>
              <w:pStyle w:val="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宋体"/>
                <w:color w:val="000000"/>
                <w:kern w:val="0"/>
                <w:sz w:val="15"/>
                <w:szCs w:val="15"/>
              </w:rPr>
              <w:t>责令停止违法行为，没收渔具，并可处50元以上500元以下罚款。</w:t>
            </w:r>
          </w:p>
        </w:tc>
        <w:tc>
          <w:tcPr>
            <w:tcW w:w="2108" w:type="dxa"/>
            <w:gridSpan w:val="4"/>
            <w:noWrap w:val="0"/>
            <w:vAlign w:val="center"/>
          </w:tcPr>
          <w:p>
            <w:pPr>
              <w:spacing w:line="210" w:lineRule="exact"/>
              <w:rPr>
                <w:rFonts w:ascii="宋体" w:hAnsi="宋体" w:eastAsia="宋体" w:cs="仿宋_GB2312"/>
                <w:sz w:val="15"/>
                <w:szCs w:val="15"/>
              </w:rPr>
            </w:pPr>
          </w:p>
        </w:tc>
        <w:tc>
          <w:tcPr>
            <w:tcW w:w="1208" w:type="dxa"/>
            <w:gridSpan w:val="2"/>
            <w:noWrap w:val="0"/>
            <w:vAlign w:val="center"/>
          </w:tcPr>
          <w:p>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7" w:hRule="atLeast"/>
        </w:trPr>
        <w:tc>
          <w:tcPr>
            <w:tcW w:w="14329" w:type="dxa"/>
            <w:gridSpan w:val="15"/>
            <w:noWrap w:val="0"/>
            <w:vAlign w:val="center"/>
          </w:tcPr>
          <w:p>
            <w:pPr>
              <w:pStyle w:val="4"/>
              <w:bidi w:val="0"/>
              <w:rPr>
                <w:rFonts w:hint="eastAsia"/>
                <w:sz w:val="21"/>
                <w:szCs w:val="21"/>
              </w:rPr>
            </w:pPr>
            <w:bookmarkStart w:id="211" w:name="_Toc589852508"/>
            <w:bookmarkStart w:id="212" w:name="_Toc2011773058"/>
            <w:bookmarkStart w:id="213" w:name="_Toc110851505"/>
            <w:bookmarkStart w:id="214" w:name="_Toc1319776395"/>
            <w:r>
              <w:rPr>
                <w:rFonts w:hint="eastAsia"/>
                <w:sz w:val="21"/>
                <w:szCs w:val="21"/>
              </w:rPr>
              <w:t>卫生健康管理方面12项</w:t>
            </w:r>
            <w:bookmarkEnd w:id="211"/>
            <w:bookmarkEnd w:id="212"/>
            <w:bookmarkEnd w:id="213"/>
            <w:bookmarkEnd w:id="214"/>
          </w:p>
          <w:p>
            <w:pPr>
              <w:rPr>
                <w:rFonts w:hint="eastAsia"/>
              </w:rPr>
            </w:pPr>
          </w:p>
          <w:p>
            <w:pPr>
              <w:rPr>
                <w:rFonts w:hint="eastAsia" w:eastAsia="宋体"/>
                <w:lang w:eastAsia="zh-CN"/>
              </w:rPr>
            </w:pPr>
            <w:r>
              <w:rPr>
                <w:rFonts w:hint="eastAsia" w:ascii="宋体" w:hAnsi="宋体"/>
                <w:sz w:val="15"/>
                <w:szCs w:val="15"/>
                <w:lang w:eastAsia="zh-CN"/>
              </w:rPr>
              <w:t>《北京市卫生健康委员会关于印发北京市卫生健康行政处罚裁量细则（2023年1月修订）的通知》（京卫监督〔2023〕1号）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noWrap w:val="0"/>
            <w:vAlign w:val="center"/>
          </w:tcPr>
          <w:p>
            <w:pPr>
              <w:spacing w:line="210" w:lineRule="exact"/>
              <w:rPr>
                <w:rFonts w:ascii="宋体" w:hAnsi="宋体" w:eastAsia="宋体"/>
                <w:kern w:val="0"/>
                <w:sz w:val="15"/>
                <w:szCs w:val="15"/>
              </w:rPr>
            </w:pPr>
            <w:r>
              <w:rPr>
                <w:rFonts w:hint="eastAsia" w:ascii="宋体" w:hAnsi="宋体" w:eastAsia="宋体"/>
                <w:sz w:val="15"/>
                <w:szCs w:val="15"/>
              </w:rPr>
              <w:t>未按规定采取清除鼠迹、堵塞鼠洞、添设防范设施等措施及毒杀、诱捕等方法消灭老鼠，使鼠密度等指标符合国家控制标准</w:t>
            </w:r>
          </w:p>
        </w:tc>
        <w:tc>
          <w:tcPr>
            <w:tcW w:w="2789" w:type="dxa"/>
            <w:gridSpan w:val="2"/>
            <w:noWrap w:val="0"/>
            <w:vAlign w:val="center"/>
          </w:tcPr>
          <w:p>
            <w:pPr>
              <w:spacing w:line="210" w:lineRule="exact"/>
              <w:rPr>
                <w:rFonts w:ascii="宋体" w:hAnsi="宋体" w:eastAsia="宋体"/>
                <w:sz w:val="15"/>
                <w:szCs w:val="15"/>
              </w:rPr>
            </w:pPr>
            <w:r>
              <w:rPr>
                <w:rFonts w:hint="eastAsia" w:ascii="宋体" w:hAnsi="宋体" w:eastAsia="宋体"/>
                <w:sz w:val="15"/>
                <w:szCs w:val="15"/>
              </w:rPr>
              <w:t>《北京市除四害工作管理规定》违反条款：第八条；处罚条款：第十六条第（一）项，予以警告，责令限期改正，并可处以20元以上500元以下罚款；情节严重的，处以500元以上1000元以下罚款。</w:t>
            </w:r>
          </w:p>
        </w:tc>
        <w:tc>
          <w:tcPr>
            <w:tcW w:w="5784" w:type="dxa"/>
            <w:gridSpan w:val="3"/>
            <w:noWrap w:val="0"/>
            <w:vAlign w:val="center"/>
          </w:tcPr>
          <w:p>
            <w:pPr>
              <w:pStyle w:val="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pPr>
              <w:pStyle w:val="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noWrap w:val="0"/>
            <w:vAlign w:val="center"/>
          </w:tcPr>
          <w:p>
            <w:pPr>
              <w:spacing w:line="210" w:lineRule="exact"/>
              <w:rPr>
                <w:rFonts w:ascii="宋体" w:hAnsi="宋体" w:eastAsia="宋体" w:cs="仿宋_GB2312"/>
                <w:sz w:val="15"/>
                <w:szCs w:val="15"/>
              </w:rPr>
            </w:pPr>
          </w:p>
        </w:tc>
        <w:tc>
          <w:tcPr>
            <w:tcW w:w="1208" w:type="dxa"/>
            <w:gridSpan w:val="2"/>
            <w:noWrap w:val="0"/>
            <w:vAlign w:val="center"/>
          </w:tcPr>
          <w:p>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未按规定清除蚊蝇孳生地并运用化学、物理、生物等方法消灭蚊蝇及其幼虫，使蚊蝇密度等指标符合国家控制标准</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九条第（一）项、第（二）项、第（三）项；处罚条款：第十六条第（一）项，予以警告，责令限期改正，并可处以20元以上500元以下罚款；情节严重的，处以500元以上1000元以下罚款。</w:t>
            </w:r>
          </w:p>
        </w:tc>
        <w:tc>
          <w:tcPr>
            <w:tcW w:w="5784" w:type="dxa"/>
            <w:gridSpan w:val="3"/>
            <w:noWrap w:val="0"/>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3</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发现蟑螂未按规定及时采取灭杀措施，使蟑螂密度等指标符合国家控制标准</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《北京市除四害工作管理规定》违反条款：第十条；处罚条款：第十六条第（一）项，予以警告，责令限期改正，并可处以20元以上500元以下罚款；情节严重的，处以500元以上1000元以下罚款。</w:t>
            </w:r>
          </w:p>
        </w:tc>
        <w:tc>
          <w:tcPr>
            <w:tcW w:w="5784" w:type="dxa"/>
            <w:gridSpan w:val="3"/>
            <w:noWrap w:val="0"/>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4</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未按规定配置四害防治设施或者无人负责除四害工作</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《北京市除四害工作管理规定》违反条款：第十一条；处罚条款：第十六条第（二）项，予以警告，责令限期改正，并可处以20元以上1000元以下罚款。</w:t>
            </w:r>
          </w:p>
        </w:tc>
        <w:tc>
          <w:tcPr>
            <w:tcW w:w="5784" w:type="dxa"/>
            <w:gridSpan w:val="3"/>
            <w:noWrap w:val="0"/>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未造成严重后果的，情节严重的，警告，处以500元以上（不含）1000元以下（含）罚款。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2"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5</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未按规定采取统一的除四害措施</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《北京市除四害工作管理规定》违反条款：第十二条；处罚条款：第十六条第（三）项，给予警告，责令限期改正；逾期不改正的，可处以20元以上1000元以下罚款。</w:t>
            </w:r>
          </w:p>
        </w:tc>
        <w:tc>
          <w:tcPr>
            <w:tcW w:w="5784" w:type="dxa"/>
            <w:gridSpan w:val="3"/>
            <w:noWrap w:val="0"/>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未造成严重后果的，情节轻微，处以20元以上（含）500元以下（含）罚款；</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未造成严重后果的，情节严重的，处以500元以上（不含）1000元以下（含）罚款。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21"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6</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未建立禁止吸烟管理制度，做好宣传教育工作且拒不改正</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《北京市控制吸烟条例》违反条款：第十三条第一款第（一）项；处罚条款：第二十四条第（一）项，责令限期改正;拒不改正的，处2000元以上5000元以下罚款。</w:t>
            </w:r>
          </w:p>
        </w:tc>
        <w:tc>
          <w:tcPr>
            <w:tcW w:w="5784" w:type="dxa"/>
            <w:gridSpan w:val="3"/>
            <w:noWrap w:val="0"/>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此违法行为不划分裁量阶次，处2000元以上（含）5000元以下（含）罚款。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1"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7</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未在禁止吸烟场所设置明显的禁止吸烟标志和举报投诉电话号码标识且拒不改正</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《北京市控制吸烟条例》违反条款：第十三条第一款第（二）项；处罚条款：第二十四条第（一）项，责令限期改正;拒不改正的，处2000元以上5000元以下罚款。</w:t>
            </w:r>
          </w:p>
        </w:tc>
        <w:tc>
          <w:tcPr>
            <w:tcW w:w="5784" w:type="dxa"/>
            <w:gridSpan w:val="3"/>
            <w:noWrap w:val="0"/>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此违法行为不划分裁量阶次，处2000元以上（含）5000元以下（含）罚款。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8</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在禁止吸烟场所提供烟具和附有烟草广告的物品且拒不改正</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《北京市控制吸烟条例》违反条款：第十三条第一款第（三）项；处罚条款：第二十四条第（一）项，责令限期改正;拒不改正的，处2000元以上5000元以下罚款。</w:t>
            </w:r>
          </w:p>
        </w:tc>
        <w:tc>
          <w:tcPr>
            <w:tcW w:w="5784" w:type="dxa"/>
            <w:gridSpan w:val="3"/>
            <w:noWrap w:val="0"/>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此违法行为不划分裁量阶次，处2000元以上（含）5000元以下（含）罚款。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9</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未开展禁止吸烟检查工作，制作并留存禁止吸烟检查工作相关记录且拒不改正</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《北京市控制吸烟条例》违反条款：第十三条第一款第（四）项；处罚条款：第二十四条第（一）项，责令限期改正;拒不改正的，处2000元以上5000元以下罚款。</w:t>
            </w:r>
          </w:p>
        </w:tc>
        <w:tc>
          <w:tcPr>
            <w:tcW w:w="5784" w:type="dxa"/>
            <w:gridSpan w:val="3"/>
            <w:noWrap w:val="0"/>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此违法行为不划分裁量阶次，处2000元以上（含）5000元以下（含）罚款。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10</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在禁止吸烟场所内的吸烟者未予以劝阻，对不听劝阻的吸烟者未要求其离开，对不听劝阻且不离开的吸烟者未投诉举报</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《北京市控制吸烟条例》违反条款：第十三条第一款第（五）项；处罚条款：第二十四条第（二）项，给予警告，并处5000元以上1万元以下罚款。</w:t>
            </w:r>
          </w:p>
        </w:tc>
        <w:tc>
          <w:tcPr>
            <w:tcW w:w="5784" w:type="dxa"/>
            <w:gridSpan w:val="3"/>
            <w:noWrap w:val="0"/>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场所内吸烟者有1人的，警告，并处5000元罚款；</w:t>
            </w:r>
          </w:p>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场所内吸烟者有2-5人的，警告，并处5000元以上（不含）8000元以下（含）罚款；</w:t>
            </w:r>
          </w:p>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场所内吸烟者有5人以上的，警告，并处8000元以上（不含）1万元以下（含）罚款。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11</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在其他禁止吸烟场所或者排队等候队伍中吸烟</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《北京市控制吸烟条例》违反条款：第十四条；处罚条款：第二十五条第一款，责令改正，可以处50元罚款;拒不改正的，处200元罚款。</w:t>
            </w:r>
          </w:p>
        </w:tc>
        <w:tc>
          <w:tcPr>
            <w:tcW w:w="5784" w:type="dxa"/>
            <w:gridSpan w:val="3"/>
            <w:noWrap w:val="0"/>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在禁止吸烟场所或者排队等候队伍中吸烟，处50元罚款；</w:t>
            </w:r>
          </w:p>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在禁止吸烟场所或者排队等候队伍中吸烟，拒不改正，处200元罚款。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12</w:t>
            </w:r>
          </w:p>
        </w:tc>
        <w:tc>
          <w:tcPr>
            <w:tcW w:w="1500" w:type="dxa"/>
            <w:gridSpan w:val="2"/>
            <w:noWrap w:val="0"/>
            <w:vAlign w:val="center"/>
          </w:tcPr>
          <w:p>
            <w:pPr>
              <w:spacing w:line="232" w:lineRule="exact"/>
              <w:rPr>
                <w:rFonts w:ascii="宋体" w:hAnsi="宋体" w:eastAsia="宋体"/>
                <w:color w:val="000000"/>
                <w:sz w:val="15"/>
                <w:szCs w:val="15"/>
              </w:rPr>
            </w:pPr>
            <w:r>
              <w:rPr>
                <w:rFonts w:hint="eastAsia" w:ascii="宋体" w:hAnsi="宋体" w:eastAsia="宋体"/>
                <w:color w:val="000000"/>
                <w:sz w:val="15"/>
                <w:szCs w:val="15"/>
              </w:rPr>
              <w:t>在幼儿园、中小学校、少年宫、儿童福利机构等以未成年人为主要活动人群的场所吸烟</w:t>
            </w:r>
          </w:p>
        </w:tc>
        <w:tc>
          <w:tcPr>
            <w:tcW w:w="2789" w:type="dxa"/>
            <w:gridSpan w:val="2"/>
            <w:noWrap w:val="0"/>
            <w:vAlign w:val="center"/>
          </w:tcPr>
          <w:p>
            <w:pPr>
              <w:spacing w:line="232" w:lineRule="exact"/>
              <w:rPr>
                <w:rFonts w:ascii="宋体" w:hAnsi="宋体" w:eastAsia="宋体"/>
                <w:color w:val="000000"/>
                <w:sz w:val="15"/>
                <w:szCs w:val="15"/>
              </w:rPr>
            </w:pPr>
            <w:r>
              <w:rPr>
                <w:rFonts w:hint="eastAsia" w:ascii="宋体" w:hAnsi="宋体" w:eastAsia="宋体"/>
                <w:color w:val="000000"/>
                <w:sz w:val="15"/>
                <w:szCs w:val="15"/>
              </w:rPr>
              <w:t>《北京市控制吸烟条例》违反条款：第十四条；处罚条款：第二十五条第一款，责令改正，给予警告，可以并处200元以上500以下罚款。</w:t>
            </w:r>
          </w:p>
        </w:tc>
        <w:tc>
          <w:tcPr>
            <w:tcW w:w="5784" w:type="dxa"/>
            <w:gridSpan w:val="3"/>
            <w:noWrap w:val="0"/>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警告，可以并处200元以上（含）500元以下（含）罚款。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9" w:hRule="atLeast"/>
        </w:trPr>
        <w:tc>
          <w:tcPr>
            <w:tcW w:w="14329" w:type="dxa"/>
            <w:gridSpan w:val="15"/>
            <w:noWrap w:val="0"/>
            <w:vAlign w:val="center"/>
          </w:tcPr>
          <w:p>
            <w:pPr>
              <w:pStyle w:val="4"/>
              <w:bidi w:val="0"/>
              <w:rPr>
                <w:rFonts w:hint="default" w:ascii="宋体" w:hAnsi="宋体" w:eastAsia="宋体" w:cs="Times New Roman"/>
                <w:b/>
                <w:bCs/>
                <w:color w:val="000000"/>
                <w:kern w:val="44"/>
                <w:szCs w:val="15"/>
                <w:lang w:val="en-US" w:eastAsia="zh-CN" w:bidi="ar-SA"/>
              </w:rPr>
            </w:pPr>
            <w:bookmarkStart w:id="215" w:name="_Toc712121569"/>
            <w:bookmarkStart w:id="216" w:name="_Toc979026322"/>
            <w:r>
              <w:rPr>
                <w:rFonts w:hint="eastAsia"/>
                <w:b/>
                <w:bCs/>
                <w:sz w:val="21"/>
                <w:szCs w:val="21"/>
                <w:lang w:eastAsia="zh-CN"/>
              </w:rPr>
              <w:t>住建部门</w:t>
            </w:r>
            <w:r>
              <w:rPr>
                <w:rFonts w:hint="eastAsia"/>
                <w:b/>
                <w:bCs/>
                <w:sz w:val="21"/>
                <w:szCs w:val="21"/>
                <w:lang w:val="en-US" w:eastAsia="zh-CN"/>
              </w:rPr>
              <w:t>3项</w:t>
            </w:r>
            <w:bookmarkEnd w:id="2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14329" w:type="dxa"/>
            <w:gridSpan w:val="15"/>
            <w:noWrap w:val="0"/>
            <w:vAlign w:val="center"/>
          </w:tcPr>
          <w:p>
            <w:pPr>
              <w:autoSpaceDE w:val="0"/>
              <w:autoSpaceDN w:val="0"/>
              <w:adjustRightInd w:val="0"/>
              <w:spacing w:line="520" w:lineRule="exact"/>
              <w:jc w:val="center"/>
              <w:rPr>
                <w:rFonts w:hint="default"/>
                <w:b/>
                <w:bCs/>
                <w:sz w:val="21"/>
                <w:szCs w:val="21"/>
                <w:lang w:val="en-US" w:eastAsia="zh-CN"/>
              </w:rPr>
            </w:pPr>
            <w:r>
              <w:rPr>
                <w:rFonts w:hint="eastAsia"/>
                <w:b/>
                <w:bCs/>
                <w:sz w:val="21"/>
                <w:szCs w:val="21"/>
                <w:lang w:eastAsia="zh-CN"/>
              </w:rPr>
              <w:t>《北京市物业管理条例案由》</w:t>
            </w:r>
            <w:r>
              <w:rPr>
                <w:rFonts w:hint="eastAsia"/>
                <w:b/>
                <w:bCs/>
                <w:sz w:val="21"/>
                <w:szCs w:val="21"/>
                <w:lang w:val="en-US" w:eastAsia="zh-CN"/>
              </w:rPr>
              <w:t>2项</w:t>
            </w:r>
          </w:p>
          <w:p>
            <w:pPr>
              <w:autoSpaceDE w:val="0"/>
              <w:autoSpaceDN w:val="0"/>
              <w:adjustRightInd w:val="0"/>
              <w:spacing w:line="520" w:lineRule="exact"/>
              <w:jc w:val="center"/>
              <w:rPr>
                <w:rFonts w:hint="eastAsia"/>
                <w:sz w:val="21"/>
                <w:szCs w:val="21"/>
                <w:lang w:eastAsia="zh-CN"/>
              </w:rPr>
            </w:pPr>
            <w:r>
              <w:rPr>
                <w:rFonts w:hint="eastAsia"/>
                <w:sz w:val="21"/>
                <w:szCs w:val="21"/>
                <w:lang w:eastAsia="zh-CN"/>
              </w:rPr>
              <w:t>《北京市住房和城乡建设委员会关于调整</w:t>
            </w:r>
            <w:r>
              <w:rPr>
                <w:rFonts w:hint="default"/>
                <w:sz w:val="21"/>
                <w:szCs w:val="21"/>
                <w:lang w:val="en-US" w:eastAsia="zh-CN"/>
              </w:rPr>
              <w:t>&lt;</w:t>
            </w:r>
            <w:r>
              <w:rPr>
                <w:rFonts w:hint="eastAsia"/>
                <w:sz w:val="21"/>
                <w:szCs w:val="21"/>
                <w:lang w:eastAsia="zh-CN"/>
              </w:rPr>
              <w:t>北京市住房城乡建设系统行政处罚裁量基准</w:t>
            </w:r>
            <w:r>
              <w:rPr>
                <w:rFonts w:hint="default"/>
                <w:sz w:val="21"/>
                <w:szCs w:val="21"/>
                <w:lang w:val="en-US" w:eastAsia="zh-CN"/>
              </w:rPr>
              <w:t>&gt;</w:t>
            </w:r>
            <w:r>
              <w:rPr>
                <w:rFonts w:hint="eastAsia"/>
                <w:sz w:val="21"/>
                <w:szCs w:val="21"/>
                <w:lang w:eastAsia="zh-CN"/>
              </w:rPr>
              <w:t>部分条款的通知》（</w:t>
            </w:r>
            <w:r>
              <w:rPr>
                <w:rFonts w:hint="eastAsia" w:ascii="仿宋_GB2312" w:eastAsia="仿宋_GB2312" w:cs="楷体_GB2312"/>
                <w:sz w:val="21"/>
                <w:szCs w:val="21"/>
                <w:lang w:val="zh-CN"/>
              </w:rPr>
              <w:t>京建法〔202</w:t>
            </w:r>
            <w:r>
              <w:rPr>
                <w:rFonts w:hint="eastAsia" w:ascii="仿宋_GB2312" w:eastAsia="仿宋_GB2312" w:cs="楷体_GB2312"/>
                <w:sz w:val="21"/>
                <w:szCs w:val="21"/>
                <w:lang w:val="en-US" w:eastAsia="zh-CN"/>
              </w:rPr>
              <w:t>3</w:t>
            </w:r>
            <w:r>
              <w:rPr>
                <w:rFonts w:hint="eastAsia" w:ascii="仿宋_GB2312" w:eastAsia="仿宋_GB2312" w:cs="楷体_GB2312"/>
                <w:sz w:val="21"/>
                <w:szCs w:val="21"/>
                <w:lang w:val="zh-CN"/>
              </w:rPr>
              <w:t>〕</w:t>
            </w:r>
            <w:r>
              <w:rPr>
                <w:rFonts w:hint="eastAsia" w:ascii="仿宋_GB2312" w:eastAsia="仿宋_GB2312" w:cs="楷体_GB2312"/>
                <w:sz w:val="21"/>
                <w:szCs w:val="21"/>
                <w:lang w:val="en-US" w:eastAsia="zh-CN"/>
              </w:rPr>
              <w:t>5</w:t>
            </w:r>
            <w:r>
              <w:rPr>
                <w:rFonts w:hint="eastAsia" w:ascii="仿宋_GB2312" w:eastAsia="仿宋_GB2312" w:cs="楷体_GB2312"/>
                <w:sz w:val="21"/>
                <w:szCs w:val="21"/>
                <w:lang w:val="zh-CN"/>
              </w:rPr>
              <w:t>号</w:t>
            </w:r>
            <w:r>
              <w:rPr>
                <w:rFonts w:hint="eastAsia"/>
                <w:sz w:val="21"/>
                <w:szCs w:val="21"/>
                <w:lang w:eastAsia="zh-CN"/>
              </w:rPr>
              <w:t>）</w:t>
            </w:r>
          </w:p>
          <w:p>
            <w:pPr>
              <w:autoSpaceDE w:val="0"/>
              <w:autoSpaceDN w:val="0"/>
              <w:adjustRightInd w:val="0"/>
              <w:spacing w:line="520" w:lineRule="exact"/>
              <w:jc w:val="center"/>
              <w:rPr>
                <w:rFonts w:hint="eastAsia"/>
                <w:sz w:val="21"/>
                <w:szCs w:val="21"/>
                <w:lang w:val="en-US" w:eastAsia="zh-CN"/>
              </w:rPr>
            </w:pPr>
          </w:p>
        </w:tc>
      </w:tr>
      <w:bookmarkEnd w:id="216"/>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49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bookmarkStart w:id="217" w:name="_Toc1056450575"/>
            <w:r>
              <w:rPr>
                <w:rFonts w:hint="eastAsia" w:ascii="宋体" w:hAnsi="宋体" w:eastAsia="宋体" w:cs="宋体"/>
                <w:i w:val="0"/>
                <w:color w:val="000000"/>
                <w:kern w:val="0"/>
                <w:sz w:val="15"/>
                <w:szCs w:val="15"/>
                <w:u w:val="none"/>
                <w:lang w:val="en-US" w:eastAsia="zh-CN" w:bidi="ar"/>
              </w:rPr>
              <w:t>37</w:t>
            </w:r>
          </w:p>
        </w:tc>
        <w:tc>
          <w:tcPr>
            <w:tcW w:w="93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w:t>
            </w:r>
          </w:p>
        </w:tc>
        <w:tc>
          <w:tcPr>
            <w:tcW w:w="17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物业服务人未按规定将物业服务合同报街道办事处、乡镇人民政府、区住房和城乡建设或者房屋主管部门备案</w:t>
            </w:r>
          </w:p>
        </w:tc>
        <w:tc>
          <w:tcPr>
            <w:tcW w:w="2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《北京市物业管理条例》违反条款：第六十三条第三款；</w:t>
            </w:r>
          </w:p>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处罚条款：第九十一条，责令限期改正，给予警告；逾期不改的，处五千元以上一万元以下的罚款。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责令7日内改正，警告</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restart"/>
            <w:tcBorders>
              <w:top w:val="single" w:color="000000" w:sz="4" w:space="0"/>
              <w:left w:val="single" w:color="auto" w:sz="4" w:space="0"/>
              <w:right w:val="single" w:color="000000" w:sz="4" w:space="0"/>
            </w:tcBorders>
            <w:shd w:val="clear" w:color="auto" w:fill="auto"/>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olor w:val="000000"/>
                <w:sz w:val="15"/>
                <w:szCs w:val="15"/>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责令改正限期内改正违法行为（违法行为轻微并及时纠正，没有造成危害后果）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C1620300B010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责令期满后7日内改正违法行为的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处5000元以上7500元以下罚款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1"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C1620300B020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责令期满后7日以上改正违法行为或违法情节严重的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处7500元以上10000元以下罚款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1060" w:type="dxa"/>
            <w:vMerge w:val="continue"/>
            <w:tcBorders>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49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38</w:t>
            </w:r>
          </w:p>
        </w:tc>
        <w:tc>
          <w:tcPr>
            <w:tcW w:w="93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w:t>
            </w:r>
          </w:p>
        </w:tc>
        <w:tc>
          <w:tcPr>
            <w:tcW w:w="17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物业服务企业项目负责人未按时报到</w:t>
            </w:r>
          </w:p>
        </w:tc>
        <w:tc>
          <w:tcPr>
            <w:tcW w:w="2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《北京市物业管理条例》</w:t>
            </w:r>
            <w:r>
              <w:rPr>
                <w:rFonts w:hint="eastAsia" w:ascii="宋体" w:hAnsi="宋体" w:cs="宋体"/>
                <w:i w:val="0"/>
                <w:color w:val="000000"/>
                <w:kern w:val="0"/>
                <w:sz w:val="15"/>
                <w:szCs w:val="15"/>
                <w:u w:val="none"/>
                <w:lang w:val="en-US" w:eastAsia="zh-CN" w:bidi="ar"/>
              </w:rPr>
              <w:t>违反条款：</w:t>
            </w:r>
            <w:r>
              <w:rPr>
                <w:rFonts w:hint="eastAsia" w:ascii="宋体" w:hAnsi="宋体" w:eastAsia="宋体" w:cs="宋体"/>
                <w:i w:val="0"/>
                <w:color w:val="000000"/>
                <w:kern w:val="0"/>
                <w:sz w:val="15"/>
                <w:szCs w:val="15"/>
                <w:u w:val="none"/>
                <w:lang w:val="en-US" w:eastAsia="zh-CN" w:bidi="ar"/>
              </w:rPr>
              <w:t>第六十六条</w:t>
            </w:r>
            <w:r>
              <w:rPr>
                <w:rFonts w:hint="eastAsia" w:ascii="宋体" w:hAnsi="宋体" w:cs="宋体"/>
                <w:i w:val="0"/>
                <w:color w:val="000000"/>
                <w:kern w:val="0"/>
                <w:sz w:val="15"/>
                <w:szCs w:val="15"/>
                <w:u w:val="none"/>
                <w:lang w:val="en-US" w:eastAsia="zh-CN" w:bidi="ar"/>
              </w:rPr>
              <w:t>；处罚条款：</w:t>
            </w:r>
            <w:r>
              <w:rPr>
                <w:rFonts w:hint="eastAsia" w:ascii="宋体" w:hAnsi="宋体" w:eastAsia="宋体" w:cs="宋体"/>
                <w:i w:val="0"/>
                <w:color w:val="000000"/>
                <w:kern w:val="0"/>
                <w:sz w:val="15"/>
                <w:szCs w:val="15"/>
                <w:u w:val="none"/>
                <w:lang w:val="en-US" w:eastAsia="zh-CN" w:bidi="ar"/>
              </w:rPr>
              <w:t>第九十三条，责令限期改正；逾期不改的，处五千元以上一万元以下的罚款。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责令7日内改正</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restart"/>
            <w:tcBorders>
              <w:top w:val="single" w:color="000000" w:sz="4" w:space="0"/>
              <w:left w:val="single" w:color="auto" w:sz="4" w:space="0"/>
              <w:right w:val="single" w:color="000000" w:sz="4" w:space="0"/>
            </w:tcBorders>
            <w:shd w:val="clear" w:color="auto" w:fill="auto"/>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olor w:val="000000"/>
                <w:sz w:val="15"/>
                <w:szCs w:val="15"/>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责令改正限期内改正违法行为（违法行为轻微并及时纠正，没有造成危害后果）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C1674800B010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责令期满后7日内改正违法行为的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处5000元以上7500元以下罚款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4"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C1674800B020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责令期满后7日以上改正违法行为或违法情节严重的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处7500元以上10000元以下罚款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1060" w:type="dxa"/>
            <w:vMerge w:val="continue"/>
            <w:tcBorders>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329"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bidi w:val="0"/>
              <w:jc w:val="center"/>
              <w:rPr>
                <w:rFonts w:hint="eastAsia"/>
                <w:b/>
                <w:bCs/>
                <w:lang w:val="en-US" w:eastAsia="zh-CN"/>
              </w:rPr>
            </w:pPr>
            <w:r>
              <w:rPr>
                <w:rFonts w:hint="eastAsia"/>
                <w:b/>
                <w:bCs/>
                <w:lang w:eastAsia="zh-CN"/>
              </w:rPr>
              <w:t>《北京市住房租赁条例》案由</w:t>
            </w:r>
            <w:r>
              <w:rPr>
                <w:rFonts w:hint="eastAsia"/>
                <w:b/>
                <w:bCs/>
                <w:lang w:val="en-US" w:eastAsia="zh-CN"/>
              </w:rPr>
              <w:t>1项</w:t>
            </w:r>
          </w:p>
          <w:p>
            <w:pPr>
              <w:jc w:val="center"/>
              <w:rPr>
                <w:rFonts w:hint="eastAsia" w:asciiTheme="minorEastAsia" w:hAnsiTheme="minorEastAsia" w:eastAsiaTheme="minorEastAsia" w:cstheme="minorEastAsia"/>
                <w:sz w:val="21"/>
                <w:szCs w:val="21"/>
                <w:lang w:val="en-US" w:eastAsia="zh-CN"/>
              </w:rPr>
            </w:pPr>
          </w:p>
          <w:p>
            <w:pPr>
              <w:jc w:val="left"/>
              <w:rPr>
                <w:rFonts w:hint="eastAsia"/>
                <w:sz w:val="15"/>
                <w:szCs w:val="15"/>
                <w:lang w:val="en-US" w:eastAsia="zh-CN"/>
              </w:rPr>
            </w:pPr>
            <w:r>
              <w:rPr>
                <w:rFonts w:hint="eastAsia"/>
                <w:sz w:val="15"/>
                <w:szCs w:val="15"/>
                <w:lang w:val="en-US" w:eastAsia="zh-CN"/>
              </w:rPr>
              <w:t>《北京市住房和城乡建设委员会关于印发</w:t>
            </w:r>
            <w:r>
              <w:rPr>
                <w:rFonts w:hint="default"/>
                <w:sz w:val="15"/>
                <w:szCs w:val="15"/>
                <w:lang w:val="en-US" w:eastAsia="zh-CN"/>
              </w:rPr>
              <w:t>&lt;</w:t>
            </w:r>
            <w:r>
              <w:rPr>
                <w:rFonts w:hint="eastAsia"/>
                <w:sz w:val="15"/>
                <w:szCs w:val="15"/>
                <w:lang w:val="en-US" w:eastAsia="zh-CN"/>
              </w:rPr>
              <w:t>北京市住房租赁条例</w:t>
            </w:r>
            <w:r>
              <w:rPr>
                <w:rFonts w:hint="default"/>
                <w:sz w:val="15"/>
                <w:szCs w:val="15"/>
                <w:lang w:val="en-US" w:eastAsia="zh-CN"/>
              </w:rPr>
              <w:t>&gt;</w:t>
            </w:r>
            <w:r>
              <w:rPr>
                <w:rFonts w:hint="eastAsia"/>
                <w:sz w:val="15"/>
                <w:szCs w:val="15"/>
                <w:lang w:val="en-US" w:eastAsia="zh-CN"/>
              </w:rPr>
              <w:t>行政处罚裁量基准的通知》（</w:t>
            </w:r>
            <w:r>
              <w:rPr>
                <w:rFonts w:ascii="微软雅黑" w:hAnsi="微软雅黑" w:eastAsia="微软雅黑" w:cs="微软雅黑"/>
                <w:i w:val="0"/>
                <w:iCs w:val="0"/>
                <w:caps w:val="0"/>
                <w:color w:val="333333"/>
                <w:spacing w:val="0"/>
                <w:sz w:val="14"/>
                <w:szCs w:val="14"/>
                <w:shd w:val="clear" w:fill="FFFFFF"/>
              </w:rPr>
              <w:t>京建法〔2022〕10号</w:t>
            </w:r>
            <w:r>
              <w:rPr>
                <w:rFonts w:hint="eastAsia"/>
                <w:sz w:val="15"/>
                <w:szCs w:val="15"/>
                <w:lang w:val="en-US" w:eastAsia="zh-CN"/>
              </w:rPr>
              <w:t>）</w:t>
            </w:r>
          </w:p>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15"/>
                <w:szCs w:val="15"/>
                <w:u w:val="none"/>
                <w:lang w:val="en-US" w:eastAsia="zh-CN" w:bidi="ar"/>
              </w:rPr>
            </w:pPr>
            <w:r>
              <w:rPr>
                <w:rFonts w:hint="default" w:ascii="宋体" w:hAnsi="宋体" w:cs="宋体"/>
                <w:i w:val="0"/>
                <w:color w:val="000000"/>
                <w:kern w:val="0"/>
                <w:sz w:val="15"/>
                <w:szCs w:val="15"/>
                <w:u w:val="none"/>
                <w:lang w:val="en-US" w:eastAsia="zh-CN" w:bidi="ar"/>
              </w:rPr>
              <w:t>1</w:t>
            </w:r>
          </w:p>
        </w:tc>
        <w:tc>
          <w:tcPr>
            <w:tcW w:w="930" w:type="dxa"/>
            <w:gridSpan w:val="2"/>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w:t>
            </w:r>
          </w:p>
        </w:tc>
        <w:tc>
          <w:tcPr>
            <w:tcW w:w="1707" w:type="dxa"/>
            <w:gridSpan w:val="2"/>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未按照规定出租住房</w:t>
            </w:r>
          </w:p>
        </w:tc>
        <w:tc>
          <w:tcPr>
            <w:tcW w:w="209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《北京市住房租赁条例》 违反条款：第十三条第一款第（三）项至第（五）项；处罚条款：第六十三条第三款，责令限期改正或者恢复原状，对个人可处二千元以上一万元以下罚款，对单位可处二万元以上十万元以下罚款；逾期不改的，改正前停止出租，对个人处一万元以上五万元以下罚款，对单位处十万元以上五十万元以下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责令改正</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restart"/>
            <w:tcBorders>
              <w:left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宋体" w:hAnsi="宋体" w:eastAsia="宋体" w:cs="宋体"/>
                <w:i w:val="0"/>
                <w:color w:val="000000"/>
                <w:kern w:val="0"/>
                <w:sz w:val="15"/>
                <w:szCs w:val="15"/>
                <w:u w:val="none"/>
                <w:lang w:val="en-US" w:eastAsia="zh-CN" w:bidi="ar"/>
              </w:rPr>
            </w:pPr>
            <w:r>
              <w:rPr>
                <w:rFonts w:hint="eastAsia" w:ascii="宋体" w:hAnsi="宋体" w:cs="宋体"/>
                <w:i w:val="0"/>
                <w:color w:val="000000"/>
                <w:kern w:val="0"/>
                <w:sz w:val="15"/>
                <w:szCs w:val="15"/>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在规定期限内改正，违法情节轻微</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对个人可处二千元以上四千元以下罚款，对单位可处二万元以上四万元以下罚款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6个月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在规定期限内改正，违法情节一般的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对个人可处四千元以上七千元以下罚款，对单位可处四万元以上七万元以下罚款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6个月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C1672300A030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对个人可处七千元以上一万元以下罚款，对单位可处七万元以上十万元以下罚款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C1672300A040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逾期3日内改正的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改正前停止出租，对个人处一万元以上二万元以下罚款，对单位处十万元以上二十万元以下罚款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C1672300A050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逾期3日以上7日以内的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改正前停止出租，对个人处二万元以上四万元以下罚款，对单位处二十万元以上四十万元以下罚款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C1672300A060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逾期7日以上或违法情节严重的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改正前停止出租，对个人处四万元以上五万元以下罚款，对单位处四十万元以上五十万元以下罚款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36个月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continue"/>
            <w:tcBorders>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bookmarkEnd w:id="217"/>
    </w:tbl>
    <w:p>
      <w:pPr>
        <w:pStyle w:val="10"/>
      </w:pPr>
    </w:p>
    <w:p>
      <w:pPr>
        <w:pStyle w:val="2"/>
        <w:rPr>
          <w:color w:val="auto"/>
          <w:highlight w:val="none"/>
        </w:rPr>
      </w:pPr>
    </w:p>
    <w:sectPr>
      <w:footerReference r:id="rId4" w:type="default"/>
      <w:pgSz w:w="16840" w:h="11850" w:orient="landscape"/>
      <w:pgMar w:top="1134" w:right="907" w:bottom="1134" w:left="907" w:header="851" w:footer="624" w:gutter="0"/>
      <w:pgNumType w:fmt="decimal" w:start="1"/>
      <w:cols w:space="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Batang">
    <w:panose1 w:val="02030600000101010101"/>
    <w:charset w:val="81"/>
    <w:family w:val="roman"/>
    <w:pitch w:val="default"/>
    <w:sig w:usb0="B00002AF" w:usb1="69D77CFB" w:usb2="00000030" w:usb3="00000000" w:csb0="4008009F" w:csb1="DFD70000"/>
  </w:font>
  <w:font w:name="Microsoft JhengHei">
    <w:panose1 w:val="020B0604030504040204"/>
    <w:charset w:val="88"/>
    <w:family w:val="swiss"/>
    <w:pitch w:val="default"/>
    <w:sig w:usb0="00000087" w:usb1="28AF4000" w:usb2="00000016" w:usb3="00000000" w:csb0="00100009"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DEF8A"/>
    <w:multiLevelType w:val="singleLevel"/>
    <w:tmpl w:val="85DDEF8A"/>
    <w:lvl w:ilvl="0" w:tentative="0">
      <w:start w:val="1"/>
      <w:numFmt w:val="decimal"/>
      <w:suff w:val="space"/>
      <w:lvlText w:val="%1."/>
      <w:lvlJc w:val="left"/>
    </w:lvl>
  </w:abstractNum>
  <w:abstractNum w:abstractNumId="1">
    <w:nsid w:val="B7F5427C"/>
    <w:multiLevelType w:val="singleLevel"/>
    <w:tmpl w:val="B7F5427C"/>
    <w:lvl w:ilvl="0" w:tentative="0">
      <w:start w:val="1"/>
      <w:numFmt w:val="decimal"/>
      <w:suff w:val="space"/>
      <w:lvlText w:val="%1."/>
      <w:lvlJc w:val="left"/>
    </w:lvl>
  </w:abstractNum>
  <w:abstractNum w:abstractNumId="2">
    <w:nsid w:val="BF0754D2"/>
    <w:multiLevelType w:val="singleLevel"/>
    <w:tmpl w:val="BF0754D2"/>
    <w:lvl w:ilvl="0" w:tentative="0">
      <w:start w:val="1"/>
      <w:numFmt w:val="decimal"/>
      <w:suff w:val="space"/>
      <w:lvlText w:val="%1."/>
      <w:lvlJc w:val="left"/>
    </w:lvl>
  </w:abstractNum>
  <w:abstractNum w:abstractNumId="3">
    <w:nsid w:val="DFDE10FF"/>
    <w:multiLevelType w:val="singleLevel"/>
    <w:tmpl w:val="DFDE10FF"/>
    <w:lvl w:ilvl="0" w:tentative="0">
      <w:start w:val="1"/>
      <w:numFmt w:val="decimal"/>
      <w:suff w:val="space"/>
      <w:lvlText w:val="%1."/>
      <w:lvlJc w:val="left"/>
    </w:lvl>
  </w:abstractNum>
  <w:abstractNum w:abstractNumId="4">
    <w:nsid w:val="EFFE277D"/>
    <w:multiLevelType w:val="singleLevel"/>
    <w:tmpl w:val="EFFE277D"/>
    <w:lvl w:ilvl="0" w:tentative="0">
      <w:start w:val="1"/>
      <w:numFmt w:val="decimal"/>
      <w:suff w:val="space"/>
      <w:lvlText w:val="%1."/>
      <w:lvlJc w:val="left"/>
    </w:lvl>
  </w:abstractNum>
  <w:abstractNum w:abstractNumId="5">
    <w:nsid w:val="FEDAE7DC"/>
    <w:multiLevelType w:val="singleLevel"/>
    <w:tmpl w:val="FEDAE7DC"/>
    <w:lvl w:ilvl="0" w:tentative="0">
      <w:start w:val="1"/>
      <w:numFmt w:val="decimal"/>
      <w:suff w:val="space"/>
      <w:lvlText w:val="%1."/>
      <w:lvlJc w:val="left"/>
    </w:lvl>
  </w:abstractNum>
  <w:abstractNum w:abstractNumId="6">
    <w:nsid w:val="6BEE3C38"/>
    <w:multiLevelType w:val="singleLevel"/>
    <w:tmpl w:val="6BEE3C38"/>
    <w:lvl w:ilvl="0" w:tentative="0">
      <w:start w:val="1"/>
      <w:numFmt w:val="decimal"/>
      <w:suff w:val="space"/>
      <w:lvlText w:val="%1."/>
      <w:lvlJc w:val="left"/>
    </w:lvl>
  </w:abstractNum>
  <w:num w:numId="1">
    <w:abstractNumId w:val="3"/>
  </w:num>
  <w:num w:numId="2">
    <w:abstractNumId w:val="4"/>
  </w:num>
  <w:num w:numId="3">
    <w:abstractNumId w:val="5"/>
  </w:num>
  <w:num w:numId="4">
    <w:abstractNumId w:val="6"/>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42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yZmRlNjE4MWQyYWU5Mzg4NzNjM2NhNzA3YTQzYTI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3F20BD"/>
    <w:rsid w:val="06E5FA60"/>
    <w:rsid w:val="09F64F97"/>
    <w:rsid w:val="0A0D460E"/>
    <w:rsid w:val="0AEF46DA"/>
    <w:rsid w:val="0B9F92F6"/>
    <w:rsid w:val="0BF216FD"/>
    <w:rsid w:val="0BFBDC50"/>
    <w:rsid w:val="0C14055E"/>
    <w:rsid w:val="0D2E5973"/>
    <w:rsid w:val="0DB203EF"/>
    <w:rsid w:val="0EA6FEA5"/>
    <w:rsid w:val="0EC7610D"/>
    <w:rsid w:val="0EEE2A65"/>
    <w:rsid w:val="0F260DF9"/>
    <w:rsid w:val="0FBFF7C9"/>
    <w:rsid w:val="0FC138D0"/>
    <w:rsid w:val="0FD550EB"/>
    <w:rsid w:val="0FEFC186"/>
    <w:rsid w:val="1126007C"/>
    <w:rsid w:val="11443462"/>
    <w:rsid w:val="11AE7893"/>
    <w:rsid w:val="11BB0CCA"/>
    <w:rsid w:val="12EF1C78"/>
    <w:rsid w:val="13391315"/>
    <w:rsid w:val="139F60FB"/>
    <w:rsid w:val="13EE4AF4"/>
    <w:rsid w:val="142313E0"/>
    <w:rsid w:val="15BFBDD0"/>
    <w:rsid w:val="15D74C1C"/>
    <w:rsid w:val="15F589D8"/>
    <w:rsid w:val="15FBD6F7"/>
    <w:rsid w:val="15FEFF7A"/>
    <w:rsid w:val="15FF6BF6"/>
    <w:rsid w:val="16AFC733"/>
    <w:rsid w:val="16BC7E7D"/>
    <w:rsid w:val="17515270"/>
    <w:rsid w:val="17746151"/>
    <w:rsid w:val="17893B6A"/>
    <w:rsid w:val="178B26DA"/>
    <w:rsid w:val="17CEEBA9"/>
    <w:rsid w:val="17FEE426"/>
    <w:rsid w:val="17FFDA05"/>
    <w:rsid w:val="19376D81"/>
    <w:rsid w:val="1ADCBA5F"/>
    <w:rsid w:val="1AFF4782"/>
    <w:rsid w:val="1B0BDA71"/>
    <w:rsid w:val="1B644773"/>
    <w:rsid w:val="1B7D324B"/>
    <w:rsid w:val="1BEF7657"/>
    <w:rsid w:val="1BF35E59"/>
    <w:rsid w:val="1BFE9E91"/>
    <w:rsid w:val="1C0F2D2D"/>
    <w:rsid w:val="1C4C4F36"/>
    <w:rsid w:val="1CDEA6F5"/>
    <w:rsid w:val="1CEDBEA8"/>
    <w:rsid w:val="1D56F24F"/>
    <w:rsid w:val="1D916302"/>
    <w:rsid w:val="1DF7C2DA"/>
    <w:rsid w:val="1E3C30A0"/>
    <w:rsid w:val="1E3DAADE"/>
    <w:rsid w:val="1E3F93AF"/>
    <w:rsid w:val="1E7236B6"/>
    <w:rsid w:val="1EC60A0F"/>
    <w:rsid w:val="1EC77D42"/>
    <w:rsid w:val="1ECB3ED3"/>
    <w:rsid w:val="1ECEB824"/>
    <w:rsid w:val="1ED33082"/>
    <w:rsid w:val="1EFD25F9"/>
    <w:rsid w:val="1F56FFA1"/>
    <w:rsid w:val="1FA61EEB"/>
    <w:rsid w:val="1FAF9374"/>
    <w:rsid w:val="1FBD9899"/>
    <w:rsid w:val="1FD9E9C8"/>
    <w:rsid w:val="1FDF0654"/>
    <w:rsid w:val="1FE716A2"/>
    <w:rsid w:val="1FEC0A29"/>
    <w:rsid w:val="1FEF8B73"/>
    <w:rsid w:val="22C62F3A"/>
    <w:rsid w:val="23415B68"/>
    <w:rsid w:val="23F10D53"/>
    <w:rsid w:val="23F6AEF3"/>
    <w:rsid w:val="23FFEB2E"/>
    <w:rsid w:val="245E2EB0"/>
    <w:rsid w:val="24D3A756"/>
    <w:rsid w:val="24E81237"/>
    <w:rsid w:val="261563B9"/>
    <w:rsid w:val="26E75257"/>
    <w:rsid w:val="271E9C29"/>
    <w:rsid w:val="272E548B"/>
    <w:rsid w:val="273F7E17"/>
    <w:rsid w:val="27532774"/>
    <w:rsid w:val="27720C4C"/>
    <w:rsid w:val="27B6DF63"/>
    <w:rsid w:val="27C70235"/>
    <w:rsid w:val="27D30408"/>
    <w:rsid w:val="27DEC9A5"/>
    <w:rsid w:val="27EE77CF"/>
    <w:rsid w:val="27FAFE75"/>
    <w:rsid w:val="284B6909"/>
    <w:rsid w:val="286379F8"/>
    <w:rsid w:val="2959155B"/>
    <w:rsid w:val="29CE0AFE"/>
    <w:rsid w:val="2A050A46"/>
    <w:rsid w:val="2A6D712E"/>
    <w:rsid w:val="2AFDAF60"/>
    <w:rsid w:val="2B9EE5ED"/>
    <w:rsid w:val="2BD27518"/>
    <w:rsid w:val="2BFD14DB"/>
    <w:rsid w:val="2BFEB9B3"/>
    <w:rsid w:val="2BFFA8A5"/>
    <w:rsid w:val="2C555706"/>
    <w:rsid w:val="2D860E5E"/>
    <w:rsid w:val="2D88708D"/>
    <w:rsid w:val="2D9E7B63"/>
    <w:rsid w:val="2DA489B3"/>
    <w:rsid w:val="2DB91642"/>
    <w:rsid w:val="2DDBB70C"/>
    <w:rsid w:val="2E04154E"/>
    <w:rsid w:val="2E39630E"/>
    <w:rsid w:val="2E6DCBCF"/>
    <w:rsid w:val="2E6F47F6"/>
    <w:rsid w:val="2E9B49AF"/>
    <w:rsid w:val="2EEE6647"/>
    <w:rsid w:val="2F54530E"/>
    <w:rsid w:val="2F776DEB"/>
    <w:rsid w:val="2F8215FD"/>
    <w:rsid w:val="2F8D0557"/>
    <w:rsid w:val="2FB7E173"/>
    <w:rsid w:val="2FBD08A7"/>
    <w:rsid w:val="2FBD937F"/>
    <w:rsid w:val="2FBF6FB8"/>
    <w:rsid w:val="2FD88657"/>
    <w:rsid w:val="2FE1EA2D"/>
    <w:rsid w:val="2FF78CBA"/>
    <w:rsid w:val="2FFD1DA2"/>
    <w:rsid w:val="30921B85"/>
    <w:rsid w:val="32D103B5"/>
    <w:rsid w:val="335F5F1A"/>
    <w:rsid w:val="335FA238"/>
    <w:rsid w:val="3377848B"/>
    <w:rsid w:val="337FEAF9"/>
    <w:rsid w:val="33AD165B"/>
    <w:rsid w:val="33BE9CD5"/>
    <w:rsid w:val="33C02300"/>
    <w:rsid w:val="33E7DEB3"/>
    <w:rsid w:val="33EFA73C"/>
    <w:rsid w:val="33F5E36A"/>
    <w:rsid w:val="33FF701F"/>
    <w:rsid w:val="3475285E"/>
    <w:rsid w:val="34790FFC"/>
    <w:rsid w:val="34DFCC51"/>
    <w:rsid w:val="35913FBB"/>
    <w:rsid w:val="362B56C3"/>
    <w:rsid w:val="363FA653"/>
    <w:rsid w:val="36EDADB4"/>
    <w:rsid w:val="373F77D0"/>
    <w:rsid w:val="375EA094"/>
    <w:rsid w:val="379234A4"/>
    <w:rsid w:val="379E6A40"/>
    <w:rsid w:val="37BFE79D"/>
    <w:rsid w:val="37DF2DD6"/>
    <w:rsid w:val="37DF700B"/>
    <w:rsid w:val="37EE409E"/>
    <w:rsid w:val="37F2F170"/>
    <w:rsid w:val="37F31E21"/>
    <w:rsid w:val="37F46EF3"/>
    <w:rsid w:val="39A91B73"/>
    <w:rsid w:val="39B23F7D"/>
    <w:rsid w:val="39D7FC96"/>
    <w:rsid w:val="39FF8104"/>
    <w:rsid w:val="3AB7A37F"/>
    <w:rsid w:val="3AB89792"/>
    <w:rsid w:val="3AEDF30C"/>
    <w:rsid w:val="3AEF7D57"/>
    <w:rsid w:val="3AFB607E"/>
    <w:rsid w:val="3AFF2AC7"/>
    <w:rsid w:val="3B2F6A62"/>
    <w:rsid w:val="3B2FF963"/>
    <w:rsid w:val="3B4448CF"/>
    <w:rsid w:val="3B4CE5B0"/>
    <w:rsid w:val="3B75BF38"/>
    <w:rsid w:val="3B7B2E0D"/>
    <w:rsid w:val="3B7F89B9"/>
    <w:rsid w:val="3B8A0DC3"/>
    <w:rsid w:val="3BA443B8"/>
    <w:rsid w:val="3BB1D3AC"/>
    <w:rsid w:val="3BB9F82F"/>
    <w:rsid w:val="3BCF19F8"/>
    <w:rsid w:val="3BD3A284"/>
    <w:rsid w:val="3BDF39C1"/>
    <w:rsid w:val="3BDF8995"/>
    <w:rsid w:val="3BE7BB5B"/>
    <w:rsid w:val="3BE9ECFC"/>
    <w:rsid w:val="3BEC33D1"/>
    <w:rsid w:val="3BF96EE7"/>
    <w:rsid w:val="3BFA26FF"/>
    <w:rsid w:val="3BFBF558"/>
    <w:rsid w:val="3BFD2A30"/>
    <w:rsid w:val="3BFE3B7E"/>
    <w:rsid w:val="3BFF979F"/>
    <w:rsid w:val="3C9EB686"/>
    <w:rsid w:val="3CEF330A"/>
    <w:rsid w:val="3D1D3248"/>
    <w:rsid w:val="3D323C74"/>
    <w:rsid w:val="3D6D1F84"/>
    <w:rsid w:val="3D7E3DA3"/>
    <w:rsid w:val="3D7F81D5"/>
    <w:rsid w:val="3DEFACC2"/>
    <w:rsid w:val="3E1FAF72"/>
    <w:rsid w:val="3E4A84CF"/>
    <w:rsid w:val="3E6C5DD9"/>
    <w:rsid w:val="3E7CD3F2"/>
    <w:rsid w:val="3E7F1755"/>
    <w:rsid w:val="3E8F2131"/>
    <w:rsid w:val="3EAE9719"/>
    <w:rsid w:val="3EAF6F38"/>
    <w:rsid w:val="3EB0A816"/>
    <w:rsid w:val="3EB542D6"/>
    <w:rsid w:val="3ED728FC"/>
    <w:rsid w:val="3EE37829"/>
    <w:rsid w:val="3EEB4BED"/>
    <w:rsid w:val="3EEC4AB3"/>
    <w:rsid w:val="3EF11695"/>
    <w:rsid w:val="3EF7BD61"/>
    <w:rsid w:val="3EF968EE"/>
    <w:rsid w:val="3EFF20E1"/>
    <w:rsid w:val="3EFFD3E1"/>
    <w:rsid w:val="3F1EA5F2"/>
    <w:rsid w:val="3F36279F"/>
    <w:rsid w:val="3F4F4430"/>
    <w:rsid w:val="3F4F5A12"/>
    <w:rsid w:val="3F65688F"/>
    <w:rsid w:val="3F7492D0"/>
    <w:rsid w:val="3F7B1D7D"/>
    <w:rsid w:val="3F7F7C26"/>
    <w:rsid w:val="3F7FA6F9"/>
    <w:rsid w:val="3F800E58"/>
    <w:rsid w:val="3F8CBFBD"/>
    <w:rsid w:val="3F9BE200"/>
    <w:rsid w:val="3FAD292E"/>
    <w:rsid w:val="3FBBDC6F"/>
    <w:rsid w:val="3FDA01DD"/>
    <w:rsid w:val="3FDDEA02"/>
    <w:rsid w:val="3FDF16C2"/>
    <w:rsid w:val="3FDFBFB3"/>
    <w:rsid w:val="3FE64F5F"/>
    <w:rsid w:val="3FE9E51A"/>
    <w:rsid w:val="3FEA575E"/>
    <w:rsid w:val="3FEB33DD"/>
    <w:rsid w:val="3FEF1047"/>
    <w:rsid w:val="3FEF1726"/>
    <w:rsid w:val="3FEF3A59"/>
    <w:rsid w:val="3FEF617D"/>
    <w:rsid w:val="3FF200B2"/>
    <w:rsid w:val="3FF7FB14"/>
    <w:rsid w:val="3FF91D4E"/>
    <w:rsid w:val="3FFABA1D"/>
    <w:rsid w:val="3FFE6B5A"/>
    <w:rsid w:val="3FFFA0C9"/>
    <w:rsid w:val="40286339"/>
    <w:rsid w:val="40A34EF9"/>
    <w:rsid w:val="41094798"/>
    <w:rsid w:val="42B2E90B"/>
    <w:rsid w:val="43EFAB43"/>
    <w:rsid w:val="43FE609C"/>
    <w:rsid w:val="44DC6497"/>
    <w:rsid w:val="44DE5A4E"/>
    <w:rsid w:val="454D2DE0"/>
    <w:rsid w:val="45D16686"/>
    <w:rsid w:val="462F5951"/>
    <w:rsid w:val="4697B0EC"/>
    <w:rsid w:val="46A5E501"/>
    <w:rsid w:val="479F083A"/>
    <w:rsid w:val="47BA6DDE"/>
    <w:rsid w:val="47BE0AB6"/>
    <w:rsid w:val="47E5BD3C"/>
    <w:rsid w:val="47FEB713"/>
    <w:rsid w:val="47FEEA0C"/>
    <w:rsid w:val="47FFB319"/>
    <w:rsid w:val="49FF1354"/>
    <w:rsid w:val="4A0B2A82"/>
    <w:rsid w:val="4B240373"/>
    <w:rsid w:val="4B5C669F"/>
    <w:rsid w:val="4B5FD1C2"/>
    <w:rsid w:val="4B7E4857"/>
    <w:rsid w:val="4C9630E6"/>
    <w:rsid w:val="4D796D4B"/>
    <w:rsid w:val="4DA78014"/>
    <w:rsid w:val="4DD29871"/>
    <w:rsid w:val="4DEFFB07"/>
    <w:rsid w:val="4E7FD645"/>
    <w:rsid w:val="4E9D1594"/>
    <w:rsid w:val="4ED5FB2D"/>
    <w:rsid w:val="4EE40807"/>
    <w:rsid w:val="4EFEE3CF"/>
    <w:rsid w:val="4EFFCC04"/>
    <w:rsid w:val="4F4DC02C"/>
    <w:rsid w:val="4F4E3BCE"/>
    <w:rsid w:val="4F4F56C9"/>
    <w:rsid w:val="4F6715EE"/>
    <w:rsid w:val="4F7FAC37"/>
    <w:rsid w:val="4FA32AE8"/>
    <w:rsid w:val="4FA6572E"/>
    <w:rsid w:val="4FAB1773"/>
    <w:rsid w:val="4FB77DE6"/>
    <w:rsid w:val="4FBBE42B"/>
    <w:rsid w:val="4FBF8279"/>
    <w:rsid w:val="4FFB8451"/>
    <w:rsid w:val="4FFB8E16"/>
    <w:rsid w:val="4FFFB35D"/>
    <w:rsid w:val="50450572"/>
    <w:rsid w:val="51624E8A"/>
    <w:rsid w:val="51DF7224"/>
    <w:rsid w:val="521F3E4B"/>
    <w:rsid w:val="52EFBDB1"/>
    <w:rsid w:val="53DE26C8"/>
    <w:rsid w:val="53E7DABE"/>
    <w:rsid w:val="53EE158E"/>
    <w:rsid w:val="53FDFCAE"/>
    <w:rsid w:val="548B2661"/>
    <w:rsid w:val="54F115E0"/>
    <w:rsid w:val="55447A06"/>
    <w:rsid w:val="555BA0AF"/>
    <w:rsid w:val="557F36C1"/>
    <w:rsid w:val="55DF30E4"/>
    <w:rsid w:val="55FA15B7"/>
    <w:rsid w:val="562D8241"/>
    <w:rsid w:val="567F53D9"/>
    <w:rsid w:val="56B5692E"/>
    <w:rsid w:val="56BEE398"/>
    <w:rsid w:val="57014352"/>
    <w:rsid w:val="573D63DA"/>
    <w:rsid w:val="576E940A"/>
    <w:rsid w:val="57AFC138"/>
    <w:rsid w:val="57BFE285"/>
    <w:rsid w:val="57D5B179"/>
    <w:rsid w:val="57DBE7AC"/>
    <w:rsid w:val="57DD41C0"/>
    <w:rsid w:val="57E70F57"/>
    <w:rsid w:val="57EF46D5"/>
    <w:rsid w:val="57FBCD8A"/>
    <w:rsid w:val="57FDC686"/>
    <w:rsid w:val="57FFE8DD"/>
    <w:rsid w:val="582A60AC"/>
    <w:rsid w:val="58841836"/>
    <w:rsid w:val="58BFC293"/>
    <w:rsid w:val="58D96099"/>
    <w:rsid w:val="594F9F96"/>
    <w:rsid w:val="598F29B3"/>
    <w:rsid w:val="599FD232"/>
    <w:rsid w:val="59CD9A52"/>
    <w:rsid w:val="59EF0511"/>
    <w:rsid w:val="59FF62C8"/>
    <w:rsid w:val="5A7F463C"/>
    <w:rsid w:val="5ABBDF2B"/>
    <w:rsid w:val="5AEC2D3D"/>
    <w:rsid w:val="5B3336B2"/>
    <w:rsid w:val="5B3E2C04"/>
    <w:rsid w:val="5B5642E6"/>
    <w:rsid w:val="5B7E9F71"/>
    <w:rsid w:val="5B9467C0"/>
    <w:rsid w:val="5B9A48BE"/>
    <w:rsid w:val="5BAFF1B8"/>
    <w:rsid w:val="5BBBAF0A"/>
    <w:rsid w:val="5BD7D220"/>
    <w:rsid w:val="5BDDF1F8"/>
    <w:rsid w:val="5BF3A74E"/>
    <w:rsid w:val="5BF68CF6"/>
    <w:rsid w:val="5BF8AA04"/>
    <w:rsid w:val="5BFC5027"/>
    <w:rsid w:val="5BFD1224"/>
    <w:rsid w:val="5BFD3CB7"/>
    <w:rsid w:val="5BFDB7EC"/>
    <w:rsid w:val="5C6FBA19"/>
    <w:rsid w:val="5C7EB9DA"/>
    <w:rsid w:val="5C9B734C"/>
    <w:rsid w:val="5CD78333"/>
    <w:rsid w:val="5CEBCAD6"/>
    <w:rsid w:val="5CF3E376"/>
    <w:rsid w:val="5CFF2307"/>
    <w:rsid w:val="5D177A7A"/>
    <w:rsid w:val="5D7F530F"/>
    <w:rsid w:val="5D8CAEE6"/>
    <w:rsid w:val="5D953CD4"/>
    <w:rsid w:val="5DB3473A"/>
    <w:rsid w:val="5DBF23B5"/>
    <w:rsid w:val="5DC67B8B"/>
    <w:rsid w:val="5DED387C"/>
    <w:rsid w:val="5DF5385C"/>
    <w:rsid w:val="5DF7A785"/>
    <w:rsid w:val="5DFDEB58"/>
    <w:rsid w:val="5DFE02C1"/>
    <w:rsid w:val="5E2FF403"/>
    <w:rsid w:val="5E336754"/>
    <w:rsid w:val="5E3B697E"/>
    <w:rsid w:val="5E60746C"/>
    <w:rsid w:val="5E7594B2"/>
    <w:rsid w:val="5E937489"/>
    <w:rsid w:val="5EBE7485"/>
    <w:rsid w:val="5EBFB65F"/>
    <w:rsid w:val="5ECB379A"/>
    <w:rsid w:val="5ED152C2"/>
    <w:rsid w:val="5EF7A60A"/>
    <w:rsid w:val="5EFAFDD7"/>
    <w:rsid w:val="5EFD709E"/>
    <w:rsid w:val="5EFEADE1"/>
    <w:rsid w:val="5F1F1CEB"/>
    <w:rsid w:val="5F1F70DF"/>
    <w:rsid w:val="5F3EB388"/>
    <w:rsid w:val="5F3F32A1"/>
    <w:rsid w:val="5F3F4069"/>
    <w:rsid w:val="5F585F83"/>
    <w:rsid w:val="5F7D9EDD"/>
    <w:rsid w:val="5F7E2721"/>
    <w:rsid w:val="5F7E5599"/>
    <w:rsid w:val="5FAA78F5"/>
    <w:rsid w:val="5FD9895F"/>
    <w:rsid w:val="5FDB01DB"/>
    <w:rsid w:val="5FEB83AD"/>
    <w:rsid w:val="5FEEFD8E"/>
    <w:rsid w:val="5FEF519A"/>
    <w:rsid w:val="5FEF96F0"/>
    <w:rsid w:val="5FEFD330"/>
    <w:rsid w:val="5FF33712"/>
    <w:rsid w:val="5FF79CF0"/>
    <w:rsid w:val="5FF980EC"/>
    <w:rsid w:val="5FF98146"/>
    <w:rsid w:val="5FF999D4"/>
    <w:rsid w:val="5FFA2044"/>
    <w:rsid w:val="5FFA3473"/>
    <w:rsid w:val="5FFBE073"/>
    <w:rsid w:val="5FFC2FA4"/>
    <w:rsid w:val="5FFDD2DA"/>
    <w:rsid w:val="5FFF5029"/>
    <w:rsid w:val="5FFFFC6E"/>
    <w:rsid w:val="617D4A6A"/>
    <w:rsid w:val="61B31169"/>
    <w:rsid w:val="61D35B82"/>
    <w:rsid w:val="62C73DF1"/>
    <w:rsid w:val="62CF0EFF"/>
    <w:rsid w:val="62FFDDCB"/>
    <w:rsid w:val="638377A8"/>
    <w:rsid w:val="63FC607C"/>
    <w:rsid w:val="63FF7A03"/>
    <w:rsid w:val="6417516A"/>
    <w:rsid w:val="645D6ED9"/>
    <w:rsid w:val="648835C7"/>
    <w:rsid w:val="653B7765"/>
    <w:rsid w:val="655B3FD7"/>
    <w:rsid w:val="65C37738"/>
    <w:rsid w:val="65E46921"/>
    <w:rsid w:val="670C1F82"/>
    <w:rsid w:val="671E9133"/>
    <w:rsid w:val="677DC604"/>
    <w:rsid w:val="677DF9AF"/>
    <w:rsid w:val="678E41F3"/>
    <w:rsid w:val="67AFF102"/>
    <w:rsid w:val="67B7B560"/>
    <w:rsid w:val="67CE9F02"/>
    <w:rsid w:val="67DE850A"/>
    <w:rsid w:val="67EAE887"/>
    <w:rsid w:val="694D1DDC"/>
    <w:rsid w:val="69774823"/>
    <w:rsid w:val="697E3C46"/>
    <w:rsid w:val="69BC06BD"/>
    <w:rsid w:val="69FE0A5F"/>
    <w:rsid w:val="6A3D2095"/>
    <w:rsid w:val="6A4515FF"/>
    <w:rsid w:val="6A723F09"/>
    <w:rsid w:val="6A7D6FBC"/>
    <w:rsid w:val="6A860352"/>
    <w:rsid w:val="6ABF683F"/>
    <w:rsid w:val="6ABFCBE9"/>
    <w:rsid w:val="6AEC4A2D"/>
    <w:rsid w:val="6AF57D44"/>
    <w:rsid w:val="6B7BBC6F"/>
    <w:rsid w:val="6BBE8DC3"/>
    <w:rsid w:val="6BDC5CA0"/>
    <w:rsid w:val="6BDCF144"/>
    <w:rsid w:val="6BE73003"/>
    <w:rsid w:val="6BEFAF24"/>
    <w:rsid w:val="6BEFFBC2"/>
    <w:rsid w:val="6BF3BB87"/>
    <w:rsid w:val="6BFD7552"/>
    <w:rsid w:val="6BFF6CCC"/>
    <w:rsid w:val="6CBB95F6"/>
    <w:rsid w:val="6CBCFB11"/>
    <w:rsid w:val="6CF6948C"/>
    <w:rsid w:val="6CF7D0E3"/>
    <w:rsid w:val="6CFEDE13"/>
    <w:rsid w:val="6D57DC9A"/>
    <w:rsid w:val="6D5D17A2"/>
    <w:rsid w:val="6D6B4986"/>
    <w:rsid w:val="6D6E17C5"/>
    <w:rsid w:val="6D7FA425"/>
    <w:rsid w:val="6DFB684D"/>
    <w:rsid w:val="6DFCE492"/>
    <w:rsid w:val="6DFD965B"/>
    <w:rsid w:val="6DFF3DA8"/>
    <w:rsid w:val="6DFF8FE4"/>
    <w:rsid w:val="6DFF93EE"/>
    <w:rsid w:val="6E182A45"/>
    <w:rsid w:val="6E4E3658"/>
    <w:rsid w:val="6E5969EA"/>
    <w:rsid w:val="6E65A335"/>
    <w:rsid w:val="6E72127E"/>
    <w:rsid w:val="6EB56785"/>
    <w:rsid w:val="6EBBEFC4"/>
    <w:rsid w:val="6EDF3A8D"/>
    <w:rsid w:val="6EEEA5EE"/>
    <w:rsid w:val="6EEF3DBB"/>
    <w:rsid w:val="6EEF5774"/>
    <w:rsid w:val="6EF1815E"/>
    <w:rsid w:val="6EF7BA2F"/>
    <w:rsid w:val="6EFEF699"/>
    <w:rsid w:val="6F2F60A1"/>
    <w:rsid w:val="6F5BAD55"/>
    <w:rsid w:val="6F5E201F"/>
    <w:rsid w:val="6F5ECC87"/>
    <w:rsid w:val="6F7723CE"/>
    <w:rsid w:val="6F7E0090"/>
    <w:rsid w:val="6F7FF651"/>
    <w:rsid w:val="6F9A6F50"/>
    <w:rsid w:val="6F9B5ADC"/>
    <w:rsid w:val="6F9BDB6C"/>
    <w:rsid w:val="6F9D25AC"/>
    <w:rsid w:val="6F9FCFB9"/>
    <w:rsid w:val="6FA58BCC"/>
    <w:rsid w:val="6FAF19E1"/>
    <w:rsid w:val="6FBF8E07"/>
    <w:rsid w:val="6FBF955A"/>
    <w:rsid w:val="6FC7935B"/>
    <w:rsid w:val="6FCF9412"/>
    <w:rsid w:val="6FD788F5"/>
    <w:rsid w:val="6FDEFEF9"/>
    <w:rsid w:val="6FDF767E"/>
    <w:rsid w:val="6FE644E1"/>
    <w:rsid w:val="6FEB7021"/>
    <w:rsid w:val="6FEB91EC"/>
    <w:rsid w:val="6FF4CBE6"/>
    <w:rsid w:val="6FFB0603"/>
    <w:rsid w:val="6FFB67C7"/>
    <w:rsid w:val="6FFDC0A3"/>
    <w:rsid w:val="6FFF3CE2"/>
    <w:rsid w:val="6FFFF469"/>
    <w:rsid w:val="7077A43F"/>
    <w:rsid w:val="708B3515"/>
    <w:rsid w:val="70DE537D"/>
    <w:rsid w:val="70F9B025"/>
    <w:rsid w:val="70FBCB2C"/>
    <w:rsid w:val="712B3822"/>
    <w:rsid w:val="715FC76C"/>
    <w:rsid w:val="71692C8E"/>
    <w:rsid w:val="717DD7B3"/>
    <w:rsid w:val="71844044"/>
    <w:rsid w:val="71884B08"/>
    <w:rsid w:val="719DC92F"/>
    <w:rsid w:val="71EF1ABB"/>
    <w:rsid w:val="71FB4449"/>
    <w:rsid w:val="7273247D"/>
    <w:rsid w:val="72C07827"/>
    <w:rsid w:val="72F87E26"/>
    <w:rsid w:val="72FFCF7B"/>
    <w:rsid w:val="73774FB1"/>
    <w:rsid w:val="737B0ED8"/>
    <w:rsid w:val="737EE920"/>
    <w:rsid w:val="73B51EF9"/>
    <w:rsid w:val="73BB12E0"/>
    <w:rsid w:val="73D68846"/>
    <w:rsid w:val="73ED6581"/>
    <w:rsid w:val="73EFF68F"/>
    <w:rsid w:val="73F31CE6"/>
    <w:rsid w:val="73F67713"/>
    <w:rsid w:val="73FEF627"/>
    <w:rsid w:val="7474F750"/>
    <w:rsid w:val="74D487E0"/>
    <w:rsid w:val="75150BCE"/>
    <w:rsid w:val="754D1B9A"/>
    <w:rsid w:val="757D7A13"/>
    <w:rsid w:val="757DC1AF"/>
    <w:rsid w:val="758BCED1"/>
    <w:rsid w:val="75AC1E99"/>
    <w:rsid w:val="75BBBC97"/>
    <w:rsid w:val="75BFA760"/>
    <w:rsid w:val="75C441C0"/>
    <w:rsid w:val="75F16A70"/>
    <w:rsid w:val="75F6C1F4"/>
    <w:rsid w:val="75FAB8AE"/>
    <w:rsid w:val="75FE53C8"/>
    <w:rsid w:val="75FF384B"/>
    <w:rsid w:val="76206228"/>
    <w:rsid w:val="7639CDBB"/>
    <w:rsid w:val="763C6BA9"/>
    <w:rsid w:val="767D9B7C"/>
    <w:rsid w:val="767FD516"/>
    <w:rsid w:val="76BB9CA5"/>
    <w:rsid w:val="76EFB9C9"/>
    <w:rsid w:val="76FBD766"/>
    <w:rsid w:val="76FEFD5E"/>
    <w:rsid w:val="7729B9CA"/>
    <w:rsid w:val="775F8ADC"/>
    <w:rsid w:val="776B273C"/>
    <w:rsid w:val="776EFD4D"/>
    <w:rsid w:val="777ED7C6"/>
    <w:rsid w:val="777F8A55"/>
    <w:rsid w:val="7789629F"/>
    <w:rsid w:val="7797CA11"/>
    <w:rsid w:val="779F6AA7"/>
    <w:rsid w:val="77B2FF19"/>
    <w:rsid w:val="77BF26A7"/>
    <w:rsid w:val="77C7E874"/>
    <w:rsid w:val="77CB89BE"/>
    <w:rsid w:val="77D0BF8E"/>
    <w:rsid w:val="77DB4BD1"/>
    <w:rsid w:val="77DE42AA"/>
    <w:rsid w:val="77DFA61D"/>
    <w:rsid w:val="77EDB1F1"/>
    <w:rsid w:val="77F26746"/>
    <w:rsid w:val="77F58A90"/>
    <w:rsid w:val="77F775FB"/>
    <w:rsid w:val="77F7AFA9"/>
    <w:rsid w:val="77F7F1BE"/>
    <w:rsid w:val="77F95BD2"/>
    <w:rsid w:val="77FB3E98"/>
    <w:rsid w:val="77FCA16E"/>
    <w:rsid w:val="77FE7B4F"/>
    <w:rsid w:val="77FF0D06"/>
    <w:rsid w:val="77FF5B7A"/>
    <w:rsid w:val="786C74ED"/>
    <w:rsid w:val="78AA05C8"/>
    <w:rsid w:val="78BFC3B0"/>
    <w:rsid w:val="78DF136F"/>
    <w:rsid w:val="78F74BF5"/>
    <w:rsid w:val="78FB78D2"/>
    <w:rsid w:val="78FBA2ED"/>
    <w:rsid w:val="78FD27C7"/>
    <w:rsid w:val="78FE5A63"/>
    <w:rsid w:val="791668EE"/>
    <w:rsid w:val="79516EBF"/>
    <w:rsid w:val="795E8D68"/>
    <w:rsid w:val="795F75BD"/>
    <w:rsid w:val="798FDD30"/>
    <w:rsid w:val="79BB5570"/>
    <w:rsid w:val="79BB5D66"/>
    <w:rsid w:val="79BE15F1"/>
    <w:rsid w:val="79D945A5"/>
    <w:rsid w:val="79DF37F9"/>
    <w:rsid w:val="79E99839"/>
    <w:rsid w:val="79F11DD0"/>
    <w:rsid w:val="79F346E7"/>
    <w:rsid w:val="79FBE1F7"/>
    <w:rsid w:val="79FF3494"/>
    <w:rsid w:val="7A9F2409"/>
    <w:rsid w:val="7AB7FBA4"/>
    <w:rsid w:val="7ABD431C"/>
    <w:rsid w:val="7ACFF7E7"/>
    <w:rsid w:val="7ADF8D06"/>
    <w:rsid w:val="7AF1E608"/>
    <w:rsid w:val="7AF49052"/>
    <w:rsid w:val="7AF5429E"/>
    <w:rsid w:val="7B15E767"/>
    <w:rsid w:val="7B1E9879"/>
    <w:rsid w:val="7B3BAE17"/>
    <w:rsid w:val="7B3FD99F"/>
    <w:rsid w:val="7B5E6D67"/>
    <w:rsid w:val="7B757168"/>
    <w:rsid w:val="7B776EEE"/>
    <w:rsid w:val="7B7B0273"/>
    <w:rsid w:val="7B7D0951"/>
    <w:rsid w:val="7B7F93E2"/>
    <w:rsid w:val="7B7FBFEB"/>
    <w:rsid w:val="7BB411C3"/>
    <w:rsid w:val="7BB59F4D"/>
    <w:rsid w:val="7BBA1DF7"/>
    <w:rsid w:val="7BBB13C9"/>
    <w:rsid w:val="7BBF08EE"/>
    <w:rsid w:val="7BBF1625"/>
    <w:rsid w:val="7BBFFAA8"/>
    <w:rsid w:val="7BC3E1CB"/>
    <w:rsid w:val="7BD734A3"/>
    <w:rsid w:val="7BDD7B37"/>
    <w:rsid w:val="7BDDA73C"/>
    <w:rsid w:val="7BE44CF8"/>
    <w:rsid w:val="7BEA6A05"/>
    <w:rsid w:val="7BEB247B"/>
    <w:rsid w:val="7BEFE6DA"/>
    <w:rsid w:val="7BF3BF39"/>
    <w:rsid w:val="7BF5B9F7"/>
    <w:rsid w:val="7BF70AB0"/>
    <w:rsid w:val="7BF767AD"/>
    <w:rsid w:val="7BFA25E7"/>
    <w:rsid w:val="7BFC3C65"/>
    <w:rsid w:val="7BFE72B7"/>
    <w:rsid w:val="7BFEEFEC"/>
    <w:rsid w:val="7BFF41CF"/>
    <w:rsid w:val="7C1FED41"/>
    <w:rsid w:val="7C67BD8A"/>
    <w:rsid w:val="7C9E0C08"/>
    <w:rsid w:val="7CD098CE"/>
    <w:rsid w:val="7CDFF093"/>
    <w:rsid w:val="7CE42760"/>
    <w:rsid w:val="7CFEE297"/>
    <w:rsid w:val="7CFF5F62"/>
    <w:rsid w:val="7D1F3A6B"/>
    <w:rsid w:val="7D3B2FB6"/>
    <w:rsid w:val="7D57E2C2"/>
    <w:rsid w:val="7D75143C"/>
    <w:rsid w:val="7D7C255C"/>
    <w:rsid w:val="7D7F7F4D"/>
    <w:rsid w:val="7DA39A1C"/>
    <w:rsid w:val="7DBBB1D2"/>
    <w:rsid w:val="7DBDC376"/>
    <w:rsid w:val="7DBFBEF4"/>
    <w:rsid w:val="7DCCA112"/>
    <w:rsid w:val="7DDF7960"/>
    <w:rsid w:val="7DDF9BC5"/>
    <w:rsid w:val="7DDFF113"/>
    <w:rsid w:val="7DE5B451"/>
    <w:rsid w:val="7DEB9A91"/>
    <w:rsid w:val="7DF4A9F5"/>
    <w:rsid w:val="7DF5F05D"/>
    <w:rsid w:val="7DF74725"/>
    <w:rsid w:val="7DF790F9"/>
    <w:rsid w:val="7DF84455"/>
    <w:rsid w:val="7DF9B896"/>
    <w:rsid w:val="7DFA3791"/>
    <w:rsid w:val="7DFA7BD2"/>
    <w:rsid w:val="7DFB0C88"/>
    <w:rsid w:val="7DFB7837"/>
    <w:rsid w:val="7DFE5EBD"/>
    <w:rsid w:val="7DFEA849"/>
    <w:rsid w:val="7DFF289B"/>
    <w:rsid w:val="7DFF8CEA"/>
    <w:rsid w:val="7DFFB292"/>
    <w:rsid w:val="7DFFB7A9"/>
    <w:rsid w:val="7DFFE009"/>
    <w:rsid w:val="7DFFE626"/>
    <w:rsid w:val="7DFFEF6C"/>
    <w:rsid w:val="7E07355D"/>
    <w:rsid w:val="7E131720"/>
    <w:rsid w:val="7E5F4FAD"/>
    <w:rsid w:val="7E5F86EE"/>
    <w:rsid w:val="7E5FDE9C"/>
    <w:rsid w:val="7E5FE693"/>
    <w:rsid w:val="7E652F5C"/>
    <w:rsid w:val="7E6DB550"/>
    <w:rsid w:val="7E7B84EB"/>
    <w:rsid w:val="7E7BA5F5"/>
    <w:rsid w:val="7E884CE2"/>
    <w:rsid w:val="7E8F5D39"/>
    <w:rsid w:val="7E8F6586"/>
    <w:rsid w:val="7EAD171A"/>
    <w:rsid w:val="7EB9FE92"/>
    <w:rsid w:val="7EBA6A5F"/>
    <w:rsid w:val="7EBD3167"/>
    <w:rsid w:val="7EC7E795"/>
    <w:rsid w:val="7EDB602D"/>
    <w:rsid w:val="7EDF0B49"/>
    <w:rsid w:val="7EED2D5B"/>
    <w:rsid w:val="7EEDC4AF"/>
    <w:rsid w:val="7EEE9E16"/>
    <w:rsid w:val="7EF2E440"/>
    <w:rsid w:val="7EF34A6F"/>
    <w:rsid w:val="7EF5BD95"/>
    <w:rsid w:val="7EF7E87F"/>
    <w:rsid w:val="7EFBDC7D"/>
    <w:rsid w:val="7EFDB6A1"/>
    <w:rsid w:val="7EFDE50D"/>
    <w:rsid w:val="7EFE2D74"/>
    <w:rsid w:val="7EFE5105"/>
    <w:rsid w:val="7EFF1433"/>
    <w:rsid w:val="7EFF16F6"/>
    <w:rsid w:val="7EFF7889"/>
    <w:rsid w:val="7EFF8A06"/>
    <w:rsid w:val="7EFFCE13"/>
    <w:rsid w:val="7F1FDF33"/>
    <w:rsid w:val="7F26DC41"/>
    <w:rsid w:val="7F2B508F"/>
    <w:rsid w:val="7F2C2F13"/>
    <w:rsid w:val="7F2DF10F"/>
    <w:rsid w:val="7F2E0F84"/>
    <w:rsid w:val="7F2E263F"/>
    <w:rsid w:val="7F37D14E"/>
    <w:rsid w:val="7F3BB3B8"/>
    <w:rsid w:val="7F3E124F"/>
    <w:rsid w:val="7F3E61DB"/>
    <w:rsid w:val="7F3FBDFD"/>
    <w:rsid w:val="7F532DA4"/>
    <w:rsid w:val="7F59FBAD"/>
    <w:rsid w:val="7F5A1869"/>
    <w:rsid w:val="7F5D4CA1"/>
    <w:rsid w:val="7F66564B"/>
    <w:rsid w:val="7F736BB3"/>
    <w:rsid w:val="7F759B80"/>
    <w:rsid w:val="7F7A0D5A"/>
    <w:rsid w:val="7F7D72E0"/>
    <w:rsid w:val="7F7E62FE"/>
    <w:rsid w:val="7F7F4081"/>
    <w:rsid w:val="7F7F8BA7"/>
    <w:rsid w:val="7F7FE757"/>
    <w:rsid w:val="7F7FEA65"/>
    <w:rsid w:val="7F8DE414"/>
    <w:rsid w:val="7F9509F6"/>
    <w:rsid w:val="7F979FD3"/>
    <w:rsid w:val="7F9A9519"/>
    <w:rsid w:val="7F9BBFCF"/>
    <w:rsid w:val="7FA73241"/>
    <w:rsid w:val="7FA7E5AA"/>
    <w:rsid w:val="7FA906A8"/>
    <w:rsid w:val="7FADB99B"/>
    <w:rsid w:val="7FAF0973"/>
    <w:rsid w:val="7FB7DD35"/>
    <w:rsid w:val="7FBC285B"/>
    <w:rsid w:val="7FBE3F1A"/>
    <w:rsid w:val="7FBF0F57"/>
    <w:rsid w:val="7FBF1CE7"/>
    <w:rsid w:val="7FBFE2FD"/>
    <w:rsid w:val="7FD232CF"/>
    <w:rsid w:val="7FD500EF"/>
    <w:rsid w:val="7FD5DB77"/>
    <w:rsid w:val="7FD71EF4"/>
    <w:rsid w:val="7FD7DCD4"/>
    <w:rsid w:val="7FDD30B5"/>
    <w:rsid w:val="7FDDDA05"/>
    <w:rsid w:val="7FDF0374"/>
    <w:rsid w:val="7FDF62F6"/>
    <w:rsid w:val="7FDF6EEC"/>
    <w:rsid w:val="7FDFF71C"/>
    <w:rsid w:val="7FE1423F"/>
    <w:rsid w:val="7FE7D156"/>
    <w:rsid w:val="7FEA437C"/>
    <w:rsid w:val="7FEAB617"/>
    <w:rsid w:val="7FEB9FD7"/>
    <w:rsid w:val="7FEBC153"/>
    <w:rsid w:val="7FECD89D"/>
    <w:rsid w:val="7FED05D8"/>
    <w:rsid w:val="7FEEA687"/>
    <w:rsid w:val="7FEF4DB0"/>
    <w:rsid w:val="7FEF5E61"/>
    <w:rsid w:val="7FEF779A"/>
    <w:rsid w:val="7FEF8320"/>
    <w:rsid w:val="7FEFE316"/>
    <w:rsid w:val="7FEFF3CE"/>
    <w:rsid w:val="7FF3054E"/>
    <w:rsid w:val="7FF3C790"/>
    <w:rsid w:val="7FF49BA0"/>
    <w:rsid w:val="7FF6014E"/>
    <w:rsid w:val="7FF7841C"/>
    <w:rsid w:val="7FF79A2F"/>
    <w:rsid w:val="7FF7AD73"/>
    <w:rsid w:val="7FF7AE27"/>
    <w:rsid w:val="7FF95C95"/>
    <w:rsid w:val="7FFB0B36"/>
    <w:rsid w:val="7FFBB955"/>
    <w:rsid w:val="7FFBC8F2"/>
    <w:rsid w:val="7FFBE6EF"/>
    <w:rsid w:val="7FFD647B"/>
    <w:rsid w:val="7FFE2D43"/>
    <w:rsid w:val="7FFE6059"/>
    <w:rsid w:val="7FFE6B32"/>
    <w:rsid w:val="7FFEDEBC"/>
    <w:rsid w:val="7FFF38E2"/>
    <w:rsid w:val="7FFF4344"/>
    <w:rsid w:val="7FFF4553"/>
    <w:rsid w:val="7FFF7D41"/>
    <w:rsid w:val="7FFFB338"/>
    <w:rsid w:val="7FFFB69F"/>
    <w:rsid w:val="7FFFE0A9"/>
    <w:rsid w:val="7FFFEF51"/>
    <w:rsid w:val="878BBF5A"/>
    <w:rsid w:val="89CF1D98"/>
    <w:rsid w:val="8BBF9311"/>
    <w:rsid w:val="8ED7C19A"/>
    <w:rsid w:val="8EEEF1E8"/>
    <w:rsid w:val="8F738877"/>
    <w:rsid w:val="8F7E7D85"/>
    <w:rsid w:val="8FCFEC67"/>
    <w:rsid w:val="8FFB6887"/>
    <w:rsid w:val="8FFFEB91"/>
    <w:rsid w:val="93B96D56"/>
    <w:rsid w:val="93DE452D"/>
    <w:rsid w:val="95B9AA5C"/>
    <w:rsid w:val="96DF0BAC"/>
    <w:rsid w:val="97BBDB9E"/>
    <w:rsid w:val="97FDE061"/>
    <w:rsid w:val="9B6A78A1"/>
    <w:rsid w:val="9B7F74AA"/>
    <w:rsid w:val="9B9ECE6A"/>
    <w:rsid w:val="9BCF3212"/>
    <w:rsid w:val="9BD700FA"/>
    <w:rsid w:val="9BDAE751"/>
    <w:rsid w:val="9CDD68BD"/>
    <w:rsid w:val="9CFDB1E6"/>
    <w:rsid w:val="9D1D3CE9"/>
    <w:rsid w:val="9DBE0C4A"/>
    <w:rsid w:val="9DED8F43"/>
    <w:rsid w:val="9DF9C5D1"/>
    <w:rsid w:val="9E993BF0"/>
    <w:rsid w:val="9EECD5E1"/>
    <w:rsid w:val="9EFF63D0"/>
    <w:rsid w:val="9F33322C"/>
    <w:rsid w:val="9F370502"/>
    <w:rsid w:val="9F5BFDD6"/>
    <w:rsid w:val="9FD5BB96"/>
    <w:rsid w:val="9FD7768C"/>
    <w:rsid w:val="9FEF9D75"/>
    <w:rsid w:val="9FF7D87B"/>
    <w:rsid w:val="9FF7F80E"/>
    <w:rsid w:val="9FFD6819"/>
    <w:rsid w:val="9FFF9EED"/>
    <w:rsid w:val="A38E863A"/>
    <w:rsid w:val="A57EDA5E"/>
    <w:rsid w:val="A5ADD129"/>
    <w:rsid w:val="A5FF95BE"/>
    <w:rsid w:val="A7ED053A"/>
    <w:rsid w:val="A7F7032C"/>
    <w:rsid w:val="A7FF35F6"/>
    <w:rsid w:val="A7FF913D"/>
    <w:rsid w:val="A9DBD770"/>
    <w:rsid w:val="A9F63E89"/>
    <w:rsid w:val="AAD7EF30"/>
    <w:rsid w:val="AAFD4DA8"/>
    <w:rsid w:val="AB1F4437"/>
    <w:rsid w:val="AB4FFB16"/>
    <w:rsid w:val="AB8B1C07"/>
    <w:rsid w:val="AB9F2C54"/>
    <w:rsid w:val="ABBFA497"/>
    <w:rsid w:val="ABC79617"/>
    <w:rsid w:val="ABE31758"/>
    <w:rsid w:val="ABF73216"/>
    <w:rsid w:val="ABFE4843"/>
    <w:rsid w:val="ABFF44BA"/>
    <w:rsid w:val="ACDF8080"/>
    <w:rsid w:val="AD7F38A2"/>
    <w:rsid w:val="AD7FBA59"/>
    <w:rsid w:val="AD970582"/>
    <w:rsid w:val="ADBB73F3"/>
    <w:rsid w:val="ADC358B8"/>
    <w:rsid w:val="ADFA229E"/>
    <w:rsid w:val="ADFBC9D7"/>
    <w:rsid w:val="AE066B85"/>
    <w:rsid w:val="AE752BEC"/>
    <w:rsid w:val="AEF50F84"/>
    <w:rsid w:val="AF6CC4AE"/>
    <w:rsid w:val="AF79B496"/>
    <w:rsid w:val="AFD7123F"/>
    <w:rsid w:val="AFEA9A4C"/>
    <w:rsid w:val="AFFD6E8F"/>
    <w:rsid w:val="AFFD6EFB"/>
    <w:rsid w:val="AFFED56E"/>
    <w:rsid w:val="AFFFED7B"/>
    <w:rsid w:val="B2DF8DD8"/>
    <w:rsid w:val="B2F47022"/>
    <w:rsid w:val="B33C0D29"/>
    <w:rsid w:val="B3C458EF"/>
    <w:rsid w:val="B3F148B5"/>
    <w:rsid w:val="B4FF9ACA"/>
    <w:rsid w:val="B5B576AC"/>
    <w:rsid w:val="B69BA5DD"/>
    <w:rsid w:val="B6F7CE56"/>
    <w:rsid w:val="B6FEDD84"/>
    <w:rsid w:val="B763EBBC"/>
    <w:rsid w:val="B76EFA11"/>
    <w:rsid w:val="B77FC831"/>
    <w:rsid w:val="B78F7E39"/>
    <w:rsid w:val="B797D9A9"/>
    <w:rsid w:val="B79FF465"/>
    <w:rsid w:val="B7DFD8DF"/>
    <w:rsid w:val="B7EDC966"/>
    <w:rsid w:val="B7F386E3"/>
    <w:rsid w:val="B7FB4C34"/>
    <w:rsid w:val="B7FC70DB"/>
    <w:rsid w:val="B7FF314F"/>
    <w:rsid w:val="B7FFB16E"/>
    <w:rsid w:val="B7FFD648"/>
    <w:rsid w:val="B9DE29B9"/>
    <w:rsid w:val="B9FA9178"/>
    <w:rsid w:val="B9FCE0B5"/>
    <w:rsid w:val="B9FF7F8E"/>
    <w:rsid w:val="BAD603D9"/>
    <w:rsid w:val="BAEE8A21"/>
    <w:rsid w:val="BAEF907E"/>
    <w:rsid w:val="BAF9BF7C"/>
    <w:rsid w:val="BB7BF0F9"/>
    <w:rsid w:val="BB7D94EC"/>
    <w:rsid w:val="BBBC522F"/>
    <w:rsid w:val="BBDA4C2A"/>
    <w:rsid w:val="BBDE722F"/>
    <w:rsid w:val="BBEF346B"/>
    <w:rsid w:val="BBEFF16C"/>
    <w:rsid w:val="BBF74192"/>
    <w:rsid w:val="BCF70CED"/>
    <w:rsid w:val="BCFFFB96"/>
    <w:rsid w:val="BD3F42D7"/>
    <w:rsid w:val="BD4F02D5"/>
    <w:rsid w:val="BD7F915C"/>
    <w:rsid w:val="BDB98D7B"/>
    <w:rsid w:val="BDBD2207"/>
    <w:rsid w:val="BDBF922D"/>
    <w:rsid w:val="BDBFD108"/>
    <w:rsid w:val="BDD09CDB"/>
    <w:rsid w:val="BDD3C732"/>
    <w:rsid w:val="BDED2E20"/>
    <w:rsid w:val="BDF278CE"/>
    <w:rsid w:val="BDF62023"/>
    <w:rsid w:val="BDFBC3F4"/>
    <w:rsid w:val="BDFFAC50"/>
    <w:rsid w:val="BE0F68B4"/>
    <w:rsid w:val="BE16CC4E"/>
    <w:rsid w:val="BE3BE464"/>
    <w:rsid w:val="BE5F612F"/>
    <w:rsid w:val="BE7F5975"/>
    <w:rsid w:val="BE9A7990"/>
    <w:rsid w:val="BEB746B8"/>
    <w:rsid w:val="BEBB3B93"/>
    <w:rsid w:val="BEC63099"/>
    <w:rsid w:val="BEDE62FB"/>
    <w:rsid w:val="BEEFA20C"/>
    <w:rsid w:val="BEEFB08B"/>
    <w:rsid w:val="BEF89F54"/>
    <w:rsid w:val="BEFD774F"/>
    <w:rsid w:val="BEFD8481"/>
    <w:rsid w:val="BF675C6D"/>
    <w:rsid w:val="BF7F3043"/>
    <w:rsid w:val="BFAF6BEA"/>
    <w:rsid w:val="BFB3220D"/>
    <w:rsid w:val="BFB71D93"/>
    <w:rsid w:val="BFB7BE07"/>
    <w:rsid w:val="BFBBE20F"/>
    <w:rsid w:val="BFBE9210"/>
    <w:rsid w:val="BFBE9B55"/>
    <w:rsid w:val="BFBED6FD"/>
    <w:rsid w:val="BFC5A207"/>
    <w:rsid w:val="BFC70874"/>
    <w:rsid w:val="BFD64240"/>
    <w:rsid w:val="BFD7EC7E"/>
    <w:rsid w:val="BFED66DB"/>
    <w:rsid w:val="BFEF1CF0"/>
    <w:rsid w:val="BFEFCAFA"/>
    <w:rsid w:val="BFF211F5"/>
    <w:rsid w:val="BFFA9525"/>
    <w:rsid w:val="BFFE9173"/>
    <w:rsid w:val="BFFF05AA"/>
    <w:rsid w:val="BFFF2794"/>
    <w:rsid w:val="BFFFD7C6"/>
    <w:rsid w:val="BFFFDD6C"/>
    <w:rsid w:val="C175FC02"/>
    <w:rsid w:val="C22D1432"/>
    <w:rsid w:val="C377D33E"/>
    <w:rsid w:val="C3817AF8"/>
    <w:rsid w:val="C6F79AA3"/>
    <w:rsid w:val="C6FF5552"/>
    <w:rsid w:val="C74F1025"/>
    <w:rsid w:val="C7A6E0C6"/>
    <w:rsid w:val="C7D5E229"/>
    <w:rsid w:val="C97B931B"/>
    <w:rsid w:val="C9F79D00"/>
    <w:rsid w:val="CADC6933"/>
    <w:rsid w:val="CAFAA37E"/>
    <w:rsid w:val="CB75B92C"/>
    <w:rsid w:val="CBB7F621"/>
    <w:rsid w:val="CBD7FC94"/>
    <w:rsid w:val="CC4EC24D"/>
    <w:rsid w:val="CCDEA039"/>
    <w:rsid w:val="CD2F8F6B"/>
    <w:rsid w:val="CD3FEDD1"/>
    <w:rsid w:val="CD43FCA8"/>
    <w:rsid w:val="CDD794E5"/>
    <w:rsid w:val="CDE3ACC7"/>
    <w:rsid w:val="CE59865A"/>
    <w:rsid w:val="CEE3C93B"/>
    <w:rsid w:val="CEEF2283"/>
    <w:rsid w:val="CEEF9173"/>
    <w:rsid w:val="CEF962AC"/>
    <w:rsid w:val="CF9FE00B"/>
    <w:rsid w:val="CFB3E3C7"/>
    <w:rsid w:val="CFB62C4F"/>
    <w:rsid w:val="CFB765EE"/>
    <w:rsid w:val="CFD4E29C"/>
    <w:rsid w:val="CFFD05AF"/>
    <w:rsid w:val="CFFF87B9"/>
    <w:rsid w:val="CFFFD98E"/>
    <w:rsid w:val="D0F8E025"/>
    <w:rsid w:val="D1AC3D17"/>
    <w:rsid w:val="D36F8E10"/>
    <w:rsid w:val="D3AF74CA"/>
    <w:rsid w:val="D3B189C1"/>
    <w:rsid w:val="D3F76A6F"/>
    <w:rsid w:val="D427A4B1"/>
    <w:rsid w:val="D4BF6AC9"/>
    <w:rsid w:val="D5080E33"/>
    <w:rsid w:val="D5E8B31C"/>
    <w:rsid w:val="D5E8D377"/>
    <w:rsid w:val="D657661F"/>
    <w:rsid w:val="D67F4E7E"/>
    <w:rsid w:val="D6DF4AEF"/>
    <w:rsid w:val="D6EB6563"/>
    <w:rsid w:val="D75F352F"/>
    <w:rsid w:val="D787430D"/>
    <w:rsid w:val="D79D7F56"/>
    <w:rsid w:val="D7A7460B"/>
    <w:rsid w:val="D7DF94DA"/>
    <w:rsid w:val="D7E7FDB1"/>
    <w:rsid w:val="D7EB2526"/>
    <w:rsid w:val="D7EBD1A5"/>
    <w:rsid w:val="D7F62A5C"/>
    <w:rsid w:val="D7FDE049"/>
    <w:rsid w:val="D7FF623E"/>
    <w:rsid w:val="D9EFD876"/>
    <w:rsid w:val="D9F6D5BA"/>
    <w:rsid w:val="DA9DC0C0"/>
    <w:rsid w:val="DA9FB462"/>
    <w:rsid w:val="DADB344B"/>
    <w:rsid w:val="DB370689"/>
    <w:rsid w:val="DB3F8FB7"/>
    <w:rsid w:val="DB5D723C"/>
    <w:rsid w:val="DB6FB61A"/>
    <w:rsid w:val="DB73D7DF"/>
    <w:rsid w:val="DB7920D3"/>
    <w:rsid w:val="DB7DAEAA"/>
    <w:rsid w:val="DBD34663"/>
    <w:rsid w:val="DBEAF5C3"/>
    <w:rsid w:val="DBEAFEFE"/>
    <w:rsid w:val="DBFBF72A"/>
    <w:rsid w:val="DBFFA3A0"/>
    <w:rsid w:val="DBFFE62A"/>
    <w:rsid w:val="DCA61F6F"/>
    <w:rsid w:val="DCBE0BF0"/>
    <w:rsid w:val="DCEFDE86"/>
    <w:rsid w:val="DD36A020"/>
    <w:rsid w:val="DD7DD9E1"/>
    <w:rsid w:val="DD7F2E4B"/>
    <w:rsid w:val="DDDDC088"/>
    <w:rsid w:val="DDEBBDBE"/>
    <w:rsid w:val="DDEF4DF2"/>
    <w:rsid w:val="DDFCBE8A"/>
    <w:rsid w:val="DDFF957E"/>
    <w:rsid w:val="DE6F166E"/>
    <w:rsid w:val="DE7EE9F8"/>
    <w:rsid w:val="DE9B9269"/>
    <w:rsid w:val="DEED798E"/>
    <w:rsid w:val="DEF5439C"/>
    <w:rsid w:val="DEF773E0"/>
    <w:rsid w:val="DEFBAEFB"/>
    <w:rsid w:val="DEFD88FB"/>
    <w:rsid w:val="DEFD9079"/>
    <w:rsid w:val="DEFFC765"/>
    <w:rsid w:val="DEFFF55F"/>
    <w:rsid w:val="DF1E23E0"/>
    <w:rsid w:val="DF1FFAD4"/>
    <w:rsid w:val="DF2C3AB6"/>
    <w:rsid w:val="DF55E0BC"/>
    <w:rsid w:val="DF5758BD"/>
    <w:rsid w:val="DF758D7C"/>
    <w:rsid w:val="DF7D6912"/>
    <w:rsid w:val="DF7DECCB"/>
    <w:rsid w:val="DF7E224E"/>
    <w:rsid w:val="DF7F5067"/>
    <w:rsid w:val="DF7FB3AB"/>
    <w:rsid w:val="DF9EA8A9"/>
    <w:rsid w:val="DFADB1E4"/>
    <w:rsid w:val="DFB7D4DA"/>
    <w:rsid w:val="DFBF3DB0"/>
    <w:rsid w:val="DFBFB69D"/>
    <w:rsid w:val="DFD5D6FB"/>
    <w:rsid w:val="DFDB6BDD"/>
    <w:rsid w:val="DFDCBDA7"/>
    <w:rsid w:val="DFDF25CB"/>
    <w:rsid w:val="DFE71C10"/>
    <w:rsid w:val="DFE734D9"/>
    <w:rsid w:val="DFEAD540"/>
    <w:rsid w:val="DFF51B9C"/>
    <w:rsid w:val="DFF57B4B"/>
    <w:rsid w:val="DFF7BB33"/>
    <w:rsid w:val="DFF7D1B1"/>
    <w:rsid w:val="DFFA2D74"/>
    <w:rsid w:val="DFFBDD6E"/>
    <w:rsid w:val="DFFD987D"/>
    <w:rsid w:val="DFFDA77F"/>
    <w:rsid w:val="DFFDB25B"/>
    <w:rsid w:val="DFFF1FED"/>
    <w:rsid w:val="E1BE4097"/>
    <w:rsid w:val="E1F7CD63"/>
    <w:rsid w:val="E22E61CF"/>
    <w:rsid w:val="E297809D"/>
    <w:rsid w:val="E2F57C1B"/>
    <w:rsid w:val="E2FF1653"/>
    <w:rsid w:val="E37FE289"/>
    <w:rsid w:val="E385F030"/>
    <w:rsid w:val="E3EBB47D"/>
    <w:rsid w:val="E3EE2D82"/>
    <w:rsid w:val="E5B5433D"/>
    <w:rsid w:val="E5D8E41E"/>
    <w:rsid w:val="E5DBD33F"/>
    <w:rsid w:val="E5F7D947"/>
    <w:rsid w:val="E66BF51E"/>
    <w:rsid w:val="E6E3C5F0"/>
    <w:rsid w:val="E6EFE6BD"/>
    <w:rsid w:val="E6F30116"/>
    <w:rsid w:val="E6FF1BD9"/>
    <w:rsid w:val="E72B99B6"/>
    <w:rsid w:val="E7785746"/>
    <w:rsid w:val="E779E75A"/>
    <w:rsid w:val="E78FF6AA"/>
    <w:rsid w:val="E7CFD029"/>
    <w:rsid w:val="E7EF5D44"/>
    <w:rsid w:val="E7F1DFBF"/>
    <w:rsid w:val="E7F47F0E"/>
    <w:rsid w:val="E7FD447C"/>
    <w:rsid w:val="E7FE694C"/>
    <w:rsid w:val="E7FF9A1A"/>
    <w:rsid w:val="E7FFC760"/>
    <w:rsid w:val="E7FFCEF3"/>
    <w:rsid w:val="E8EF498B"/>
    <w:rsid w:val="E97B7F01"/>
    <w:rsid w:val="E9B838B1"/>
    <w:rsid w:val="E9D36EAE"/>
    <w:rsid w:val="E9D78029"/>
    <w:rsid w:val="E9E62B3C"/>
    <w:rsid w:val="E9F410F8"/>
    <w:rsid w:val="E9FCF86D"/>
    <w:rsid w:val="E9FD3D14"/>
    <w:rsid w:val="E9FEB65B"/>
    <w:rsid w:val="EAAEE141"/>
    <w:rsid w:val="EAB7969D"/>
    <w:rsid w:val="EABFA8D8"/>
    <w:rsid w:val="EAE6EC88"/>
    <w:rsid w:val="EAF627E0"/>
    <w:rsid w:val="EAF66968"/>
    <w:rsid w:val="EAF74962"/>
    <w:rsid w:val="EAFDA722"/>
    <w:rsid w:val="EAFF4BEE"/>
    <w:rsid w:val="EB3937BB"/>
    <w:rsid w:val="EB3DA1F8"/>
    <w:rsid w:val="EB560F3D"/>
    <w:rsid w:val="EB6EB4A9"/>
    <w:rsid w:val="EB7781B6"/>
    <w:rsid w:val="EB7A728C"/>
    <w:rsid w:val="EBABBC6B"/>
    <w:rsid w:val="EBD7AB46"/>
    <w:rsid w:val="EBF5DABD"/>
    <w:rsid w:val="EBFF99F0"/>
    <w:rsid w:val="EC3F4107"/>
    <w:rsid w:val="ECBE870D"/>
    <w:rsid w:val="ECCFCABF"/>
    <w:rsid w:val="ED3AF84A"/>
    <w:rsid w:val="ED3E8DCE"/>
    <w:rsid w:val="ED457A82"/>
    <w:rsid w:val="ED5E20C3"/>
    <w:rsid w:val="ED5E5821"/>
    <w:rsid w:val="ED77F700"/>
    <w:rsid w:val="ED7D5FB0"/>
    <w:rsid w:val="ED7EBBBE"/>
    <w:rsid w:val="ED7F9B2E"/>
    <w:rsid w:val="ED994E17"/>
    <w:rsid w:val="EDFB7A63"/>
    <w:rsid w:val="EDFB834E"/>
    <w:rsid w:val="EDFBC016"/>
    <w:rsid w:val="EDFBF0DA"/>
    <w:rsid w:val="EDFF379D"/>
    <w:rsid w:val="EDFFAE75"/>
    <w:rsid w:val="EE1E7BE7"/>
    <w:rsid w:val="EE579B44"/>
    <w:rsid w:val="EE758774"/>
    <w:rsid w:val="EE8E1C73"/>
    <w:rsid w:val="EEC79FA8"/>
    <w:rsid w:val="EEE7829C"/>
    <w:rsid w:val="EEF3B7B9"/>
    <w:rsid w:val="EEFB9D6E"/>
    <w:rsid w:val="EEFCD448"/>
    <w:rsid w:val="EEFD4566"/>
    <w:rsid w:val="EF5BBB3E"/>
    <w:rsid w:val="EF5C3C20"/>
    <w:rsid w:val="EF675FF1"/>
    <w:rsid w:val="EF76C74D"/>
    <w:rsid w:val="EF780C29"/>
    <w:rsid w:val="EF7EF8DA"/>
    <w:rsid w:val="EFA59F96"/>
    <w:rsid w:val="EFABE406"/>
    <w:rsid w:val="EFAF001D"/>
    <w:rsid w:val="EFB747A0"/>
    <w:rsid w:val="EFBBA7C0"/>
    <w:rsid w:val="EFBF197E"/>
    <w:rsid w:val="EFBFA87B"/>
    <w:rsid w:val="EFBFE406"/>
    <w:rsid w:val="EFC924B6"/>
    <w:rsid w:val="EFDA80BF"/>
    <w:rsid w:val="EFDDE47A"/>
    <w:rsid w:val="EFDE9B51"/>
    <w:rsid w:val="EFDEB539"/>
    <w:rsid w:val="EFE6ECB7"/>
    <w:rsid w:val="EFE7B998"/>
    <w:rsid w:val="EFE7E5EC"/>
    <w:rsid w:val="EFEA7D5B"/>
    <w:rsid w:val="EFED498C"/>
    <w:rsid w:val="EFED99BF"/>
    <w:rsid w:val="EFEF2906"/>
    <w:rsid w:val="EFEF72BD"/>
    <w:rsid w:val="EFF934BE"/>
    <w:rsid w:val="EFFD145C"/>
    <w:rsid w:val="EFFDB996"/>
    <w:rsid w:val="EFFF2C9B"/>
    <w:rsid w:val="EFFF3F43"/>
    <w:rsid w:val="EFFF6748"/>
    <w:rsid w:val="EFFF9B30"/>
    <w:rsid w:val="F0F94EE3"/>
    <w:rsid w:val="F0FB4779"/>
    <w:rsid w:val="F14E68EB"/>
    <w:rsid w:val="F17F8C07"/>
    <w:rsid w:val="F18C82C3"/>
    <w:rsid w:val="F1BF1234"/>
    <w:rsid w:val="F1BFDF14"/>
    <w:rsid w:val="F1EAAB38"/>
    <w:rsid w:val="F1FFB93C"/>
    <w:rsid w:val="F27B7141"/>
    <w:rsid w:val="F27FA38A"/>
    <w:rsid w:val="F2BB2614"/>
    <w:rsid w:val="F2CFD35C"/>
    <w:rsid w:val="F2DF6F80"/>
    <w:rsid w:val="F2F83809"/>
    <w:rsid w:val="F2FD2B9E"/>
    <w:rsid w:val="F2FF12B4"/>
    <w:rsid w:val="F2FF721A"/>
    <w:rsid w:val="F36F20A8"/>
    <w:rsid w:val="F3724F2C"/>
    <w:rsid w:val="F37F4A1B"/>
    <w:rsid w:val="F37F60F1"/>
    <w:rsid w:val="F3B57471"/>
    <w:rsid w:val="F3BE45FB"/>
    <w:rsid w:val="F3C7602B"/>
    <w:rsid w:val="F3CEB86F"/>
    <w:rsid w:val="F3D294D4"/>
    <w:rsid w:val="F3DB2C35"/>
    <w:rsid w:val="F3EB7093"/>
    <w:rsid w:val="F3F7F6B9"/>
    <w:rsid w:val="F3FE868E"/>
    <w:rsid w:val="F46DC9F9"/>
    <w:rsid w:val="F49B07CE"/>
    <w:rsid w:val="F4B95111"/>
    <w:rsid w:val="F4FDB1E4"/>
    <w:rsid w:val="F56B5BAD"/>
    <w:rsid w:val="F5729ABB"/>
    <w:rsid w:val="F57F4DA8"/>
    <w:rsid w:val="F58FFD66"/>
    <w:rsid w:val="F5B9D0C9"/>
    <w:rsid w:val="F5BDD1EE"/>
    <w:rsid w:val="F5CF8F43"/>
    <w:rsid w:val="F5E78F19"/>
    <w:rsid w:val="F5EBBEC7"/>
    <w:rsid w:val="F5F58577"/>
    <w:rsid w:val="F5F7717B"/>
    <w:rsid w:val="F5F7CC98"/>
    <w:rsid w:val="F5F908CE"/>
    <w:rsid w:val="F5F91F09"/>
    <w:rsid w:val="F5FE5C2F"/>
    <w:rsid w:val="F5FFBB49"/>
    <w:rsid w:val="F62D44B6"/>
    <w:rsid w:val="F6BF00C6"/>
    <w:rsid w:val="F6F5656B"/>
    <w:rsid w:val="F6FA9E45"/>
    <w:rsid w:val="F6FBD95B"/>
    <w:rsid w:val="F6FD14F3"/>
    <w:rsid w:val="F6FFD7B4"/>
    <w:rsid w:val="F71E64CF"/>
    <w:rsid w:val="F73D9369"/>
    <w:rsid w:val="F73FC669"/>
    <w:rsid w:val="F7751416"/>
    <w:rsid w:val="F77570B5"/>
    <w:rsid w:val="F7792F0B"/>
    <w:rsid w:val="F78FE489"/>
    <w:rsid w:val="F79B70F7"/>
    <w:rsid w:val="F79F3EE3"/>
    <w:rsid w:val="F7A7BE7D"/>
    <w:rsid w:val="F7B63B30"/>
    <w:rsid w:val="F7BBDB1B"/>
    <w:rsid w:val="F7BBF1CE"/>
    <w:rsid w:val="F7BD39CA"/>
    <w:rsid w:val="F7BEC53E"/>
    <w:rsid w:val="F7CB21F0"/>
    <w:rsid w:val="F7CFDD56"/>
    <w:rsid w:val="F7D72319"/>
    <w:rsid w:val="F7D9F7D4"/>
    <w:rsid w:val="F7E9353E"/>
    <w:rsid w:val="F7ED7240"/>
    <w:rsid w:val="F7EF7726"/>
    <w:rsid w:val="F7F32E55"/>
    <w:rsid w:val="F7F6422D"/>
    <w:rsid w:val="F7F696AC"/>
    <w:rsid w:val="F7FA51F0"/>
    <w:rsid w:val="F7FCA273"/>
    <w:rsid w:val="F7FEBB66"/>
    <w:rsid w:val="F7FED789"/>
    <w:rsid w:val="F7FF14E5"/>
    <w:rsid w:val="F7FF49A9"/>
    <w:rsid w:val="F7FF5CC8"/>
    <w:rsid w:val="F7FFEAAB"/>
    <w:rsid w:val="F83DD696"/>
    <w:rsid w:val="F86F379F"/>
    <w:rsid w:val="F8BB73F4"/>
    <w:rsid w:val="F8DB69EF"/>
    <w:rsid w:val="F8F4F377"/>
    <w:rsid w:val="F95B1791"/>
    <w:rsid w:val="F967DB1B"/>
    <w:rsid w:val="F9761257"/>
    <w:rsid w:val="F9AF55C0"/>
    <w:rsid w:val="F9D3BAC4"/>
    <w:rsid w:val="F9DE2760"/>
    <w:rsid w:val="F9ED89BC"/>
    <w:rsid w:val="F9F7BAA1"/>
    <w:rsid w:val="F9FB7534"/>
    <w:rsid w:val="F9FE25F2"/>
    <w:rsid w:val="F9FE8762"/>
    <w:rsid w:val="F9FEC024"/>
    <w:rsid w:val="FA3F6127"/>
    <w:rsid w:val="FA7AB7E2"/>
    <w:rsid w:val="FA7D18E6"/>
    <w:rsid w:val="FAAEE65C"/>
    <w:rsid w:val="FABDF389"/>
    <w:rsid w:val="FACF824A"/>
    <w:rsid w:val="FADCE38E"/>
    <w:rsid w:val="FADEF03B"/>
    <w:rsid w:val="FADF9EA9"/>
    <w:rsid w:val="FAF75CFA"/>
    <w:rsid w:val="FAF7D8F9"/>
    <w:rsid w:val="FAFB1238"/>
    <w:rsid w:val="FAFE9304"/>
    <w:rsid w:val="FB5DC626"/>
    <w:rsid w:val="FB5F08F2"/>
    <w:rsid w:val="FB7FAE68"/>
    <w:rsid w:val="FB9D1143"/>
    <w:rsid w:val="FBB7B68C"/>
    <w:rsid w:val="FBBB2238"/>
    <w:rsid w:val="FBBE0EEE"/>
    <w:rsid w:val="FBBEF27B"/>
    <w:rsid w:val="FBBF5514"/>
    <w:rsid w:val="FBC757C9"/>
    <w:rsid w:val="FBDD42D1"/>
    <w:rsid w:val="FBDFD357"/>
    <w:rsid w:val="FBE3A12F"/>
    <w:rsid w:val="FBEFB199"/>
    <w:rsid w:val="FBFB84EF"/>
    <w:rsid w:val="FBFBF83A"/>
    <w:rsid w:val="FBFD7869"/>
    <w:rsid w:val="FBFD8001"/>
    <w:rsid w:val="FBFF254B"/>
    <w:rsid w:val="FBFFFB25"/>
    <w:rsid w:val="FC5FD9DF"/>
    <w:rsid w:val="FC7F12AA"/>
    <w:rsid w:val="FC99B40C"/>
    <w:rsid w:val="FC9C2D2D"/>
    <w:rsid w:val="FC9FADAD"/>
    <w:rsid w:val="FCDC0783"/>
    <w:rsid w:val="FCFF8C19"/>
    <w:rsid w:val="FD1F5F13"/>
    <w:rsid w:val="FD2FA174"/>
    <w:rsid w:val="FD4FBB59"/>
    <w:rsid w:val="FD56352A"/>
    <w:rsid w:val="FD5800B2"/>
    <w:rsid w:val="FD5B514F"/>
    <w:rsid w:val="FD5C5889"/>
    <w:rsid w:val="FD6F0E90"/>
    <w:rsid w:val="FD764F83"/>
    <w:rsid w:val="FDBD8229"/>
    <w:rsid w:val="FDBF45EC"/>
    <w:rsid w:val="FDDE8FE3"/>
    <w:rsid w:val="FDF16CC7"/>
    <w:rsid w:val="FDF3BDC8"/>
    <w:rsid w:val="FDF7CEDC"/>
    <w:rsid w:val="FDFB1A6C"/>
    <w:rsid w:val="FDFC23C8"/>
    <w:rsid w:val="FDFE2CEC"/>
    <w:rsid w:val="FDFF3652"/>
    <w:rsid w:val="FE1E0770"/>
    <w:rsid w:val="FE3DA7DA"/>
    <w:rsid w:val="FE3FEC7B"/>
    <w:rsid w:val="FE51E2EF"/>
    <w:rsid w:val="FE59B8FC"/>
    <w:rsid w:val="FE5F61A1"/>
    <w:rsid w:val="FE5F66F2"/>
    <w:rsid w:val="FE6E154A"/>
    <w:rsid w:val="FE6EC4CD"/>
    <w:rsid w:val="FE7FD523"/>
    <w:rsid w:val="FE8358B1"/>
    <w:rsid w:val="FE9EA054"/>
    <w:rsid w:val="FEAF6FD6"/>
    <w:rsid w:val="FEAFA5FE"/>
    <w:rsid w:val="FEBFBEB7"/>
    <w:rsid w:val="FED20F90"/>
    <w:rsid w:val="FED6F92A"/>
    <w:rsid w:val="FEE79552"/>
    <w:rsid w:val="FEEF1E6E"/>
    <w:rsid w:val="FEEF70A3"/>
    <w:rsid w:val="FEF36EFC"/>
    <w:rsid w:val="FEF77092"/>
    <w:rsid w:val="FEFA9585"/>
    <w:rsid w:val="FEFB2EB6"/>
    <w:rsid w:val="FEFC242C"/>
    <w:rsid w:val="FEFD9E63"/>
    <w:rsid w:val="FEFDD817"/>
    <w:rsid w:val="FEFF3F8E"/>
    <w:rsid w:val="FEFF60B4"/>
    <w:rsid w:val="FEFF70A4"/>
    <w:rsid w:val="FEFF7496"/>
    <w:rsid w:val="FEFF7F8E"/>
    <w:rsid w:val="FEFFA731"/>
    <w:rsid w:val="FF0F806E"/>
    <w:rsid w:val="FF2F0176"/>
    <w:rsid w:val="FF3A9D83"/>
    <w:rsid w:val="FF3F446D"/>
    <w:rsid w:val="FF4D0274"/>
    <w:rsid w:val="FF577AD4"/>
    <w:rsid w:val="FF57BEB7"/>
    <w:rsid w:val="FF57BF75"/>
    <w:rsid w:val="FF5B3711"/>
    <w:rsid w:val="FF5D14AB"/>
    <w:rsid w:val="FF5D1C8A"/>
    <w:rsid w:val="FF5FC543"/>
    <w:rsid w:val="FF5FE587"/>
    <w:rsid w:val="FF67ABAB"/>
    <w:rsid w:val="FF7180DC"/>
    <w:rsid w:val="FF74F6A5"/>
    <w:rsid w:val="FF764CB7"/>
    <w:rsid w:val="FF776516"/>
    <w:rsid w:val="FF78B65F"/>
    <w:rsid w:val="FF7C54D9"/>
    <w:rsid w:val="FF7CDF6E"/>
    <w:rsid w:val="FF7D304A"/>
    <w:rsid w:val="FF7F32B3"/>
    <w:rsid w:val="FF7F32DD"/>
    <w:rsid w:val="FF7F3B0E"/>
    <w:rsid w:val="FF7F6CD1"/>
    <w:rsid w:val="FF7FE124"/>
    <w:rsid w:val="FF7FE4B1"/>
    <w:rsid w:val="FF7FFA15"/>
    <w:rsid w:val="FF854BC5"/>
    <w:rsid w:val="FF915A06"/>
    <w:rsid w:val="FF952D36"/>
    <w:rsid w:val="FF9F4B0B"/>
    <w:rsid w:val="FF9F5B82"/>
    <w:rsid w:val="FF9FC2BD"/>
    <w:rsid w:val="FFAB6C8F"/>
    <w:rsid w:val="FFAEDC16"/>
    <w:rsid w:val="FFB3B41D"/>
    <w:rsid w:val="FFB5F89A"/>
    <w:rsid w:val="FFB67D11"/>
    <w:rsid w:val="FFB72880"/>
    <w:rsid w:val="FFB73C73"/>
    <w:rsid w:val="FFB9B593"/>
    <w:rsid w:val="FFBCC6DB"/>
    <w:rsid w:val="FFBF6300"/>
    <w:rsid w:val="FFBF7266"/>
    <w:rsid w:val="FFBFE677"/>
    <w:rsid w:val="FFCEA80B"/>
    <w:rsid w:val="FFCFE9D8"/>
    <w:rsid w:val="FFD714EB"/>
    <w:rsid w:val="FFDAEFEA"/>
    <w:rsid w:val="FFDD0FCC"/>
    <w:rsid w:val="FFDEBB95"/>
    <w:rsid w:val="FFDF307B"/>
    <w:rsid w:val="FFDF5FF6"/>
    <w:rsid w:val="FFDFB76F"/>
    <w:rsid w:val="FFDFBB40"/>
    <w:rsid w:val="FFDFF75E"/>
    <w:rsid w:val="FFE3C880"/>
    <w:rsid w:val="FFE50DCE"/>
    <w:rsid w:val="FFE78811"/>
    <w:rsid w:val="FFED5E70"/>
    <w:rsid w:val="FFEDD336"/>
    <w:rsid w:val="FFEDD7C6"/>
    <w:rsid w:val="FFEE288D"/>
    <w:rsid w:val="FFEF91AF"/>
    <w:rsid w:val="FFEFC1C4"/>
    <w:rsid w:val="FFEFE133"/>
    <w:rsid w:val="FFF38FB5"/>
    <w:rsid w:val="FFF5E6CB"/>
    <w:rsid w:val="FFF7028F"/>
    <w:rsid w:val="FFF74287"/>
    <w:rsid w:val="FFF7A893"/>
    <w:rsid w:val="FFF7B4E9"/>
    <w:rsid w:val="FFF7B7CB"/>
    <w:rsid w:val="FFF7E317"/>
    <w:rsid w:val="FFF7F70D"/>
    <w:rsid w:val="FFF9A206"/>
    <w:rsid w:val="FFF9EC50"/>
    <w:rsid w:val="FFFA217D"/>
    <w:rsid w:val="FFFB013C"/>
    <w:rsid w:val="FFFB2860"/>
    <w:rsid w:val="FFFBB370"/>
    <w:rsid w:val="FFFC6607"/>
    <w:rsid w:val="FFFCC141"/>
    <w:rsid w:val="FFFD1C7D"/>
    <w:rsid w:val="FFFD7C05"/>
    <w:rsid w:val="FFFDDEAA"/>
    <w:rsid w:val="FFFE07AA"/>
    <w:rsid w:val="FFFE1151"/>
    <w:rsid w:val="FFFE9DAC"/>
    <w:rsid w:val="FFFEFA9C"/>
    <w:rsid w:val="FFFF24A9"/>
    <w:rsid w:val="FFFF601D"/>
    <w:rsid w:val="FFFF9FCE"/>
    <w:rsid w:val="FFFFA4D8"/>
    <w:rsid w:val="FFFFB5C8"/>
    <w:rsid w:val="FFFFCA51"/>
    <w:rsid w:val="FFFFE3A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96"/>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1"/>
    <w:qFormat/>
    <w:uiPriority w:val="0"/>
    <w:pPr>
      <w:keepNext/>
      <w:keepLines/>
      <w:jc w:val="center"/>
      <w:outlineLvl w:val="0"/>
    </w:pPr>
    <w:rPr>
      <w:rFonts w:eastAsia="方正小标宋简体"/>
      <w:b/>
      <w:bCs/>
      <w:kern w:val="44"/>
      <w:sz w:val="36"/>
      <w:szCs w:val="44"/>
    </w:rPr>
  </w:style>
  <w:style w:type="paragraph" w:styleId="5">
    <w:name w:val="heading 2"/>
    <w:basedOn w:val="1"/>
    <w:next w:val="1"/>
    <w:link w:val="32"/>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6">
    <w:name w:val="heading 9"/>
    <w:basedOn w:val="1"/>
    <w:next w:val="1"/>
    <w:link w:val="34"/>
    <w:qFormat/>
    <w:uiPriority w:val="0"/>
    <w:pPr>
      <w:keepNext/>
      <w:keepLines/>
      <w:spacing w:before="240" w:after="64" w:line="320" w:lineRule="auto"/>
      <w:outlineLvl w:val="8"/>
    </w:pPr>
    <w:rPr>
      <w:rFonts w:ascii="Calibri Light" w:hAnsi="Calibri Light"/>
      <w:szCs w:val="21"/>
    </w:rPr>
  </w:style>
  <w:style w:type="character" w:default="1" w:styleId="23">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style>
  <w:style w:type="paragraph" w:styleId="7">
    <w:name w:val="Normal Indent"/>
    <w:basedOn w:val="1"/>
    <w:qFormat/>
    <w:uiPriority w:val="0"/>
    <w:pPr>
      <w:spacing w:line="240" w:lineRule="atLeast"/>
      <w:ind w:firstLine="420" w:firstLineChars="200"/>
    </w:pPr>
    <w:rPr>
      <w:rFonts w:eastAsia="仿宋_GB2312"/>
      <w:spacing w:val="-6"/>
      <w:sz w:val="32"/>
      <w:szCs w:val="20"/>
    </w:rPr>
  </w:style>
  <w:style w:type="paragraph" w:styleId="8">
    <w:name w:val="Document Map"/>
    <w:basedOn w:val="1"/>
    <w:link w:val="58"/>
    <w:qFormat/>
    <w:uiPriority w:val="0"/>
    <w:pPr>
      <w:shd w:val="clear" w:color="auto" w:fill="000080"/>
    </w:pPr>
  </w:style>
  <w:style w:type="paragraph" w:styleId="9">
    <w:name w:val="annotation text"/>
    <w:basedOn w:val="1"/>
    <w:link w:val="33"/>
    <w:qFormat/>
    <w:uiPriority w:val="0"/>
    <w:pPr>
      <w:jc w:val="left"/>
    </w:pPr>
  </w:style>
  <w:style w:type="paragraph" w:styleId="10">
    <w:name w:val="Body Text"/>
    <w:basedOn w:val="1"/>
    <w:qFormat/>
    <w:uiPriority w:val="0"/>
    <w:rPr>
      <w:rFonts w:ascii="仿宋_GB2312" w:eastAsia="仿宋_GB2312"/>
      <w:sz w:val="30"/>
      <w:szCs w:val="20"/>
    </w:rPr>
  </w:style>
  <w:style w:type="paragraph" w:styleId="11">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2">
    <w:name w:val="Plain Text"/>
    <w:basedOn w:val="1"/>
    <w:qFormat/>
    <w:uiPriority w:val="0"/>
    <w:rPr>
      <w:rFonts w:ascii="宋体" w:hAnsi="Courier New" w:cs="Courier New"/>
      <w:szCs w:val="21"/>
    </w:rPr>
  </w:style>
  <w:style w:type="paragraph" w:styleId="13">
    <w:name w:val="Date"/>
    <w:basedOn w:val="1"/>
    <w:next w:val="1"/>
    <w:qFormat/>
    <w:uiPriority w:val="0"/>
    <w:rPr>
      <w:rFonts w:ascii="黑体" w:eastAsia="仿宋_GB2312"/>
      <w:sz w:val="32"/>
      <w:szCs w:val="20"/>
    </w:rPr>
  </w:style>
  <w:style w:type="paragraph" w:styleId="14">
    <w:name w:val="Balloon Text"/>
    <w:basedOn w:val="1"/>
    <w:link w:val="59"/>
    <w:qFormat/>
    <w:uiPriority w:val="0"/>
    <w:rPr>
      <w:sz w:val="18"/>
      <w:szCs w:val="18"/>
    </w:rPr>
  </w:style>
  <w:style w:type="paragraph" w:styleId="15">
    <w:name w:val="footer"/>
    <w:basedOn w:val="1"/>
    <w:link w:val="30"/>
    <w:qFormat/>
    <w:uiPriority w:val="0"/>
    <w:pPr>
      <w:tabs>
        <w:tab w:val="center" w:pos="4153"/>
        <w:tab w:val="right" w:pos="8306"/>
      </w:tabs>
      <w:snapToGrid w:val="0"/>
      <w:jc w:val="left"/>
    </w:pPr>
    <w:rPr>
      <w:sz w:val="18"/>
      <w:szCs w:val="18"/>
    </w:rPr>
  </w:style>
  <w:style w:type="paragraph" w:styleId="16">
    <w:name w:val="header"/>
    <w:basedOn w:val="1"/>
    <w:link w:val="56"/>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widowControl/>
      <w:spacing w:after="100" w:line="259" w:lineRule="auto"/>
      <w:jc w:val="left"/>
    </w:pPr>
    <w:rPr>
      <w:rFonts w:ascii="Calibri" w:hAnsi="Calibri"/>
      <w:kern w:val="0"/>
      <w:sz w:val="22"/>
      <w:szCs w:val="22"/>
    </w:rPr>
  </w:style>
  <w:style w:type="paragraph" w:styleId="18">
    <w:name w:val="Body Text Indent 3"/>
    <w:basedOn w:val="1"/>
    <w:qFormat/>
    <w:uiPriority w:val="0"/>
    <w:pPr>
      <w:spacing w:after="120"/>
      <w:ind w:left="420" w:leftChars="200"/>
    </w:pPr>
    <w:rPr>
      <w:sz w:val="16"/>
      <w:szCs w:val="16"/>
    </w:rPr>
  </w:style>
  <w:style w:type="paragraph" w:styleId="19">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0">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paragraph" w:styleId="21">
    <w:name w:val="annotation subject"/>
    <w:basedOn w:val="9"/>
    <w:next w:val="9"/>
    <w:link w:val="40"/>
    <w:qFormat/>
    <w:uiPriority w:val="0"/>
    <w:rPr>
      <w:b/>
      <w:bCs/>
    </w:rPr>
  </w:style>
  <w:style w:type="character" w:styleId="24">
    <w:name w:val="page number"/>
    <w:qFormat/>
    <w:uiPriority w:val="0"/>
    <w:rPr>
      <w:rFonts w:ascii="Times New Roman" w:hAnsi="Times New Roman" w:eastAsia="宋体" w:cs="Times New Roman"/>
    </w:rPr>
  </w:style>
  <w:style w:type="character" w:styleId="25">
    <w:name w:val="FollowedHyperlink"/>
    <w:qFormat/>
    <w:uiPriority w:val="0"/>
    <w:rPr>
      <w:rFonts w:ascii="Times New Roman" w:hAnsi="Times New Roman" w:eastAsia="宋体" w:cs="Times New Roman"/>
      <w:color w:val="954F72"/>
      <w:u w:val="single"/>
    </w:rPr>
  </w:style>
  <w:style w:type="character" w:styleId="26">
    <w:name w:val="Emphasis"/>
    <w:qFormat/>
    <w:uiPriority w:val="0"/>
    <w:rPr>
      <w:rFonts w:ascii="Times New Roman" w:hAnsi="Times New Roman" w:eastAsia="宋体" w:cs="Times New Roman"/>
      <w:i/>
      <w:iCs/>
    </w:rPr>
  </w:style>
  <w:style w:type="character" w:styleId="27">
    <w:name w:val="Hyperlink"/>
    <w:qFormat/>
    <w:uiPriority w:val="99"/>
    <w:rPr>
      <w:rFonts w:ascii="Times New Roman" w:hAnsi="Times New Roman" w:eastAsia="宋体" w:cs="Times New Roman"/>
      <w:color w:val="0563C1"/>
      <w:u w:val="single"/>
    </w:rPr>
  </w:style>
  <w:style w:type="character" w:styleId="28">
    <w:name w:val="annotation reference"/>
    <w:qFormat/>
    <w:uiPriority w:val="0"/>
    <w:rPr>
      <w:sz w:val="21"/>
    </w:rPr>
  </w:style>
  <w:style w:type="paragraph" w:customStyle="1" w:styleId="29">
    <w:name w:val="toc 11"/>
    <w:next w:val="1"/>
    <w:qFormat/>
    <w:uiPriority w:val="0"/>
    <w:pPr>
      <w:wordWrap w:val="0"/>
      <w:jc w:val="both"/>
    </w:pPr>
    <w:rPr>
      <w:rFonts w:ascii="Times New Roman" w:hAnsi="Times New Roman" w:eastAsia="宋体" w:cs="Times New Roman"/>
      <w:sz w:val="21"/>
      <w:szCs w:val="22"/>
      <w:lang w:val="en-US" w:eastAsia="zh-CN" w:bidi="ar-SA"/>
    </w:rPr>
  </w:style>
  <w:style w:type="character" w:customStyle="1" w:styleId="30">
    <w:name w:val="页脚 字符"/>
    <w:link w:val="15"/>
    <w:qFormat/>
    <w:uiPriority w:val="0"/>
    <w:rPr>
      <w:rFonts w:ascii="Times New Roman" w:hAnsi="Times New Roman" w:eastAsia="宋体" w:cs="Times New Roman"/>
      <w:kern w:val="2"/>
      <w:sz w:val="18"/>
      <w:szCs w:val="18"/>
      <w:lang w:val="en-US" w:eastAsia="zh-CN" w:bidi="ar-SA"/>
    </w:rPr>
  </w:style>
  <w:style w:type="character" w:customStyle="1" w:styleId="31">
    <w:name w:val="标题 1 字符"/>
    <w:link w:val="4"/>
    <w:qFormat/>
    <w:uiPriority w:val="0"/>
    <w:rPr>
      <w:rFonts w:ascii="Times New Roman" w:hAnsi="Times New Roman" w:eastAsia="方正小标宋简体" w:cs="Times New Roman"/>
      <w:b/>
      <w:bCs/>
      <w:kern w:val="44"/>
      <w:sz w:val="36"/>
      <w:szCs w:val="44"/>
    </w:rPr>
  </w:style>
  <w:style w:type="character" w:customStyle="1" w:styleId="32">
    <w:name w:val="标题 2 字符"/>
    <w:link w:val="5"/>
    <w:qFormat/>
    <w:uiPriority w:val="0"/>
    <w:rPr>
      <w:rFonts w:ascii="宋体" w:hAnsi="宋体" w:eastAsia="宋体" w:cs="宋体"/>
      <w:b/>
      <w:bCs/>
      <w:sz w:val="30"/>
      <w:szCs w:val="36"/>
    </w:rPr>
  </w:style>
  <w:style w:type="character" w:customStyle="1" w:styleId="33">
    <w:name w:val="批注文字 字符"/>
    <w:link w:val="9"/>
    <w:qFormat/>
    <w:uiPriority w:val="0"/>
    <w:rPr>
      <w:rFonts w:ascii="Times New Roman" w:hAnsi="Times New Roman" w:eastAsia="宋体" w:cs="Times New Roman"/>
      <w:kern w:val="2"/>
      <w:sz w:val="21"/>
      <w:szCs w:val="24"/>
      <w:lang w:val="en-US" w:eastAsia="zh-CN" w:bidi="ar-SA"/>
    </w:rPr>
  </w:style>
  <w:style w:type="character" w:customStyle="1" w:styleId="34">
    <w:name w:val="标题 9 字符"/>
    <w:link w:val="6"/>
    <w:qFormat/>
    <w:uiPriority w:val="0"/>
    <w:rPr>
      <w:rFonts w:ascii="Calibri Light" w:hAnsi="Calibri Light" w:eastAsia="宋体" w:cs="Times New Roman"/>
      <w:kern w:val="2"/>
      <w:sz w:val="21"/>
      <w:szCs w:val="21"/>
    </w:rPr>
  </w:style>
  <w:style w:type="paragraph" w:customStyle="1" w:styleId="35">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36">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默认段落字体 Para Char Char Char Char Char Char Char"/>
    <w:basedOn w:val="8"/>
    <w:qFormat/>
    <w:uiPriority w:val="0"/>
    <w:pPr>
      <w:adjustRightInd w:val="0"/>
      <w:spacing w:line="436" w:lineRule="exact"/>
      <w:ind w:left="357"/>
      <w:jc w:val="left"/>
      <w:outlineLvl w:val="3"/>
    </w:pPr>
    <w:rPr>
      <w:rFonts w:ascii="Tahoma" w:hAnsi="Tahoma"/>
      <w:b/>
      <w:sz w:val="24"/>
    </w:rPr>
  </w:style>
  <w:style w:type="character" w:customStyle="1" w:styleId="38">
    <w:name w:val="p121"/>
    <w:qFormat/>
    <w:uiPriority w:val="0"/>
    <w:rPr>
      <w:rFonts w:hint="default" w:eastAsia="宋体" w:cs="Times New Roman"/>
      <w:sz w:val="24"/>
      <w:szCs w:val="24"/>
    </w:rPr>
  </w:style>
  <w:style w:type="paragraph" w:customStyle="1" w:styleId="39">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40">
    <w:name w:val="批注主题 字符"/>
    <w:link w:val="21"/>
    <w:qFormat/>
    <w:uiPriority w:val="0"/>
    <w:rPr>
      <w:rFonts w:ascii="Times New Roman" w:hAnsi="Times New Roman" w:eastAsia="宋体" w:cs="Times New Roman"/>
      <w:b/>
      <w:bCs/>
      <w:kern w:val="2"/>
      <w:sz w:val="21"/>
      <w:szCs w:val="24"/>
      <w:lang w:val="en-US" w:eastAsia="zh-CN" w:bidi="ar-SA"/>
    </w:rPr>
  </w:style>
  <w:style w:type="paragraph" w:customStyle="1" w:styleId="41">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2">
    <w:name w:val="Char1 Char Char Char"/>
    <w:basedOn w:val="1"/>
    <w:qFormat/>
    <w:uiPriority w:val="0"/>
    <w:rPr>
      <w:rFonts w:ascii="Tahoma" w:hAnsi="Tahoma"/>
      <w:sz w:val="24"/>
      <w:szCs w:val="20"/>
    </w:rPr>
  </w:style>
  <w:style w:type="paragraph" w:customStyle="1" w:styleId="43">
    <w:name w:val="Char1 Char Char Char1"/>
    <w:basedOn w:val="1"/>
    <w:qFormat/>
    <w:uiPriority w:val="0"/>
    <w:rPr>
      <w:rFonts w:ascii="Tahoma" w:hAnsi="Tahoma"/>
      <w:sz w:val="24"/>
      <w:szCs w:val="20"/>
    </w:rPr>
  </w:style>
  <w:style w:type="paragraph" w:customStyle="1" w:styleId="44">
    <w:name w:val="Char1"/>
    <w:basedOn w:val="1"/>
    <w:qFormat/>
    <w:uiPriority w:val="0"/>
    <w:rPr>
      <w:rFonts w:ascii="Tahoma" w:hAnsi="Tahoma"/>
      <w:sz w:val="24"/>
      <w:szCs w:val="20"/>
    </w:rPr>
  </w:style>
  <w:style w:type="paragraph" w:customStyle="1" w:styleId="45">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47">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48">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TOC 标题1"/>
    <w:basedOn w:val="4"/>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5">
    <w:name w:val="列表段落1"/>
    <w:basedOn w:val="1"/>
    <w:qFormat/>
    <w:uiPriority w:val="34"/>
    <w:pPr>
      <w:ind w:firstLine="420" w:firstLineChars="200"/>
    </w:pPr>
  </w:style>
  <w:style w:type="character" w:customStyle="1" w:styleId="56">
    <w:name w:val="页眉 字符"/>
    <w:basedOn w:val="23"/>
    <w:link w:val="16"/>
    <w:qFormat/>
    <w:uiPriority w:val="0"/>
    <w:rPr>
      <w:kern w:val="2"/>
      <w:sz w:val="18"/>
      <w:szCs w:val="18"/>
    </w:rPr>
  </w:style>
  <w:style w:type="character" w:customStyle="1" w:styleId="57">
    <w:name w:val="oalinshistyle21"/>
    <w:qFormat/>
    <w:uiPriority w:val="0"/>
    <w:rPr>
      <w:rFonts w:hint="default" w:ascii="Arial" w:hAnsi="Arial" w:cs="Arial"/>
      <w:sz w:val="27"/>
      <w:szCs w:val="27"/>
    </w:rPr>
  </w:style>
  <w:style w:type="character" w:customStyle="1" w:styleId="58">
    <w:name w:val="文档结构图 字符"/>
    <w:basedOn w:val="23"/>
    <w:link w:val="8"/>
    <w:qFormat/>
    <w:uiPriority w:val="0"/>
    <w:rPr>
      <w:kern w:val="2"/>
      <w:sz w:val="21"/>
      <w:szCs w:val="24"/>
      <w:shd w:val="clear" w:color="auto" w:fill="000080"/>
    </w:rPr>
  </w:style>
  <w:style w:type="character" w:customStyle="1" w:styleId="59">
    <w:name w:val="批注框文本 字符"/>
    <w:basedOn w:val="23"/>
    <w:link w:val="14"/>
    <w:qFormat/>
    <w:uiPriority w:val="0"/>
    <w:rPr>
      <w:kern w:val="2"/>
      <w:sz w:val="18"/>
      <w:szCs w:val="18"/>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135</Pages>
  <Words>131269</Words>
  <Characters>139273</Characters>
  <Lines>1186</Lines>
  <Paragraphs>334</Paragraphs>
  <TotalTime>57</TotalTime>
  <ScaleCrop>false</ScaleCrop>
  <LinksUpToDate>false</LinksUpToDate>
  <CharactersWithSpaces>140386</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2022-08-30T18:35:00Z</dcterms:created>
  <dc:creator>张通</dc:creator>
  <cp:lastModifiedBy>Moon</cp:lastModifiedBy>
  <cp:lastPrinted>2023-11-28T20:59:00Z</cp:lastPrinted>
  <dcterms:modified xsi:type="dcterms:W3CDTF">2025-06-09T06:36:47Z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21CB7F7E36F44B2887F6D29F03788F44</vt:lpwstr>
  </property>
</Properties>
</file>