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83A6B">
      <w:pPr>
        <w:pStyle w:val="14"/>
        <w:spacing w:line="240" w:lineRule="auto"/>
        <w:jc w:val="distribute"/>
        <w:rPr>
          <w:color w:val="FF0000"/>
          <w:highlight w:val="none"/>
        </w:rPr>
      </w:pPr>
      <w:bookmarkStart w:id="0" w:name="_GoBack"/>
      <w:bookmarkEnd w:id="0"/>
      <w:r>
        <w:rPr>
          <w:color w:val="FF0000"/>
          <w:highlight w:val="none"/>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paragraph">
                  <wp:posOffset>533400</wp:posOffset>
                </wp:positionV>
                <wp:extent cx="5613400" cy="0"/>
                <wp:effectExtent l="0" t="13970" r="0" b="2413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13400"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top:42pt;height:0pt;width:442pt;mso-position-horizontal:center;mso-position-horizontal-relative:page;z-index:251659264;mso-width-relative:page;mso-height-relative:page;" filled="f" stroked="t" coordsize="21600,21600" o:gfxdata="UEsDBAoAAAAAAIdO4kAAAAAAAAAAAAAAAAAEAAAAZHJzL1BLAwQUAAAACACHTuJAIw7etdIAAAAG&#10;AQAADwAAAGRycy9kb3ducmV2LnhtbE2PT0/DMAzF70h8h8hI3Fi6CaGqNJ0AwQ0JUQa7Zo1pqjVO&#10;1Xhd9+0xcICT/zzrvZ/L9Rx6NeGYukgGlosMFFITXUetgc3b01UOKrElZ/tIaOCECdbV+VlpCxeP&#10;9IpTza0SE0qFNeCZh0Lr1HgMNi3igCTaZxyDZRnHVrvRHsU89HqVZTc62I4kwdsBHzw2+/oQDMwf&#10;+Z3fPvP9Y3x/8ft5W4dpdTLm8mKZ3YJinPnvGL7xBR0qYdrFA7mkegPyCBvIr6WKmv80u9+Frkr9&#10;H7/6AlBLAwQUAAAACACHTuJATljhouwBAAC5AwAADgAAAGRycy9lMm9Eb2MueG1srVO9jhMxEO6R&#10;eAfLPdlNIMdplc0ViUJzQKQ7HsDxerMWtsfyONnkJXgBJDqoKOnvbTgeg7HzA3c0V7CFZc98883M&#10;N7OTq501bKsCanA1Hw5KzpST0Gi3rvmH28WLS84wCtcIA07VfK+QX02fP5v0vlIj6MA0KjAicVj1&#10;vuZdjL4qCpSdsgIH4JUjZwvBikjPsC6aIHpit6YYleVF0UNofACpEMk6Pzj5kTE8hRDaVks1B7mx&#10;ysUDa1BGRGoJO+2RT3O1batkfN+2qCIzNadOYz4pCd1X6SymE1Gtg/CdlscSxFNKeNSTFdpR0jPV&#10;XETBNkH/Q2W1DIDQxoEEWxwayYpQF8PykTY3nfAq90JSoz+Ljv+PVr7bLgPTDW0CZ05YGvj95x8/&#10;P339dfeFzvvv39gwidR7rAg7c8uQ2pQ7d+OvQX5E5mDWCbdWudjbvSeGHFE8CEkP9JRq1b+FhjBi&#10;EyErtmuDTZSkBdvlwezPg1G7yCQZxxfDl69Kmpk8+QpRnQJ9wPhGgWXpUnOjXdJMVGJ7jZFKJ+gJ&#10;kswOFtqYPHfjWF/z0eX49ThHIBjdJG/CYVivZiawraDVWSxK+pIQxPYAFmDjmoPduBSn8tYdU5/a&#10;Pgi4gma/DAmc7DTRTHfcvrQyf78z6s8fN/0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Iw7etdIA&#10;AAAGAQAADwAAAAAAAAABACAAAAAiAAAAZHJzL2Rvd25yZXYueG1sUEsBAhQAFAAAAAgAh07iQE5Y&#10;4aLsAQAAuQMAAA4AAAAAAAAAAQAgAAAAIQEAAGRycy9lMm9Eb2MueG1sUEsFBgAAAAAGAAYAWQEA&#10;AH8FAAAAAA==&#10;">
                <v:fill on="f" focussize="0,0"/>
                <v:stroke weight="2.25pt" color="#FF0000" joinstyle="round"/>
                <v:imagedata o:title=""/>
                <o:lock v:ext="edit" aspectratio="f"/>
              </v:line>
            </w:pict>
          </mc:Fallback>
        </mc:AlternateContent>
      </w:r>
      <w:r>
        <w:rPr>
          <w:rFonts w:hint="eastAsia"/>
          <w:color w:val="FF0000"/>
          <w:sz w:val="58"/>
          <w:highlight w:val="none"/>
        </w:rPr>
        <w:t>北京市城市管理综合行政执法局</w:t>
      </w:r>
    </w:p>
    <w:p w14:paraId="79F6B40A">
      <w:pPr>
        <w:keepNext w:val="0"/>
        <w:keepLines w:val="0"/>
        <w:pageBreakBefore w:val="0"/>
        <w:kinsoku/>
        <w:wordWrap/>
        <w:overflowPunct/>
        <w:topLinePunct w:val="0"/>
        <w:autoSpaceDE/>
        <w:autoSpaceDN/>
        <w:bidi w:val="0"/>
        <w:adjustRightInd/>
        <w:snapToGrid/>
        <w:spacing w:line="0" w:lineRule="atLeast"/>
        <w:jc w:val="center"/>
        <w:rPr>
          <w:rFonts w:ascii="方正小标宋简体" w:hAnsi="宋体" w:eastAsia="方正小标宋简体"/>
          <w:color w:val="auto"/>
          <w:sz w:val="36"/>
          <w:szCs w:val="36"/>
          <w:highlight w:val="none"/>
        </w:rPr>
      </w:pPr>
    </w:p>
    <w:p w14:paraId="06B637B0">
      <w:pPr>
        <w:keepNext w:val="0"/>
        <w:keepLines w:val="0"/>
        <w:pageBreakBefore w:val="0"/>
        <w:widowControl/>
        <w:kinsoku/>
        <w:wordWrap/>
        <w:overflowPunct/>
        <w:topLinePunct w:val="0"/>
        <w:autoSpaceDE/>
        <w:autoSpaceDN/>
        <w:bidi w:val="0"/>
        <w:adjustRightInd/>
        <w:snapToGrid/>
        <w:spacing w:line="0" w:lineRule="atLeast"/>
        <w:jc w:val="center"/>
        <w:textAlignment w:val="baseline"/>
        <w:outlineLvl w:val="0"/>
        <w:rPr>
          <w:rFonts w:hint="eastAsia" w:ascii="方正小标宋简体" w:hAnsi="宋体" w:eastAsia="方正小标宋简体"/>
          <w:color w:val="auto"/>
          <w:sz w:val="44"/>
          <w:szCs w:val="44"/>
          <w:highlight w:val="none"/>
          <w:lang w:eastAsia="zh-CN"/>
        </w:rPr>
      </w:pPr>
      <w:r>
        <w:rPr>
          <w:rFonts w:hint="eastAsia" w:ascii="方正小标宋简体" w:hAnsi="宋体" w:eastAsia="方正小标宋简体"/>
          <w:color w:val="auto"/>
          <w:sz w:val="44"/>
          <w:szCs w:val="44"/>
          <w:highlight w:val="none"/>
        </w:rPr>
        <w:t>关于</w:t>
      </w:r>
      <w:r>
        <w:rPr>
          <w:rFonts w:hint="eastAsia" w:ascii="方正小标宋简体" w:hAnsi="宋体" w:eastAsia="方正小标宋简体"/>
          <w:color w:val="auto"/>
          <w:sz w:val="44"/>
          <w:szCs w:val="44"/>
          <w:highlight w:val="none"/>
          <w:lang w:eastAsia="zh-CN"/>
        </w:rPr>
        <w:t>进一步做好</w:t>
      </w:r>
      <w:r>
        <w:rPr>
          <w:rFonts w:hint="eastAsia" w:ascii="方正小标宋简体" w:hAnsi="宋体" w:eastAsia="方正小标宋简体"/>
          <w:color w:val="auto"/>
          <w:sz w:val="44"/>
          <w:szCs w:val="44"/>
          <w:highlight w:val="none"/>
        </w:rPr>
        <w:t>《</w:t>
      </w:r>
      <w:r>
        <w:rPr>
          <w:rFonts w:hint="eastAsia" w:ascii="方正小标宋简体" w:hAnsi="宋体" w:eastAsia="方正小标宋简体"/>
          <w:color w:val="auto"/>
          <w:sz w:val="44"/>
          <w:szCs w:val="44"/>
          <w:highlight w:val="none"/>
          <w:lang w:eastAsia="zh-CN"/>
        </w:rPr>
        <w:t>北京市实施行政处罚</w:t>
      </w:r>
    </w:p>
    <w:p w14:paraId="5E7255DB">
      <w:pPr>
        <w:keepNext w:val="0"/>
        <w:keepLines w:val="0"/>
        <w:pageBreakBefore w:val="0"/>
        <w:widowControl/>
        <w:kinsoku/>
        <w:wordWrap/>
        <w:overflowPunct/>
        <w:topLinePunct w:val="0"/>
        <w:autoSpaceDE/>
        <w:autoSpaceDN/>
        <w:bidi w:val="0"/>
        <w:adjustRightInd/>
        <w:snapToGrid/>
        <w:spacing w:line="0" w:lineRule="atLeast"/>
        <w:jc w:val="center"/>
        <w:textAlignment w:val="baseline"/>
        <w:outlineLvl w:val="0"/>
        <w:rPr>
          <w:rFonts w:hint="eastAsia" w:ascii="方正小标宋简体" w:hAnsi="宋体" w:eastAsia="方正小标宋简体"/>
          <w:color w:val="auto"/>
          <w:sz w:val="44"/>
          <w:szCs w:val="44"/>
          <w:highlight w:val="none"/>
        </w:rPr>
      </w:pPr>
      <w:r>
        <w:rPr>
          <w:rFonts w:hint="eastAsia" w:ascii="方正小标宋简体" w:hAnsi="宋体" w:eastAsia="方正小标宋简体"/>
          <w:color w:val="auto"/>
          <w:sz w:val="44"/>
          <w:szCs w:val="44"/>
          <w:highlight w:val="none"/>
          <w:lang w:eastAsia="zh-CN"/>
        </w:rPr>
        <w:t>程序若干规定</w:t>
      </w:r>
      <w:r>
        <w:rPr>
          <w:rFonts w:hint="eastAsia" w:ascii="方正小标宋简体" w:hAnsi="宋体" w:eastAsia="方正小标宋简体"/>
          <w:color w:val="auto"/>
          <w:sz w:val="44"/>
          <w:szCs w:val="44"/>
          <w:highlight w:val="none"/>
        </w:rPr>
        <w:t>》</w:t>
      </w:r>
      <w:r>
        <w:rPr>
          <w:rFonts w:hint="eastAsia" w:ascii="方正小标宋简体" w:hAnsi="宋体" w:eastAsia="方正小标宋简体"/>
          <w:color w:val="auto"/>
          <w:sz w:val="44"/>
          <w:szCs w:val="44"/>
          <w:highlight w:val="none"/>
          <w:lang w:eastAsia="zh-CN"/>
        </w:rPr>
        <w:t>贯彻落实工作</w:t>
      </w:r>
      <w:r>
        <w:rPr>
          <w:rFonts w:ascii="方正小标宋简体" w:hAnsi="宋体" w:eastAsia="方正小标宋简体"/>
          <w:color w:val="auto"/>
          <w:sz w:val="44"/>
          <w:szCs w:val="44"/>
          <w:highlight w:val="none"/>
        </w:rPr>
        <w:t>的通知</w:t>
      </w:r>
    </w:p>
    <w:p w14:paraId="177F72EA">
      <w:pPr>
        <w:keepNext w:val="0"/>
        <w:keepLines w:val="0"/>
        <w:pageBreakBefore w:val="0"/>
        <w:widowControl/>
        <w:kinsoku/>
        <w:wordWrap/>
        <w:overflowPunct/>
        <w:topLinePunct w:val="0"/>
        <w:autoSpaceDE/>
        <w:autoSpaceDN/>
        <w:bidi w:val="0"/>
        <w:adjustRightInd/>
        <w:snapToGrid/>
        <w:spacing w:line="520" w:lineRule="exact"/>
        <w:textAlignment w:val="baseline"/>
        <w:outlineLvl w:val="0"/>
        <w:rPr>
          <w:rFonts w:ascii="方正小标宋简体" w:hAnsi="宋体" w:eastAsia="方正小标宋简体"/>
          <w:color w:val="auto"/>
          <w:sz w:val="44"/>
          <w:szCs w:val="44"/>
          <w:highlight w:val="none"/>
        </w:rPr>
      </w:pPr>
    </w:p>
    <w:p w14:paraId="0722708E">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cs="宋体"/>
          <w:bCs/>
          <w:color w:val="auto"/>
          <w:sz w:val="32"/>
          <w:szCs w:val="32"/>
          <w:highlight w:val="none"/>
        </w:rPr>
      </w:pPr>
      <w:r>
        <w:rPr>
          <w:rFonts w:hint="eastAsia" w:ascii="仿宋_GB2312" w:hAnsi="宋体" w:eastAsia="仿宋_GB2312" w:cs="宋体"/>
          <w:bCs/>
          <w:color w:val="auto"/>
          <w:sz w:val="32"/>
          <w:szCs w:val="32"/>
          <w:highlight w:val="none"/>
        </w:rPr>
        <w:t>各区城管执法局，开发区综合执法局，天安门地区、重点站区分局，燕山地区分局，市局机关各处室、直属单位：</w:t>
      </w:r>
    </w:p>
    <w:p w14:paraId="52A167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bCs/>
          <w:color w:val="auto"/>
          <w:sz w:val="32"/>
          <w:szCs w:val="32"/>
          <w:highlight w:val="none"/>
          <w:lang w:eastAsia="zh-CN"/>
        </w:rPr>
      </w:pPr>
      <w:r>
        <w:rPr>
          <w:rFonts w:hint="eastAsia" w:ascii="仿宋_GB2312" w:hAnsi="仿宋" w:eastAsia="仿宋_GB2312" w:cs="仿宋"/>
          <w:color w:val="auto"/>
          <w:sz w:val="32"/>
          <w:szCs w:val="32"/>
          <w:highlight w:val="none"/>
        </w:rPr>
        <w:t>新修订的《北京市实施行政处罚程序若干规定</w:t>
      </w:r>
      <w:r>
        <w:rPr>
          <w:rFonts w:hint="eastAsia" w:ascii="仿宋_GB2312" w:hAnsi="宋体" w:eastAsia="仿宋_GB2312" w:cs="宋体"/>
          <w:bCs/>
          <w:color w:val="auto"/>
          <w:sz w:val="32"/>
          <w:szCs w:val="32"/>
          <w:highlight w:val="none"/>
        </w:rPr>
        <w:t>》（以下简称《</w:t>
      </w:r>
      <w:r>
        <w:rPr>
          <w:rFonts w:hint="eastAsia" w:ascii="仿宋_GB2312" w:hAnsi="宋体" w:eastAsia="仿宋_GB2312" w:cs="宋体"/>
          <w:bCs/>
          <w:color w:val="auto"/>
          <w:sz w:val="32"/>
          <w:szCs w:val="32"/>
          <w:highlight w:val="none"/>
          <w:lang w:eastAsia="zh-CN"/>
        </w:rPr>
        <w:t>规定</w:t>
      </w:r>
      <w:r>
        <w:rPr>
          <w:rFonts w:hint="eastAsia" w:ascii="仿宋_GB2312" w:hAnsi="宋体" w:eastAsia="仿宋_GB2312" w:cs="宋体"/>
          <w:bCs/>
          <w:color w:val="auto"/>
          <w:sz w:val="32"/>
          <w:szCs w:val="32"/>
          <w:highlight w:val="none"/>
        </w:rPr>
        <w:t>》）于202</w:t>
      </w:r>
      <w:r>
        <w:rPr>
          <w:rFonts w:hint="eastAsia" w:ascii="仿宋_GB2312" w:hAnsi="宋体" w:eastAsia="仿宋_GB2312" w:cs="宋体"/>
          <w:bCs/>
          <w:color w:val="auto"/>
          <w:sz w:val="32"/>
          <w:szCs w:val="32"/>
          <w:highlight w:val="none"/>
          <w:lang w:val="en-US" w:eastAsia="zh-CN"/>
        </w:rPr>
        <w:t>4</w:t>
      </w:r>
      <w:r>
        <w:rPr>
          <w:rFonts w:hint="eastAsia" w:ascii="仿宋_GB2312" w:hAnsi="宋体" w:eastAsia="仿宋_GB2312" w:cs="宋体"/>
          <w:bCs/>
          <w:color w:val="auto"/>
          <w:sz w:val="32"/>
          <w:szCs w:val="32"/>
          <w:highlight w:val="none"/>
        </w:rPr>
        <w:t>年</w:t>
      </w:r>
      <w:r>
        <w:rPr>
          <w:rFonts w:hint="eastAsia" w:ascii="仿宋_GB2312" w:hAnsi="宋体" w:eastAsia="仿宋_GB2312" w:cs="宋体"/>
          <w:bCs/>
          <w:color w:val="auto"/>
          <w:sz w:val="32"/>
          <w:szCs w:val="32"/>
          <w:highlight w:val="none"/>
          <w:lang w:val="en-US" w:eastAsia="zh-CN"/>
        </w:rPr>
        <w:t>1</w:t>
      </w:r>
      <w:r>
        <w:rPr>
          <w:rFonts w:hint="eastAsia" w:ascii="仿宋_GB2312" w:hAnsi="宋体" w:eastAsia="仿宋_GB2312" w:cs="宋体"/>
          <w:bCs/>
          <w:color w:val="auto"/>
          <w:sz w:val="32"/>
          <w:szCs w:val="32"/>
          <w:highlight w:val="none"/>
        </w:rPr>
        <w:t>月1日起正式施行。</w:t>
      </w:r>
      <w:r>
        <w:rPr>
          <w:rFonts w:hint="eastAsia" w:ascii="仿宋_GB2312" w:hAnsi="宋体" w:eastAsia="仿宋_GB2312" w:cs="宋体"/>
          <w:bCs/>
          <w:color w:val="auto"/>
          <w:sz w:val="32"/>
          <w:szCs w:val="32"/>
          <w:highlight w:val="none"/>
          <w:lang w:eastAsia="zh-CN"/>
        </w:rPr>
        <w:t>为认真做好贯彻实施</w:t>
      </w:r>
      <w:r>
        <w:rPr>
          <w:rFonts w:hint="eastAsia" w:ascii="仿宋_GB2312" w:hAnsi="宋体" w:eastAsia="仿宋_GB2312" w:cs="宋体"/>
          <w:bCs/>
          <w:color w:val="auto"/>
          <w:sz w:val="32"/>
          <w:szCs w:val="32"/>
          <w:highlight w:val="none"/>
        </w:rPr>
        <w:t>，</w:t>
      </w:r>
      <w:r>
        <w:rPr>
          <w:rFonts w:hint="eastAsia" w:ascii="仿宋_GB2312" w:hAnsi="宋体" w:eastAsia="仿宋_GB2312" w:cs="宋体"/>
          <w:bCs/>
          <w:color w:val="auto"/>
          <w:sz w:val="32"/>
          <w:szCs w:val="32"/>
          <w:highlight w:val="none"/>
          <w:lang w:eastAsia="zh-CN"/>
        </w:rPr>
        <w:t>聚焦</w:t>
      </w:r>
      <w:r>
        <w:rPr>
          <w:rFonts w:hint="eastAsia" w:ascii="仿宋_GB2312" w:hAnsi="宋体" w:eastAsia="仿宋_GB2312" w:cs="宋体"/>
          <w:bCs/>
          <w:color w:val="auto"/>
          <w:sz w:val="32"/>
          <w:szCs w:val="32"/>
          <w:highlight w:val="none"/>
        </w:rPr>
        <w:t>《</w:t>
      </w:r>
      <w:r>
        <w:rPr>
          <w:rFonts w:hint="eastAsia" w:ascii="仿宋_GB2312" w:hAnsi="宋体" w:eastAsia="仿宋_GB2312" w:cs="宋体"/>
          <w:bCs/>
          <w:color w:val="auto"/>
          <w:sz w:val="32"/>
          <w:szCs w:val="32"/>
          <w:highlight w:val="none"/>
          <w:lang w:eastAsia="zh-CN"/>
        </w:rPr>
        <w:t>规定</w:t>
      </w:r>
      <w:r>
        <w:rPr>
          <w:rFonts w:hint="eastAsia" w:ascii="仿宋_GB2312" w:hAnsi="宋体" w:eastAsia="仿宋_GB2312" w:cs="宋体"/>
          <w:bCs/>
          <w:color w:val="auto"/>
          <w:sz w:val="32"/>
          <w:szCs w:val="32"/>
          <w:highlight w:val="none"/>
        </w:rPr>
        <w:t>》</w:t>
      </w:r>
      <w:r>
        <w:rPr>
          <w:rFonts w:hint="eastAsia" w:ascii="仿宋_GB2312" w:hAnsi="宋体" w:eastAsia="仿宋_GB2312" w:cs="宋体"/>
          <w:bCs/>
          <w:color w:val="auto"/>
          <w:sz w:val="32"/>
          <w:szCs w:val="32"/>
          <w:highlight w:val="none"/>
          <w:lang w:eastAsia="zh-CN"/>
        </w:rPr>
        <w:t>重点修订内容，结合《行政处罚法》《行政复议法》《住房和城乡建设行政处罚程序规定》等规定，市局</w:t>
      </w:r>
      <w:r>
        <w:rPr>
          <w:rFonts w:ascii="仿宋_GB2312" w:hAnsi="宋体" w:eastAsia="仿宋_GB2312" w:cs="宋体"/>
          <w:bCs/>
          <w:color w:val="auto"/>
          <w:sz w:val="32"/>
          <w:szCs w:val="32"/>
          <w:highlight w:val="none"/>
        </w:rPr>
        <w:t>研究起草了</w:t>
      </w:r>
      <w:r>
        <w:rPr>
          <w:rFonts w:hint="eastAsia" w:ascii="仿宋_GB2312" w:hAnsi="宋体" w:eastAsia="仿宋_GB2312" w:cs="宋体"/>
          <w:bCs/>
          <w:color w:val="auto"/>
          <w:sz w:val="32"/>
          <w:szCs w:val="32"/>
          <w:highlight w:val="none"/>
          <w:lang w:eastAsia="zh-CN"/>
        </w:rPr>
        <w:t>工作意见</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修改完善了</w:t>
      </w:r>
      <w:r>
        <w:rPr>
          <w:rFonts w:hint="eastAsia" w:ascii="仿宋_GB2312" w:eastAsia="仿宋_GB2312"/>
          <w:color w:val="auto"/>
          <w:sz w:val="32"/>
          <w:szCs w:val="32"/>
          <w:highlight w:val="none"/>
        </w:rPr>
        <w:t>行政</w:t>
      </w:r>
      <w:r>
        <w:rPr>
          <w:rFonts w:ascii="仿宋_GB2312" w:eastAsia="仿宋_GB2312"/>
          <w:color w:val="auto"/>
          <w:sz w:val="32"/>
          <w:szCs w:val="32"/>
          <w:highlight w:val="none"/>
        </w:rPr>
        <w:t>处罚文书模板，</w:t>
      </w:r>
      <w:r>
        <w:rPr>
          <w:rFonts w:hint="eastAsia" w:ascii="仿宋_GB2312" w:eastAsia="仿宋_GB2312"/>
          <w:color w:val="auto"/>
          <w:sz w:val="32"/>
          <w:szCs w:val="32"/>
          <w:highlight w:val="none"/>
        </w:rPr>
        <w:t>现</w:t>
      </w:r>
      <w:r>
        <w:rPr>
          <w:rFonts w:ascii="仿宋_GB2312" w:eastAsia="仿宋_GB2312"/>
          <w:color w:val="auto"/>
          <w:sz w:val="32"/>
          <w:szCs w:val="32"/>
          <w:highlight w:val="none"/>
        </w:rPr>
        <w:t>予以印发</w:t>
      </w:r>
      <w:r>
        <w:rPr>
          <w:rFonts w:hint="eastAsia" w:ascii="仿宋_GB2312" w:eastAsia="仿宋_GB2312"/>
          <w:color w:val="auto"/>
          <w:sz w:val="32"/>
          <w:szCs w:val="32"/>
          <w:highlight w:val="none"/>
          <w:lang w:eastAsia="zh-CN"/>
        </w:rPr>
        <w:t>，具体内容详见附件。</w:t>
      </w:r>
    </w:p>
    <w:p w14:paraId="34C4AB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bCs/>
          <w:color w:val="auto"/>
          <w:sz w:val="32"/>
          <w:szCs w:val="32"/>
          <w:highlight w:val="none"/>
        </w:rPr>
      </w:pPr>
      <w:r>
        <w:rPr>
          <w:rFonts w:ascii="仿宋_GB2312" w:eastAsia="仿宋_GB2312"/>
          <w:color w:val="auto"/>
          <w:sz w:val="32"/>
          <w:szCs w:val="32"/>
          <w:highlight w:val="none"/>
        </w:rPr>
        <w:t>请</w:t>
      </w:r>
      <w:r>
        <w:rPr>
          <w:rFonts w:hint="eastAsia" w:ascii="仿宋_GB2312" w:hAnsi="宋体" w:eastAsia="仿宋_GB2312" w:cs="宋体"/>
          <w:bCs/>
          <w:color w:val="auto"/>
          <w:sz w:val="32"/>
          <w:szCs w:val="32"/>
          <w:highlight w:val="none"/>
        </w:rPr>
        <w:t>各</w:t>
      </w:r>
      <w:r>
        <w:rPr>
          <w:rFonts w:hint="eastAsia" w:ascii="仿宋_GB2312" w:hAnsi="宋体" w:eastAsia="仿宋_GB2312" w:cs="宋体"/>
          <w:bCs/>
          <w:color w:val="auto"/>
          <w:sz w:val="32"/>
          <w:szCs w:val="32"/>
          <w:highlight w:val="none"/>
          <w:lang w:eastAsia="zh-CN"/>
        </w:rPr>
        <w:t>单位</w:t>
      </w:r>
      <w:r>
        <w:rPr>
          <w:rFonts w:ascii="仿宋_GB2312" w:hAnsi="宋体" w:eastAsia="仿宋_GB2312" w:cs="宋体"/>
          <w:bCs/>
          <w:color w:val="auto"/>
          <w:sz w:val="32"/>
          <w:szCs w:val="32"/>
          <w:highlight w:val="none"/>
        </w:rPr>
        <w:t>将本通知及时转发</w:t>
      </w:r>
      <w:r>
        <w:rPr>
          <w:rFonts w:hint="eastAsia" w:ascii="仿宋_GB2312" w:hAnsi="宋体" w:eastAsia="仿宋_GB2312" w:cs="宋体"/>
          <w:bCs/>
          <w:color w:val="auto"/>
          <w:sz w:val="32"/>
          <w:szCs w:val="32"/>
          <w:highlight w:val="none"/>
          <w:lang w:eastAsia="zh-CN"/>
        </w:rPr>
        <w:t>属地</w:t>
      </w:r>
      <w:r>
        <w:rPr>
          <w:rFonts w:ascii="仿宋_GB2312" w:hAnsi="宋体" w:eastAsia="仿宋_GB2312" w:cs="宋体"/>
          <w:bCs/>
          <w:color w:val="auto"/>
          <w:sz w:val="32"/>
          <w:szCs w:val="32"/>
          <w:highlight w:val="none"/>
        </w:rPr>
        <w:t>街乡镇综合行政执法队，</w:t>
      </w:r>
      <w:r>
        <w:rPr>
          <w:rFonts w:hint="eastAsia" w:ascii="仿宋_GB2312" w:hAnsi="宋体" w:eastAsia="仿宋_GB2312" w:cs="宋体"/>
          <w:bCs/>
          <w:color w:val="auto"/>
          <w:sz w:val="32"/>
          <w:szCs w:val="32"/>
          <w:highlight w:val="none"/>
          <w:lang w:eastAsia="zh-CN"/>
        </w:rPr>
        <w:t>认真组织做好教育培训、指导监督、贯彻实施等工作，督促指导执法人员尽快熟悉新规定、掌握新变化、执行新要求。执法实践中相关问题，请及时反馈</w:t>
      </w:r>
      <w:r>
        <w:rPr>
          <w:rFonts w:ascii="仿宋_GB2312" w:hAnsi="宋体" w:eastAsia="仿宋_GB2312" w:cs="宋体"/>
          <w:bCs/>
          <w:color w:val="auto"/>
          <w:sz w:val="32"/>
          <w:szCs w:val="32"/>
          <w:highlight w:val="none"/>
        </w:rPr>
        <w:t>市局。</w:t>
      </w:r>
    </w:p>
    <w:p w14:paraId="6EB766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bCs/>
          <w:color w:val="auto"/>
          <w:sz w:val="32"/>
          <w:szCs w:val="32"/>
          <w:highlight w:val="none"/>
        </w:rPr>
      </w:pPr>
      <w:r>
        <w:rPr>
          <w:rFonts w:hint="eastAsia" w:ascii="仿宋_GB2312" w:hAnsi="宋体" w:eastAsia="仿宋_GB2312" w:cs="宋体"/>
          <w:bCs/>
          <w:color w:val="auto"/>
          <w:sz w:val="32"/>
          <w:szCs w:val="32"/>
          <w:highlight w:val="none"/>
        </w:rPr>
        <w:t>特此通知。</w:t>
      </w:r>
    </w:p>
    <w:p w14:paraId="7BC0BF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bCs/>
          <w:color w:val="auto"/>
          <w:sz w:val="32"/>
          <w:szCs w:val="32"/>
          <w:highlight w:val="none"/>
        </w:rPr>
      </w:pPr>
    </w:p>
    <w:p w14:paraId="27C52F8B">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textAlignment w:val="auto"/>
        <w:rPr>
          <w:rFonts w:hint="eastAsia" w:ascii="仿宋_GB2312" w:hAnsi="宋体" w:eastAsia="仿宋_GB2312" w:cs="宋体"/>
          <w:bCs/>
          <w:color w:val="auto"/>
          <w:sz w:val="32"/>
          <w:szCs w:val="32"/>
          <w:highlight w:val="none"/>
        </w:rPr>
      </w:pPr>
      <w:r>
        <w:rPr>
          <w:rFonts w:hint="eastAsia" w:ascii="仿宋_GB2312" w:hAnsi="宋体" w:eastAsia="仿宋_GB2312" w:cs="宋体"/>
          <w:bCs/>
          <w:color w:val="auto"/>
          <w:sz w:val="32"/>
          <w:szCs w:val="32"/>
          <w:highlight w:val="none"/>
        </w:rPr>
        <w:t>附件：1.《北京市实施行政处罚程序若干规定》</w:t>
      </w:r>
      <w:r>
        <w:rPr>
          <w:rFonts w:hint="eastAsia" w:ascii="仿宋_GB2312" w:hAnsi="宋体" w:eastAsia="仿宋_GB2312" w:cs="宋体"/>
          <w:bCs/>
          <w:color w:val="auto"/>
          <w:sz w:val="32"/>
          <w:szCs w:val="32"/>
          <w:highlight w:val="none"/>
          <w:lang w:eastAsia="zh-CN"/>
        </w:rPr>
        <w:t>贯彻落实若干意见</w:t>
      </w:r>
    </w:p>
    <w:p w14:paraId="6638F86B">
      <w:pPr>
        <w:keepNext w:val="0"/>
        <w:keepLines w:val="0"/>
        <w:pageBreakBefore w:val="0"/>
        <w:widowControl w:val="0"/>
        <w:kinsoku/>
        <w:wordWrap/>
        <w:overflowPunct/>
        <w:topLinePunct w:val="0"/>
        <w:autoSpaceDE/>
        <w:autoSpaceDN/>
        <w:bidi w:val="0"/>
        <w:adjustRightInd/>
        <w:snapToGrid/>
        <w:spacing w:line="560" w:lineRule="exact"/>
        <w:ind w:left="0" w:leftChars="0" w:firstLine="1600" w:firstLineChars="500"/>
        <w:textAlignment w:val="auto"/>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lang w:val="en-US" w:eastAsia="zh-CN"/>
        </w:rPr>
        <w:t>2</w:t>
      </w:r>
      <w:r>
        <w:rPr>
          <w:rFonts w:ascii="仿宋_GB2312" w:hAnsi="仿宋" w:eastAsia="仿宋_GB2312" w:cs="仿宋"/>
          <w:color w:val="auto"/>
          <w:sz w:val="32"/>
          <w:szCs w:val="32"/>
          <w:highlight w:val="none"/>
        </w:rPr>
        <w:t>.行政处罚文书</w:t>
      </w:r>
      <w:r>
        <w:rPr>
          <w:rFonts w:hint="eastAsia" w:ascii="仿宋_GB2312" w:hAnsi="仿宋" w:eastAsia="仿宋_GB2312" w:cs="仿宋"/>
          <w:color w:val="auto"/>
          <w:sz w:val="32"/>
          <w:szCs w:val="32"/>
          <w:highlight w:val="none"/>
        </w:rPr>
        <w:t>样式（202</w:t>
      </w:r>
      <w:r>
        <w:rPr>
          <w:rFonts w:hint="eastAsia" w:ascii="仿宋_GB2312" w:hAnsi="仿宋" w:eastAsia="仿宋_GB2312" w:cs="仿宋"/>
          <w:color w:val="auto"/>
          <w:sz w:val="32"/>
          <w:szCs w:val="32"/>
          <w:highlight w:val="none"/>
          <w:lang w:val="en-US" w:eastAsia="zh-CN"/>
        </w:rPr>
        <w:t>4</w:t>
      </w:r>
      <w:r>
        <w:rPr>
          <w:rFonts w:hint="eastAsia" w:ascii="仿宋_GB2312" w:hAnsi="仿宋" w:eastAsia="仿宋_GB2312" w:cs="仿宋"/>
          <w:color w:val="auto"/>
          <w:sz w:val="32"/>
          <w:szCs w:val="32"/>
          <w:highlight w:val="none"/>
        </w:rPr>
        <w:t>版）</w:t>
      </w:r>
    </w:p>
    <w:p w14:paraId="61FFBD7B">
      <w:pPr>
        <w:keepNext w:val="0"/>
        <w:keepLines w:val="0"/>
        <w:pageBreakBefore w:val="0"/>
        <w:widowControl w:val="0"/>
        <w:kinsoku/>
        <w:wordWrap/>
        <w:overflowPunct/>
        <w:topLinePunct w:val="0"/>
        <w:autoSpaceDE/>
        <w:autoSpaceDN/>
        <w:bidi w:val="0"/>
        <w:adjustRightInd/>
        <w:snapToGrid/>
        <w:spacing w:line="560" w:lineRule="exact"/>
        <w:ind w:left="0" w:leftChars="0" w:firstLine="1577" w:firstLineChars="493"/>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lang w:val="en-US" w:eastAsia="zh-CN"/>
        </w:rPr>
        <w:t>3</w:t>
      </w:r>
      <w:r>
        <w:rPr>
          <w:rFonts w:hint="eastAsia" w:ascii="仿宋_GB2312" w:hAnsi="宋体" w:eastAsia="仿宋_GB2312"/>
          <w:color w:val="auto"/>
          <w:sz w:val="32"/>
          <w:szCs w:val="32"/>
          <w:highlight w:val="none"/>
        </w:rPr>
        <w:t>.</w:t>
      </w:r>
      <w:r>
        <w:rPr>
          <w:rFonts w:hint="eastAsia" w:ascii="仿宋_GB2312" w:hAnsi="仿宋" w:eastAsia="仿宋_GB2312" w:cs="仿宋"/>
          <w:color w:val="auto"/>
          <w:sz w:val="32"/>
          <w:szCs w:val="32"/>
          <w:highlight w:val="none"/>
        </w:rPr>
        <w:t>北京市实施行政处罚程序若干规定</w:t>
      </w:r>
    </w:p>
    <w:p w14:paraId="0F60A58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 xml:space="preserve">  </w:t>
      </w:r>
    </w:p>
    <w:p w14:paraId="21A50878">
      <w:pPr>
        <w:keepNext w:val="0"/>
        <w:keepLines w:val="0"/>
        <w:pageBreakBefore w:val="0"/>
        <w:widowControl w:val="0"/>
        <w:kinsoku/>
        <w:wordWrap/>
        <w:overflowPunct/>
        <w:topLinePunct w:val="0"/>
        <w:autoSpaceDE/>
        <w:autoSpaceDN/>
        <w:bidi w:val="0"/>
        <w:adjustRightInd/>
        <w:snapToGrid/>
        <w:spacing w:line="520" w:lineRule="exact"/>
        <w:ind w:firstLine="4640" w:firstLineChars="1450"/>
        <w:textAlignment w:val="auto"/>
        <w:rPr>
          <w:rFonts w:hint="eastAsia" w:ascii="仿宋_GB2312" w:hAnsi="宋体" w:eastAsia="仿宋_GB2312"/>
          <w:color w:val="auto"/>
          <w:sz w:val="32"/>
          <w:szCs w:val="32"/>
          <w:highlight w:val="none"/>
        </w:rPr>
      </w:pPr>
    </w:p>
    <w:p w14:paraId="538CC941">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宋体" w:eastAsia="仿宋_GB2312"/>
          <w:color w:val="auto"/>
          <w:sz w:val="32"/>
          <w:szCs w:val="32"/>
          <w:highlight w:val="none"/>
        </w:rPr>
      </w:pPr>
    </w:p>
    <w:p w14:paraId="38558548">
      <w:pPr>
        <w:keepNext w:val="0"/>
        <w:keepLines w:val="0"/>
        <w:pageBreakBefore w:val="0"/>
        <w:widowControl w:val="0"/>
        <w:kinsoku/>
        <w:wordWrap/>
        <w:overflowPunct/>
        <w:topLinePunct w:val="0"/>
        <w:autoSpaceDE/>
        <w:autoSpaceDN/>
        <w:bidi w:val="0"/>
        <w:adjustRightInd/>
        <w:snapToGrid/>
        <w:spacing w:line="520" w:lineRule="exact"/>
        <w:ind w:firstLine="4640" w:firstLineChars="1450"/>
        <w:textAlignment w:val="auto"/>
        <w:rPr>
          <w:rFonts w:hint="eastAsia" w:ascii="仿宋_GB2312" w:hAnsi="宋体" w:eastAsia="仿宋_GB2312"/>
          <w:color w:val="auto"/>
          <w:sz w:val="32"/>
          <w:szCs w:val="32"/>
          <w:highlight w:val="none"/>
        </w:rPr>
      </w:pPr>
    </w:p>
    <w:p w14:paraId="2EF0C88B">
      <w:pPr>
        <w:keepNext w:val="0"/>
        <w:keepLines w:val="0"/>
        <w:pageBreakBefore w:val="0"/>
        <w:widowControl w:val="0"/>
        <w:kinsoku/>
        <w:wordWrap/>
        <w:overflowPunct/>
        <w:topLinePunct w:val="0"/>
        <w:autoSpaceDE/>
        <w:autoSpaceDN/>
        <w:bidi w:val="0"/>
        <w:adjustRightInd/>
        <w:snapToGrid/>
        <w:spacing w:line="520" w:lineRule="exact"/>
        <w:ind w:left="0" w:leftChars="0" w:firstLine="4937" w:firstLineChars="1543"/>
        <w:jc w:val="both"/>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市城管执法局</w:t>
      </w:r>
    </w:p>
    <w:p w14:paraId="5141D02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 xml:space="preserve">                        </w:t>
      </w:r>
      <w:r>
        <w:rPr>
          <w:rFonts w:hint="eastAsia" w:ascii="仿宋_GB2312" w:hAnsi="宋体" w:eastAsia="仿宋_GB2312"/>
          <w:color w:val="auto"/>
          <w:sz w:val="32"/>
          <w:szCs w:val="32"/>
          <w:highlight w:val="none"/>
          <w:lang w:val="en-US" w:eastAsia="zh-CN"/>
        </w:rPr>
        <w:t xml:space="preserve">      </w:t>
      </w:r>
      <w:r>
        <w:rPr>
          <w:rFonts w:hint="eastAsia" w:ascii="仿宋_GB2312" w:hAnsi="宋体" w:eastAsia="仿宋_GB2312"/>
          <w:color w:val="auto"/>
          <w:sz w:val="32"/>
          <w:szCs w:val="32"/>
          <w:highlight w:val="none"/>
        </w:rPr>
        <w:t>202</w:t>
      </w:r>
      <w:r>
        <w:rPr>
          <w:rFonts w:hint="eastAsia" w:ascii="仿宋_GB2312" w:hAnsi="宋体" w:eastAsia="仿宋_GB2312"/>
          <w:color w:val="auto"/>
          <w:sz w:val="32"/>
          <w:szCs w:val="32"/>
          <w:highlight w:val="none"/>
          <w:lang w:val="en-US" w:eastAsia="zh-CN"/>
        </w:rPr>
        <w:t>3</w:t>
      </w:r>
      <w:r>
        <w:rPr>
          <w:rFonts w:hint="eastAsia" w:ascii="仿宋_GB2312" w:hAnsi="宋体" w:eastAsia="仿宋_GB2312"/>
          <w:color w:val="auto"/>
          <w:sz w:val="32"/>
          <w:szCs w:val="32"/>
          <w:highlight w:val="none"/>
        </w:rPr>
        <w:t>年</w:t>
      </w:r>
      <w:r>
        <w:rPr>
          <w:rFonts w:hint="eastAsia" w:ascii="仿宋_GB2312" w:hAnsi="宋体" w:eastAsia="仿宋_GB2312"/>
          <w:color w:val="auto"/>
          <w:sz w:val="32"/>
          <w:szCs w:val="32"/>
          <w:highlight w:val="none"/>
          <w:lang w:val="en-US" w:eastAsia="zh-CN"/>
        </w:rPr>
        <w:t>12</w:t>
      </w:r>
      <w:r>
        <w:rPr>
          <w:rFonts w:hint="eastAsia" w:ascii="仿宋_GB2312" w:hAnsi="宋体" w:eastAsia="仿宋_GB2312"/>
          <w:color w:val="auto"/>
          <w:sz w:val="32"/>
          <w:szCs w:val="32"/>
          <w:highlight w:val="none"/>
        </w:rPr>
        <w:t>月</w:t>
      </w:r>
      <w:r>
        <w:rPr>
          <w:rFonts w:hint="eastAsia" w:ascii="仿宋_GB2312" w:hAnsi="宋体" w:eastAsia="仿宋_GB2312"/>
          <w:color w:val="auto"/>
          <w:sz w:val="32"/>
          <w:szCs w:val="32"/>
          <w:highlight w:val="none"/>
          <w:lang w:val="en-US" w:eastAsia="zh-CN"/>
        </w:rPr>
        <w:t>21</w:t>
      </w:r>
      <w:r>
        <w:rPr>
          <w:rFonts w:hint="eastAsia" w:ascii="仿宋_GB2312" w:hAnsi="宋体" w:eastAsia="仿宋_GB2312"/>
          <w:color w:val="auto"/>
          <w:sz w:val="32"/>
          <w:szCs w:val="32"/>
          <w:highlight w:val="none"/>
        </w:rPr>
        <w:t>日</w:t>
      </w:r>
    </w:p>
    <w:p w14:paraId="4FEF665B">
      <w:pPr>
        <w:keepNext w:val="0"/>
        <w:keepLines w:val="0"/>
        <w:widowControl/>
        <w:suppressLineNumbers w:val="0"/>
        <w:ind w:firstLine="640" w:firstLineChars="200"/>
        <w:jc w:val="left"/>
        <w:rPr>
          <w:rFonts w:hint="eastAsia" w:ascii="仿宋_GB2312" w:hAnsi="仿宋_GB2312" w:eastAsia="仿宋_GB2312" w:cs="仿宋_GB2312"/>
          <w:color w:val="auto"/>
          <w:sz w:val="32"/>
          <w:szCs w:val="32"/>
          <w:highlight w:val="none"/>
          <w:lang w:eastAsia="zh-CN"/>
        </w:rPr>
      </w:pPr>
      <w:r>
        <w:rPr>
          <w:rFonts w:hint="eastAsia" w:ascii="仿宋_GB2312" w:hAnsi="宋体" w:eastAsia="仿宋_GB2312"/>
          <w:color w:val="auto"/>
          <w:sz w:val="32"/>
          <w:szCs w:val="32"/>
          <w:highlight w:val="none"/>
          <w:lang w:eastAsia="zh-CN"/>
        </w:rPr>
        <w:t>（联系人：杨子维、</w:t>
      </w:r>
      <w:r>
        <w:rPr>
          <w:rFonts w:hint="eastAsia" w:ascii="仿宋_GB2312" w:hAnsi="仿宋_GB2312" w:eastAsia="仿宋_GB2312" w:cs="仿宋_GB2312"/>
          <w:color w:val="auto"/>
          <w:sz w:val="32"/>
          <w:szCs w:val="32"/>
          <w:highlight w:val="none"/>
          <w:lang w:eastAsia="zh-CN"/>
        </w:rPr>
        <w:t>吕志云；联系电话：</w:t>
      </w:r>
      <w:r>
        <w:rPr>
          <w:rFonts w:hint="eastAsia" w:ascii="仿宋_GB2312" w:hAnsi="仿宋_GB2312" w:eastAsia="仿宋_GB2312" w:cs="仿宋_GB2312"/>
          <w:i w:val="0"/>
          <w:iCs w:val="0"/>
          <w:caps w:val="0"/>
          <w:color w:val="auto"/>
          <w:spacing w:val="0"/>
          <w:kern w:val="0"/>
          <w:sz w:val="32"/>
          <w:szCs w:val="32"/>
          <w:highlight w:val="none"/>
          <w:lang w:val="en-US" w:eastAsia="zh-CN" w:bidi="ar"/>
        </w:rPr>
        <w:t>68529869、</w:t>
      </w:r>
      <w:r>
        <w:rPr>
          <w:rFonts w:hint="eastAsia" w:ascii="仿宋_GB2312" w:hAnsi="仿宋_GB2312" w:eastAsia="仿宋_GB2312" w:cs="仿宋_GB2312"/>
          <w:color w:val="auto"/>
          <w:sz w:val="32"/>
          <w:szCs w:val="32"/>
          <w:highlight w:val="none"/>
          <w:lang w:eastAsia="zh-CN"/>
        </w:rPr>
        <w:t>68539026）</w:t>
      </w:r>
    </w:p>
    <w:p w14:paraId="62328849">
      <w:pPr>
        <w:keepNext w:val="0"/>
        <w:keepLines w:val="0"/>
        <w:pageBreakBefore w:val="0"/>
        <w:widowControl w:val="0"/>
        <w:tabs>
          <w:tab w:val="left" w:pos="567"/>
          <w:tab w:val="left" w:pos="851"/>
        </w:tabs>
        <w:kinsoku/>
        <w:wordWrap/>
        <w:overflowPunct/>
        <w:topLinePunct w:val="0"/>
        <w:autoSpaceDE/>
        <w:autoSpaceDN/>
        <w:bidi w:val="0"/>
        <w:adjustRightInd/>
        <w:snapToGrid/>
        <w:spacing w:line="560" w:lineRule="exact"/>
        <w:ind w:firstLine="425" w:firstLineChars="133"/>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 xml:space="preserve"> </w:t>
      </w:r>
    </w:p>
    <w:p w14:paraId="69539676">
      <w:pPr>
        <w:widowControl/>
        <w:spacing w:line="0" w:lineRule="atLeast"/>
        <w:jc w:val="center"/>
        <w:textAlignment w:val="baseline"/>
        <w:outlineLvl w:val="0"/>
        <w:rPr>
          <w:rFonts w:ascii="方正小标宋简体" w:hAnsi="宋体" w:eastAsia="方正小标宋简体"/>
          <w:color w:val="auto"/>
          <w:sz w:val="32"/>
          <w:szCs w:val="32"/>
          <w:highlight w:val="none"/>
        </w:rPr>
      </w:pPr>
    </w:p>
    <w:p w14:paraId="4FD9E0EF">
      <w:pPr>
        <w:widowControl/>
        <w:spacing w:line="0" w:lineRule="atLeast"/>
        <w:textAlignment w:val="baseline"/>
        <w:outlineLvl w:val="0"/>
        <w:rPr>
          <w:rFonts w:ascii="黑体" w:hAnsi="黑体" w:eastAsia="黑体"/>
          <w:color w:val="auto"/>
          <w:sz w:val="32"/>
          <w:szCs w:val="32"/>
          <w:highlight w:val="none"/>
        </w:rPr>
      </w:pPr>
    </w:p>
    <w:p w14:paraId="7AED54F1">
      <w:pPr>
        <w:widowControl/>
        <w:spacing w:line="0" w:lineRule="atLeast"/>
        <w:textAlignment w:val="baseline"/>
        <w:outlineLvl w:val="0"/>
        <w:rPr>
          <w:rFonts w:ascii="黑体" w:hAnsi="黑体" w:eastAsia="黑体"/>
          <w:color w:val="auto"/>
          <w:sz w:val="32"/>
          <w:szCs w:val="32"/>
          <w:highlight w:val="none"/>
        </w:rPr>
      </w:pPr>
    </w:p>
    <w:p w14:paraId="426CFB2D">
      <w:pPr>
        <w:widowControl/>
        <w:spacing w:line="0" w:lineRule="atLeast"/>
        <w:textAlignment w:val="baseline"/>
        <w:outlineLvl w:val="0"/>
        <w:rPr>
          <w:rFonts w:ascii="黑体" w:hAnsi="黑体" w:eastAsia="黑体"/>
          <w:color w:val="auto"/>
          <w:sz w:val="32"/>
          <w:szCs w:val="32"/>
          <w:highlight w:val="none"/>
        </w:rPr>
      </w:pPr>
    </w:p>
    <w:p w14:paraId="2C86226C">
      <w:pPr>
        <w:widowControl/>
        <w:spacing w:line="0" w:lineRule="atLeast"/>
        <w:textAlignment w:val="baseline"/>
        <w:outlineLvl w:val="0"/>
        <w:rPr>
          <w:rFonts w:ascii="黑体" w:hAnsi="黑体" w:eastAsia="黑体"/>
          <w:color w:val="auto"/>
          <w:sz w:val="32"/>
          <w:szCs w:val="32"/>
          <w:highlight w:val="none"/>
        </w:rPr>
      </w:pPr>
    </w:p>
    <w:p w14:paraId="7EDF08BC">
      <w:pPr>
        <w:widowControl/>
        <w:spacing w:line="0" w:lineRule="atLeast"/>
        <w:textAlignment w:val="baseline"/>
        <w:outlineLvl w:val="0"/>
        <w:rPr>
          <w:rFonts w:ascii="黑体" w:hAnsi="黑体" w:eastAsia="黑体"/>
          <w:color w:val="auto"/>
          <w:sz w:val="32"/>
          <w:szCs w:val="32"/>
          <w:highlight w:val="none"/>
        </w:rPr>
      </w:pPr>
    </w:p>
    <w:p w14:paraId="556A9E7C">
      <w:pPr>
        <w:widowControl/>
        <w:spacing w:line="0" w:lineRule="atLeast"/>
        <w:textAlignment w:val="baseline"/>
        <w:outlineLvl w:val="0"/>
        <w:rPr>
          <w:rFonts w:ascii="黑体" w:hAnsi="黑体" w:eastAsia="黑体"/>
          <w:color w:val="auto"/>
          <w:sz w:val="32"/>
          <w:szCs w:val="32"/>
          <w:highlight w:val="none"/>
        </w:rPr>
      </w:pPr>
    </w:p>
    <w:p w14:paraId="4AB732F7">
      <w:pPr>
        <w:widowControl/>
        <w:spacing w:line="0" w:lineRule="atLeast"/>
        <w:textAlignment w:val="baseline"/>
        <w:outlineLvl w:val="0"/>
        <w:rPr>
          <w:rFonts w:hint="eastAsia" w:ascii="黑体" w:hAnsi="黑体" w:eastAsia="黑体"/>
          <w:color w:val="auto"/>
          <w:sz w:val="32"/>
          <w:szCs w:val="32"/>
          <w:highlight w:val="none"/>
        </w:rPr>
      </w:pPr>
    </w:p>
    <w:p w14:paraId="764318D4">
      <w:pPr>
        <w:widowControl/>
        <w:spacing w:line="0" w:lineRule="atLeast"/>
        <w:textAlignment w:val="baseline"/>
        <w:outlineLvl w:val="0"/>
        <w:rPr>
          <w:rFonts w:ascii="黑体" w:hAnsi="黑体" w:eastAsia="黑体"/>
          <w:color w:val="auto"/>
          <w:sz w:val="32"/>
          <w:szCs w:val="32"/>
          <w:highlight w:val="none"/>
        </w:rPr>
      </w:pPr>
      <w:r>
        <w:rPr>
          <w:rFonts w:hint="eastAsia" w:ascii="黑体" w:hAnsi="黑体" w:eastAsia="黑体"/>
          <w:color w:val="auto"/>
          <w:sz w:val="32"/>
          <w:szCs w:val="32"/>
          <w:highlight w:val="none"/>
        </w:rPr>
        <w:br w:type="page"/>
      </w:r>
      <w:r>
        <w:rPr>
          <w:rFonts w:hint="eastAsia" w:ascii="黑体" w:hAnsi="黑体" w:eastAsia="黑体"/>
          <w:color w:val="auto"/>
          <w:sz w:val="32"/>
          <w:szCs w:val="32"/>
          <w:highlight w:val="none"/>
        </w:rPr>
        <w:t>附件1</w:t>
      </w:r>
    </w:p>
    <w:p w14:paraId="21C7279F">
      <w:pPr>
        <w:keepNext w:val="0"/>
        <w:keepLines w:val="0"/>
        <w:pageBreakBefore w:val="0"/>
        <w:widowControl/>
        <w:kinsoku/>
        <w:wordWrap/>
        <w:overflowPunct/>
        <w:topLinePunct w:val="0"/>
        <w:autoSpaceDE/>
        <w:autoSpaceDN/>
        <w:bidi w:val="0"/>
        <w:adjustRightInd/>
        <w:snapToGrid/>
        <w:spacing w:line="0" w:lineRule="atLeast"/>
        <w:textAlignment w:val="baseline"/>
        <w:outlineLvl w:val="0"/>
        <w:rPr>
          <w:rFonts w:hint="eastAsia" w:ascii="黑体" w:hAnsi="黑体" w:eastAsia="黑体"/>
          <w:color w:val="auto"/>
          <w:sz w:val="32"/>
          <w:szCs w:val="32"/>
          <w:highlight w:val="none"/>
        </w:rPr>
      </w:pPr>
    </w:p>
    <w:p w14:paraId="71CB64C1">
      <w:pPr>
        <w:keepNext w:val="0"/>
        <w:keepLines w:val="0"/>
        <w:pageBreakBefore w:val="0"/>
        <w:widowControl/>
        <w:kinsoku/>
        <w:wordWrap/>
        <w:overflowPunct/>
        <w:topLinePunct w:val="0"/>
        <w:autoSpaceDE/>
        <w:autoSpaceDN/>
        <w:bidi w:val="0"/>
        <w:adjustRightInd/>
        <w:snapToGrid/>
        <w:spacing w:line="0" w:lineRule="atLeast"/>
        <w:jc w:val="center"/>
        <w:textAlignment w:val="baseline"/>
        <w:outlineLvl w:val="0"/>
        <w:rPr>
          <w:rFonts w:hint="eastAsia" w:ascii="方正小标宋简体" w:hAnsi="宋体" w:eastAsia="方正小标宋简体"/>
          <w:color w:val="auto"/>
          <w:sz w:val="44"/>
          <w:szCs w:val="44"/>
          <w:highlight w:val="none"/>
        </w:rPr>
      </w:pPr>
      <w:r>
        <w:rPr>
          <w:rFonts w:hint="eastAsia" w:ascii="方正小标宋简体" w:hAnsi="宋体" w:eastAsia="方正小标宋简体"/>
          <w:color w:val="auto"/>
          <w:sz w:val="44"/>
          <w:szCs w:val="44"/>
          <w:highlight w:val="none"/>
        </w:rPr>
        <w:t>《北京市实施行政处罚程序若干规定》</w:t>
      </w:r>
    </w:p>
    <w:p w14:paraId="7CE453C9">
      <w:pPr>
        <w:keepNext w:val="0"/>
        <w:keepLines w:val="0"/>
        <w:pageBreakBefore w:val="0"/>
        <w:widowControl/>
        <w:kinsoku/>
        <w:wordWrap/>
        <w:overflowPunct/>
        <w:topLinePunct w:val="0"/>
        <w:autoSpaceDE/>
        <w:autoSpaceDN/>
        <w:bidi w:val="0"/>
        <w:adjustRightInd/>
        <w:snapToGrid/>
        <w:spacing w:line="0" w:lineRule="atLeast"/>
        <w:jc w:val="center"/>
        <w:textAlignment w:val="baseline"/>
        <w:outlineLvl w:val="0"/>
        <w:rPr>
          <w:rFonts w:hint="eastAsia" w:ascii="仿宋_GB2312" w:hAnsi="宋体" w:eastAsia="仿宋_GB2312"/>
          <w:color w:val="auto"/>
          <w:sz w:val="44"/>
          <w:szCs w:val="44"/>
          <w:highlight w:val="none"/>
        </w:rPr>
      </w:pPr>
      <w:r>
        <w:rPr>
          <w:rFonts w:hint="eastAsia" w:ascii="方正小标宋简体" w:hAnsi="宋体" w:eastAsia="方正小标宋简体"/>
          <w:color w:val="auto"/>
          <w:sz w:val="44"/>
          <w:szCs w:val="44"/>
          <w:highlight w:val="none"/>
          <w:lang w:eastAsia="zh-CN"/>
        </w:rPr>
        <w:t>贯彻落实若干意见</w:t>
      </w:r>
    </w:p>
    <w:p w14:paraId="25496EE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highlight w:val="none"/>
          <w:lang w:eastAsia="zh-CN"/>
        </w:rPr>
      </w:pPr>
    </w:p>
    <w:p w14:paraId="648BF3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highlight w:val="none"/>
          <w:lang w:eastAsia="zh-CN"/>
        </w:rPr>
      </w:pPr>
      <w:r>
        <w:rPr>
          <w:rFonts w:hint="eastAsia" w:ascii="仿宋_GB2312" w:hAnsi="宋体" w:eastAsia="仿宋_GB2312" w:cs="宋体"/>
          <w:bCs/>
          <w:color w:val="auto"/>
          <w:sz w:val="32"/>
          <w:szCs w:val="32"/>
          <w:highlight w:val="none"/>
        </w:rPr>
        <w:t>新修订的《北京市实施行政处罚程序若干规定》（以下简称《规定》）于2024年1月1日起正式施行。为认真做好贯彻实施，聚焦《规定》重点修订内容，结合《行政处罚法》《行政复议法》《住房和城乡建设行政处罚程序规定》等规定，</w:t>
      </w:r>
      <w:r>
        <w:rPr>
          <w:rFonts w:hint="eastAsia" w:ascii="仿宋_GB2312" w:hAnsi="宋体" w:eastAsia="仿宋_GB2312" w:cs="宋体"/>
          <w:bCs/>
          <w:color w:val="auto"/>
          <w:sz w:val="32"/>
          <w:szCs w:val="32"/>
          <w:highlight w:val="none"/>
          <w:lang w:eastAsia="zh-CN"/>
        </w:rPr>
        <w:t>进一步明确意见如下：</w:t>
      </w:r>
    </w:p>
    <w:p w14:paraId="26EB85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宋体"/>
          <w:bCs/>
          <w:color w:val="auto"/>
          <w:sz w:val="32"/>
          <w:szCs w:val="32"/>
          <w:highlight w:val="none"/>
          <w:lang w:eastAsia="zh-CN"/>
        </w:rPr>
      </w:pPr>
      <w:r>
        <w:rPr>
          <w:rFonts w:hint="eastAsia" w:ascii="黑体" w:hAnsi="黑体" w:eastAsia="黑体" w:cs="宋体"/>
          <w:bCs/>
          <w:color w:val="auto"/>
          <w:sz w:val="32"/>
          <w:szCs w:val="32"/>
          <w:highlight w:val="none"/>
          <w:lang w:eastAsia="zh-CN"/>
        </w:rPr>
        <w:t>一、关于立案</w:t>
      </w:r>
    </w:p>
    <w:p w14:paraId="7A6D6473">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仿宋_GB2312" w:hAnsi="黑体" w:eastAsia="仿宋_GB2312" w:cs="宋体"/>
          <w:bCs/>
          <w:color w:val="auto"/>
          <w:sz w:val="32"/>
          <w:szCs w:val="32"/>
          <w:highlight w:val="none"/>
          <w:lang w:eastAsia="zh-CN"/>
        </w:rPr>
      </w:pPr>
      <w:r>
        <w:rPr>
          <w:rFonts w:hint="eastAsia" w:ascii="仿宋_GB2312" w:hAnsi="黑体" w:eastAsia="仿宋_GB2312" w:cs="宋体"/>
          <w:bCs/>
          <w:color w:val="auto"/>
          <w:sz w:val="32"/>
          <w:szCs w:val="32"/>
          <w:highlight w:val="none"/>
          <w:lang w:eastAsia="zh-CN"/>
        </w:rPr>
        <w:t>《规定》第九条明确“</w:t>
      </w:r>
      <w:r>
        <w:rPr>
          <w:rFonts w:hint="eastAsia" w:ascii="仿宋_GB2312" w:hAnsi="黑体" w:eastAsia="仿宋_GB2312" w:cs="宋体"/>
          <w:bCs/>
          <w:color w:val="auto"/>
          <w:sz w:val="32"/>
          <w:szCs w:val="32"/>
          <w:highlight w:val="none"/>
        </w:rPr>
        <w:t>除依法可以当场作出的行政处罚外，符合下列条件的，行政机关应当及时立案：</w:t>
      </w:r>
      <w:r>
        <w:rPr>
          <w:rFonts w:hint="eastAsia" w:ascii="黑体" w:hAnsi="黑体" w:eastAsia="黑体" w:cs="黑体"/>
          <w:bCs/>
          <w:color w:val="auto"/>
          <w:sz w:val="32"/>
          <w:szCs w:val="32"/>
          <w:highlight w:val="none"/>
        </w:rPr>
        <w:t>（一）有证据初步证明存在违反行政管理秩序的行为；（二）依法可能给予行政处罚；（三）属于本行政机关管辖</w:t>
      </w:r>
      <w:r>
        <w:rPr>
          <w:rFonts w:hint="eastAsia" w:ascii="仿宋_GB2312" w:hAnsi="黑体" w:eastAsia="仿宋_GB2312" w:cs="宋体"/>
          <w:bCs/>
          <w:color w:val="auto"/>
          <w:sz w:val="32"/>
          <w:szCs w:val="32"/>
          <w:highlight w:val="none"/>
          <w:lang w:eastAsia="zh-CN"/>
        </w:rPr>
        <w:t>”。</w:t>
      </w:r>
    </w:p>
    <w:p w14:paraId="19CD086D">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14:paraId="4FEA4B27">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1.简易程序当场作出处罚决定的，不适用上述要求。根据《行政处罚法》第五十一条规定“违法事实确凿并有法定依据，对公民处以二百元以下、对法人或者其他组织处以三千元以下罚款或者警告的行政处罚的，可以当场作出行政处罚决定”。</w:t>
      </w:r>
    </w:p>
    <w:p w14:paraId="62A98CA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bCs/>
          <w:color w:val="auto"/>
          <w:sz w:val="32"/>
          <w:szCs w:val="32"/>
          <w:highlight w:val="none"/>
          <w:lang w:eastAsia="zh-CN"/>
        </w:rPr>
      </w:pPr>
      <w:r>
        <w:rPr>
          <w:rFonts w:hint="eastAsia" w:ascii="楷体_GB2312" w:hAnsi="楷体_GB2312" w:eastAsia="楷体_GB2312" w:cs="楷体_GB2312"/>
          <w:bCs/>
          <w:color w:val="auto"/>
          <w:sz w:val="32"/>
          <w:szCs w:val="32"/>
          <w:highlight w:val="none"/>
          <w:lang w:val="en-US" w:eastAsia="zh-CN"/>
        </w:rPr>
        <w:t>2.对于符合上述立案条件的，应当结合《规定》以及行政处罚案卷标准立案要求，及时启动立案程序，依法查处违法行为。根据本市行政处罚案卷标准（2021版）规定，针对日常检查发现的案件，可以先行启动调查程序，48小</w:t>
      </w:r>
      <w:r>
        <w:rPr>
          <w:rFonts w:hint="eastAsia" w:ascii="楷体_GB2312" w:hAnsi="楷体_GB2312" w:eastAsia="楷体_GB2312" w:cs="楷体_GB2312"/>
          <w:bCs/>
          <w:color w:val="auto"/>
          <w:sz w:val="32"/>
          <w:szCs w:val="32"/>
          <w:highlight w:val="none"/>
          <w:lang w:eastAsia="zh-CN"/>
        </w:rPr>
        <w:t>时内补办立案手续；针对投诉、举报、媒体曝光、上级机关交办和其他机关移送的案件，应当在批准立案后启动调查程序。</w:t>
      </w:r>
    </w:p>
    <w:p w14:paraId="223B5F1B">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黑体" w:hAnsi="黑体" w:eastAsia="黑体" w:cs="黑体"/>
          <w:b w:val="0"/>
          <w:bCs/>
          <w:color w:val="auto"/>
          <w:sz w:val="32"/>
          <w:szCs w:val="32"/>
          <w:highlight w:val="none"/>
          <w:lang w:eastAsia="zh-CN"/>
        </w:rPr>
      </w:pPr>
      <w:r>
        <w:rPr>
          <w:rFonts w:hint="eastAsia" w:ascii="黑体" w:hAnsi="黑体" w:eastAsia="黑体" w:cs="黑体"/>
          <w:b w:val="0"/>
          <w:bCs/>
          <w:color w:val="auto"/>
          <w:sz w:val="32"/>
          <w:szCs w:val="32"/>
          <w:highlight w:val="none"/>
          <w:lang w:eastAsia="zh-CN"/>
        </w:rPr>
        <w:t>二、关于调查检查程序</w:t>
      </w:r>
    </w:p>
    <w:p w14:paraId="38E65541">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仿宋_GB2312" w:hAnsi="黑体" w:eastAsia="仿宋_GB2312" w:cs="宋体"/>
          <w:bCs/>
          <w:color w:val="auto"/>
          <w:sz w:val="32"/>
          <w:szCs w:val="32"/>
          <w:highlight w:val="none"/>
          <w:lang w:eastAsia="zh-CN"/>
        </w:rPr>
      </w:pPr>
      <w:r>
        <w:rPr>
          <w:rFonts w:hint="eastAsia" w:ascii="仿宋_GB2312" w:hAnsi="黑体" w:eastAsia="仿宋_GB2312" w:cs="宋体"/>
          <w:bCs/>
          <w:color w:val="auto"/>
          <w:sz w:val="32"/>
          <w:szCs w:val="32"/>
          <w:highlight w:val="none"/>
          <w:lang w:eastAsia="zh-CN"/>
        </w:rPr>
        <w:t>《规定》第十一条第一款明确“执法人员在调查或者进行检查时，应当主动向当事人或者有关人员表明身份、出示执法证件、</w:t>
      </w:r>
      <w:r>
        <w:rPr>
          <w:rFonts w:hint="eastAsia" w:ascii="黑体" w:hAnsi="黑体" w:eastAsia="黑体" w:cs="黑体"/>
          <w:bCs/>
          <w:color w:val="auto"/>
          <w:sz w:val="32"/>
          <w:szCs w:val="32"/>
          <w:highlight w:val="none"/>
          <w:lang w:eastAsia="zh-CN"/>
        </w:rPr>
        <w:t>说明来意和事由，并告知当事人享有的权利和义务</w:t>
      </w:r>
      <w:r>
        <w:rPr>
          <w:rFonts w:hint="eastAsia" w:ascii="仿宋_GB2312" w:hAnsi="黑体" w:eastAsia="仿宋_GB2312" w:cs="宋体"/>
          <w:bCs/>
          <w:color w:val="auto"/>
          <w:sz w:val="32"/>
          <w:szCs w:val="32"/>
          <w:highlight w:val="none"/>
          <w:lang w:eastAsia="zh-CN"/>
        </w:rPr>
        <w:t>”。</w:t>
      </w:r>
    </w:p>
    <w:p w14:paraId="649EC871">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黑体" w:hAnsi="黑体" w:eastAsia="黑体" w:cs="黑体"/>
          <w:bCs/>
          <w:color w:val="auto"/>
          <w:sz w:val="32"/>
          <w:szCs w:val="32"/>
          <w:highlight w:val="none"/>
          <w:lang w:eastAsia="zh-CN"/>
        </w:rPr>
      </w:pPr>
      <w:r>
        <w:rPr>
          <w:rFonts w:hint="eastAsia" w:ascii="仿宋_GB2312" w:hAnsi="黑体" w:eastAsia="仿宋_GB2312" w:cs="宋体"/>
          <w:bCs/>
          <w:color w:val="auto"/>
          <w:sz w:val="32"/>
          <w:szCs w:val="32"/>
          <w:highlight w:val="none"/>
          <w:lang w:eastAsia="zh-CN"/>
        </w:rPr>
        <w:t>《规定》</w:t>
      </w:r>
      <w:r>
        <w:rPr>
          <w:rFonts w:hint="eastAsia" w:ascii="仿宋_GB2312" w:hAnsi="黑体" w:eastAsia="仿宋_GB2312" w:cs="宋体"/>
          <w:b w:val="0"/>
          <w:bCs/>
          <w:color w:val="auto"/>
          <w:sz w:val="32"/>
          <w:szCs w:val="32"/>
          <w:highlight w:val="none"/>
          <w:lang w:eastAsia="zh-CN"/>
        </w:rPr>
        <w:t>第十三条明确“</w:t>
      </w:r>
      <w:r>
        <w:rPr>
          <w:rFonts w:hint="eastAsia" w:ascii="仿宋_GB2312" w:hAnsi="黑体" w:eastAsia="仿宋_GB2312" w:cs="宋体"/>
          <w:bCs/>
          <w:color w:val="auto"/>
          <w:sz w:val="32"/>
          <w:szCs w:val="32"/>
          <w:highlight w:val="none"/>
          <w:lang w:eastAsia="zh-CN"/>
        </w:rPr>
        <w:t>执法人员在调查或者进行检查时，应当规范制作调查笔录或者填写行政检查单。调查或者检查完成后，执法人员应当将笔录、检查单交由当事人或者有关人员核对并签名或者盖章。</w:t>
      </w:r>
      <w:r>
        <w:rPr>
          <w:rFonts w:hint="eastAsia" w:ascii="黑体" w:hAnsi="黑体" w:eastAsia="黑体" w:cs="黑体"/>
          <w:bCs/>
          <w:color w:val="auto"/>
          <w:sz w:val="32"/>
          <w:szCs w:val="32"/>
          <w:highlight w:val="none"/>
          <w:lang w:eastAsia="zh-CN"/>
        </w:rPr>
        <w:t>无明确当事人和有关人员或者当事人、有关人员拒绝在笔录、检查单上签名或者盖章的，执法人员应当注明情况并签名”。</w:t>
      </w:r>
    </w:p>
    <w:p w14:paraId="472F8A4A">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14:paraId="64C21DFA">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val="en-US" w:eastAsia="zh-CN"/>
        </w:rPr>
        <w:t>1.执法人员因实施行政处罚工作进行调查、检查时，</w:t>
      </w:r>
      <w:r>
        <w:rPr>
          <w:rFonts w:hint="eastAsia" w:ascii="楷体_GB2312" w:hAnsi="楷体_GB2312" w:eastAsia="楷体_GB2312" w:cs="楷体_GB2312"/>
          <w:bCs/>
          <w:color w:val="auto"/>
          <w:sz w:val="32"/>
          <w:szCs w:val="32"/>
          <w:highlight w:val="none"/>
          <w:lang w:val="en-US" w:eastAsia="zh-CN"/>
        </w:rPr>
        <w:t>除主动向当事人或者有关人员表明身份、出示执法证件外，还应当说明来意和事由（检查原因、内容等），并告知当事人或者有关人员享有的权利和义务（申请回避、进行陈述和申辩的权利，应当“如实回答询问，并协助调查或者检查，不得拒绝或者阻挠”的义务），相关告知内</w:t>
      </w:r>
      <w:r>
        <w:rPr>
          <w:rFonts w:hint="eastAsia" w:ascii="楷体_GB2312" w:hAnsi="楷体_GB2312" w:eastAsia="楷体_GB2312" w:cs="楷体_GB2312"/>
          <w:bCs/>
          <w:color w:val="auto"/>
          <w:sz w:val="32"/>
          <w:szCs w:val="32"/>
          <w:highlight w:val="none"/>
          <w:lang w:eastAsia="zh-CN"/>
        </w:rPr>
        <w:t>容应当在现场检查笔录、现场勘验笔录、询问笔录等文书中予以体现，具体详见文书模板。</w:t>
      </w:r>
    </w:p>
    <w:p w14:paraId="524AE7B3">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eastAsia="zh-CN"/>
        </w:rPr>
        <w:t>执法人员应当将现场检查笔录、现场勘验笔录、询问笔录，</w:t>
      </w:r>
      <w:r>
        <w:rPr>
          <w:rFonts w:hint="eastAsia" w:ascii="楷体_GB2312" w:hAnsi="楷体_GB2312" w:eastAsia="楷体_GB2312" w:cs="楷体_GB2312"/>
          <w:bCs/>
          <w:color w:val="auto"/>
          <w:sz w:val="32"/>
          <w:szCs w:val="32"/>
          <w:highlight w:val="none"/>
          <w:lang w:val="en-US" w:eastAsia="zh-CN"/>
        </w:rPr>
        <w:t>主动交由当事人或者有关人员核对并签名或者盖章。无明确当事人和有关人员或者当事人、有关人员拒绝在检查单上签名或者盖章的，两名执法人员应当在备注栏说明情况并签名。</w:t>
      </w:r>
    </w:p>
    <w:p w14:paraId="1ECD5FC0">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 w:val="0"/>
          <w:bCs/>
          <w:color w:val="auto"/>
          <w:sz w:val="32"/>
          <w:szCs w:val="32"/>
          <w:highlight w:val="none"/>
          <w:lang w:val="en-US" w:eastAsia="zh-CN"/>
        </w:rPr>
      </w:pPr>
      <w:r>
        <w:rPr>
          <w:rFonts w:hint="eastAsia" w:ascii="楷体_GB2312" w:hAnsi="楷体_GB2312" w:eastAsia="楷体_GB2312" w:cs="楷体_GB2312"/>
          <w:b/>
          <w:bCs w:val="0"/>
          <w:color w:val="auto"/>
          <w:sz w:val="32"/>
          <w:szCs w:val="32"/>
          <w:highlight w:val="none"/>
          <w:lang w:val="en-US" w:eastAsia="zh-CN"/>
        </w:rPr>
        <w:t>2.执法人员进行日常主动检查时，</w:t>
      </w:r>
      <w:r>
        <w:rPr>
          <w:rFonts w:hint="eastAsia" w:ascii="楷体_GB2312" w:hAnsi="楷体_GB2312" w:eastAsia="楷体_GB2312" w:cs="楷体_GB2312"/>
          <w:b w:val="0"/>
          <w:bCs/>
          <w:color w:val="auto"/>
          <w:sz w:val="32"/>
          <w:szCs w:val="32"/>
          <w:highlight w:val="none"/>
          <w:lang w:val="en-US" w:eastAsia="zh-CN"/>
        </w:rPr>
        <w:t>也应当按照上述要求，主动向当事人或者有关人员表明身份、出示执法证件、说明来意和事由，告知当事人享有的权利和义务，</w:t>
      </w:r>
      <w:r>
        <w:rPr>
          <w:rFonts w:hint="eastAsia" w:ascii="楷体_GB2312" w:hAnsi="楷体_GB2312" w:eastAsia="楷体_GB2312" w:cs="楷体_GB2312"/>
          <w:b/>
          <w:bCs w:val="0"/>
          <w:color w:val="auto"/>
          <w:sz w:val="32"/>
          <w:szCs w:val="32"/>
          <w:highlight w:val="none"/>
          <w:lang w:val="en-US" w:eastAsia="zh-CN"/>
        </w:rPr>
        <w:t>相关告知内容应当在行政检查单中予以体现（大数据平台检查单系统将优化完善）。</w:t>
      </w:r>
    </w:p>
    <w:p w14:paraId="0713DC76">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执法人员应当积极依托大数据平台如实、规范填写检查单，并主动交由当事人或者有关人员核对并签名或者盖章。无明确当事人和有关人员或者当事人、有关人员拒绝在检查单上签名或者盖章的，执法人员应当注明情况。实践中，对于当事人和有关人员不签名的情况，执法人员应当在大数据平台检查单系统或者纸质检查单中相应位置注明情况（无明确当事人或者当事人拒绝签名）；</w:t>
      </w:r>
      <w:r>
        <w:rPr>
          <w:rFonts w:hint="eastAsia" w:ascii="楷体_GB2312" w:hAnsi="楷体_GB2312" w:eastAsia="楷体_GB2312" w:cs="楷体_GB2312"/>
          <w:b/>
          <w:bCs w:val="0"/>
          <w:color w:val="auto"/>
          <w:sz w:val="32"/>
          <w:szCs w:val="32"/>
          <w:highlight w:val="none"/>
          <w:lang w:val="en-US" w:eastAsia="zh-CN"/>
        </w:rPr>
        <w:t>执法人员填写执法检查单，在当事人配合或者不配合的情况下，均应当由两名执法人员手写签名；</w:t>
      </w:r>
      <w:r>
        <w:rPr>
          <w:rFonts w:hint="eastAsia" w:ascii="楷体_GB2312" w:hAnsi="楷体_GB2312" w:eastAsia="楷体_GB2312" w:cs="楷体_GB2312"/>
          <w:bCs/>
          <w:color w:val="auto"/>
          <w:sz w:val="32"/>
          <w:szCs w:val="32"/>
          <w:highlight w:val="none"/>
          <w:lang w:val="en-US" w:eastAsia="zh-CN"/>
        </w:rPr>
        <w:t>具体按照调整后的检查单系统填写。</w:t>
      </w:r>
    </w:p>
    <w:p w14:paraId="68F78DE6">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
          <w:bCs w:val="0"/>
          <w:color w:val="auto"/>
          <w:sz w:val="32"/>
          <w:szCs w:val="32"/>
          <w:highlight w:val="none"/>
          <w:lang w:val="en-US" w:eastAsia="zh-CN"/>
        </w:rPr>
      </w:pPr>
      <w:r>
        <w:rPr>
          <w:rFonts w:hint="eastAsia" w:ascii="楷体_GB2312" w:hAnsi="楷体_GB2312" w:eastAsia="楷体_GB2312" w:cs="楷体_GB2312"/>
          <w:b/>
          <w:bCs w:val="0"/>
          <w:color w:val="auto"/>
          <w:sz w:val="32"/>
          <w:szCs w:val="32"/>
          <w:highlight w:val="none"/>
          <w:lang w:val="en-US" w:eastAsia="zh-CN"/>
        </w:rPr>
        <w:t>执法人员填录执法检查单上传现场照片，必须上传“水印”模式并带有具体拍摄时间（年月日时分）的照片。</w:t>
      </w:r>
    </w:p>
    <w:p w14:paraId="220CE1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highlight w:val="none"/>
          <w:lang w:eastAsia="zh-CN"/>
        </w:rPr>
      </w:pPr>
      <w:r>
        <w:rPr>
          <w:rFonts w:hint="eastAsia" w:ascii="黑体" w:hAnsi="黑体" w:eastAsia="黑体" w:cs="宋体"/>
          <w:bCs/>
          <w:color w:val="auto"/>
          <w:sz w:val="32"/>
          <w:szCs w:val="32"/>
          <w:highlight w:val="none"/>
          <w:lang w:eastAsia="zh-CN"/>
        </w:rPr>
        <w:t>三、关于</w:t>
      </w:r>
      <w:r>
        <w:rPr>
          <w:rFonts w:hint="eastAsia" w:ascii="黑体" w:hAnsi="黑体" w:eastAsia="黑体" w:cs="黑体"/>
          <w:b w:val="0"/>
          <w:bCs/>
          <w:color w:val="auto"/>
          <w:sz w:val="32"/>
          <w:szCs w:val="32"/>
          <w:highlight w:val="none"/>
          <w:lang w:eastAsia="zh-CN"/>
        </w:rPr>
        <w:t>先行登记保存</w:t>
      </w:r>
    </w:p>
    <w:p w14:paraId="43CB676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宋体"/>
          <w:bCs/>
          <w:color w:val="auto"/>
          <w:sz w:val="32"/>
          <w:szCs w:val="32"/>
          <w:highlight w:val="none"/>
          <w:lang w:eastAsia="zh-CN"/>
        </w:rPr>
      </w:pPr>
      <w:r>
        <w:rPr>
          <w:rFonts w:hint="eastAsia" w:ascii="仿宋_GB2312" w:hAnsi="黑体" w:eastAsia="仿宋_GB2312" w:cs="宋体"/>
          <w:bCs/>
          <w:color w:val="auto"/>
          <w:sz w:val="32"/>
          <w:szCs w:val="32"/>
          <w:highlight w:val="none"/>
          <w:lang w:eastAsia="zh-CN"/>
        </w:rPr>
        <w:t>《规定》第十四条第二款明确“</w:t>
      </w:r>
      <w:r>
        <w:rPr>
          <w:rFonts w:hint="eastAsia" w:ascii="黑体" w:hAnsi="黑体" w:eastAsia="黑体" w:cs="黑体"/>
          <w:bCs/>
          <w:color w:val="auto"/>
          <w:sz w:val="32"/>
          <w:szCs w:val="32"/>
          <w:highlight w:val="none"/>
          <w:lang w:eastAsia="zh-CN"/>
        </w:rPr>
        <w:t>情况紧急，需要当场先行登记保存的，执法人员应当在二十四小时内向行政机关负责人报告，并补办批准手续</w:t>
      </w:r>
      <w:r>
        <w:rPr>
          <w:rFonts w:hint="eastAsia" w:ascii="仿宋_GB2312" w:hAnsi="黑体" w:eastAsia="仿宋_GB2312" w:cs="宋体"/>
          <w:bCs/>
          <w:color w:val="auto"/>
          <w:sz w:val="32"/>
          <w:szCs w:val="32"/>
          <w:highlight w:val="none"/>
          <w:lang w:eastAsia="zh-CN"/>
        </w:rPr>
        <w:t>。行政机关负责人认为不应当先行登记保存的，应当立即解除”。</w:t>
      </w:r>
    </w:p>
    <w:p w14:paraId="26AB74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宋体"/>
          <w:bCs/>
          <w:color w:val="auto"/>
          <w:sz w:val="32"/>
          <w:szCs w:val="32"/>
          <w:highlight w:val="none"/>
          <w:lang w:eastAsia="zh-CN"/>
        </w:rPr>
      </w:pPr>
      <w:r>
        <w:rPr>
          <w:rFonts w:hint="eastAsia" w:ascii="仿宋_GB2312" w:hAnsi="黑体" w:eastAsia="仿宋_GB2312" w:cs="宋体"/>
          <w:bCs/>
          <w:color w:val="auto"/>
          <w:sz w:val="32"/>
          <w:szCs w:val="32"/>
          <w:highlight w:val="none"/>
          <w:lang w:eastAsia="zh-CN"/>
        </w:rPr>
        <w:t>《规定》第十五条明确“</w:t>
      </w:r>
      <w:r>
        <w:rPr>
          <w:rFonts w:hint="eastAsia" w:ascii="黑体" w:hAnsi="黑体" w:eastAsia="黑体" w:cs="黑体"/>
          <w:bCs/>
          <w:color w:val="auto"/>
          <w:sz w:val="32"/>
          <w:szCs w:val="32"/>
          <w:highlight w:val="none"/>
          <w:lang w:eastAsia="zh-CN"/>
        </w:rPr>
        <w:t>行政机关实施抽样取证或者先行登记保存，应当通知当事人到场并全程录音录像。</w:t>
      </w:r>
      <w:r>
        <w:rPr>
          <w:rFonts w:hint="eastAsia" w:ascii="仿宋_GB2312" w:hAnsi="黑体" w:eastAsia="仿宋_GB2312" w:cs="宋体"/>
          <w:bCs/>
          <w:color w:val="auto"/>
          <w:sz w:val="32"/>
          <w:szCs w:val="32"/>
          <w:highlight w:val="none"/>
          <w:lang w:eastAsia="zh-CN"/>
        </w:rPr>
        <w:t>执法人员现场制作物品清单，一式两份，记录物品名称、数量、规格等情况，清单经当事人核对并签名或者盖章后，一份交付当事人。当事人不到场、拒绝签收的，执法人员可以邀请见证人现场见证并签字确认。没有见证人或者见证人拒绝签字的，由两名以上执法人员在清单上签字并注明情况”。</w:t>
      </w:r>
    </w:p>
    <w:p w14:paraId="32CD807E">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14:paraId="0C0A49FF">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1.执法人员在</w:t>
      </w:r>
      <w:r>
        <w:rPr>
          <w:rFonts w:hint="eastAsia" w:ascii="楷体_GB2312" w:hAnsi="楷体_GB2312" w:eastAsia="楷体_GB2312" w:cs="楷体_GB2312"/>
          <w:bCs/>
          <w:color w:val="auto"/>
          <w:sz w:val="32"/>
          <w:szCs w:val="32"/>
          <w:highlight w:val="none"/>
          <w:lang w:eastAsia="zh-CN"/>
        </w:rPr>
        <w:t>调查取证过程中，为防止证据灭失或者以后难以取得的情况下，经行政机关负责人批准，可以依法采取先行登记保存措施。</w:t>
      </w:r>
      <w:r>
        <w:rPr>
          <w:rFonts w:hint="eastAsia" w:ascii="楷体_GB2312" w:hAnsi="楷体_GB2312" w:eastAsia="楷体_GB2312" w:cs="楷体_GB2312"/>
          <w:bCs/>
          <w:color w:val="auto"/>
          <w:sz w:val="32"/>
          <w:szCs w:val="32"/>
          <w:highlight w:val="none"/>
          <w:lang w:val="en-US" w:eastAsia="zh-CN"/>
        </w:rPr>
        <w:t>情况紧急需要</w:t>
      </w:r>
      <w:r>
        <w:rPr>
          <w:rFonts w:hint="eastAsia" w:ascii="楷体_GB2312" w:hAnsi="楷体_GB2312" w:eastAsia="楷体_GB2312" w:cs="楷体_GB2312"/>
          <w:bCs/>
          <w:color w:val="auto"/>
          <w:sz w:val="32"/>
          <w:szCs w:val="32"/>
          <w:highlight w:val="none"/>
          <w:lang w:eastAsia="zh-CN"/>
        </w:rPr>
        <w:t>当场先行登记保存措施的，执法人员应当在</w:t>
      </w:r>
      <w:r>
        <w:rPr>
          <w:rFonts w:hint="eastAsia" w:ascii="楷体_GB2312" w:hAnsi="楷体_GB2312" w:eastAsia="楷体_GB2312" w:cs="楷体_GB2312"/>
          <w:bCs/>
          <w:color w:val="auto"/>
          <w:sz w:val="32"/>
          <w:szCs w:val="32"/>
          <w:highlight w:val="none"/>
          <w:lang w:val="en-US" w:eastAsia="zh-CN"/>
        </w:rPr>
        <w:t>24</w:t>
      </w:r>
      <w:r>
        <w:rPr>
          <w:rFonts w:hint="eastAsia" w:ascii="楷体_GB2312" w:hAnsi="楷体_GB2312" w:eastAsia="楷体_GB2312" w:cs="楷体_GB2312"/>
          <w:bCs/>
          <w:color w:val="auto"/>
          <w:sz w:val="32"/>
          <w:szCs w:val="32"/>
          <w:highlight w:val="none"/>
          <w:lang w:eastAsia="zh-CN"/>
        </w:rPr>
        <w:t>小时内向负责人报告，并补办批准手续。负责人认为不应当先行登记保存的，应当立即解除。</w:t>
      </w:r>
    </w:p>
    <w:p w14:paraId="48C88335">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
          <w:bCs w:val="0"/>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2.实施先行登记保存措施，必须通知当事人到场（当事人在现场除外），并严格落实国家和本市行政执法全过程记录制度规定，事前开启执法记录仪、摄像机等音像设备，对执法全过程进行不间断</w:t>
      </w:r>
      <w:r>
        <w:rPr>
          <w:rFonts w:hint="eastAsia" w:ascii="楷体_GB2312" w:hAnsi="楷体_GB2312" w:eastAsia="楷体_GB2312" w:cs="楷体_GB2312"/>
          <w:bCs/>
          <w:color w:val="auto"/>
          <w:sz w:val="32"/>
          <w:szCs w:val="32"/>
          <w:highlight w:val="none"/>
          <w:lang w:eastAsia="zh-CN"/>
        </w:rPr>
        <w:t>音像记录。</w:t>
      </w:r>
      <w:r>
        <w:rPr>
          <w:rFonts w:hint="eastAsia" w:ascii="楷体_GB2312" w:hAnsi="楷体_GB2312" w:eastAsia="楷体_GB2312" w:cs="楷体_GB2312"/>
          <w:b/>
          <w:bCs w:val="0"/>
          <w:color w:val="auto"/>
          <w:sz w:val="32"/>
          <w:szCs w:val="32"/>
          <w:highlight w:val="none"/>
          <w:lang w:eastAsia="zh-CN"/>
        </w:rPr>
        <w:t>做好音像记录信息保管，相关录音录像材料必须作</w:t>
      </w:r>
      <w:r>
        <w:rPr>
          <w:rFonts w:hint="eastAsia" w:ascii="楷体_GB2312" w:hAnsi="楷体_GB2312" w:eastAsia="楷体_GB2312" w:cs="楷体_GB2312"/>
          <w:b/>
          <w:bCs w:val="0"/>
          <w:color w:val="auto"/>
          <w:sz w:val="32"/>
          <w:szCs w:val="32"/>
          <w:highlight w:val="none"/>
          <w:lang w:val="en-US" w:eastAsia="zh-CN"/>
        </w:rPr>
        <w:t>为证据按要求入卷。</w:t>
      </w:r>
    </w:p>
    <w:p w14:paraId="38294A59">
      <w:pPr>
        <w:keepNext w:val="0"/>
        <w:keepLines w:val="0"/>
        <w:pageBreakBefore w:val="0"/>
        <w:widowControl w:val="0"/>
        <w:kinsoku/>
        <w:wordWrap/>
        <w:overflowPunct/>
        <w:topLinePunct w:val="0"/>
        <w:autoSpaceDE/>
        <w:autoSpaceDN/>
        <w:bidi w:val="0"/>
        <w:adjustRightInd/>
        <w:snapToGrid/>
        <w:spacing w:line="560" w:lineRule="exact"/>
        <w:ind w:firstLine="635"/>
        <w:textAlignment w:val="auto"/>
        <w:rPr>
          <w:rFonts w:hint="eastAsia" w:ascii="楷体_GB2312" w:hAnsi="楷体_GB2312" w:eastAsia="楷体_GB2312" w:cs="楷体_GB2312"/>
          <w:b/>
          <w:bCs w:val="0"/>
          <w:color w:val="auto"/>
          <w:sz w:val="32"/>
          <w:szCs w:val="32"/>
          <w:highlight w:val="none"/>
          <w:lang w:val="en-US" w:eastAsia="zh-CN"/>
        </w:rPr>
      </w:pPr>
      <w:r>
        <w:rPr>
          <w:rFonts w:hint="eastAsia" w:ascii="楷体_GB2312" w:hAnsi="楷体_GB2312" w:eastAsia="楷体_GB2312" w:cs="楷体_GB2312"/>
          <w:b/>
          <w:bCs w:val="0"/>
          <w:color w:val="auto"/>
          <w:sz w:val="32"/>
          <w:szCs w:val="32"/>
          <w:highlight w:val="none"/>
          <w:lang w:val="en-US" w:eastAsia="zh-CN"/>
        </w:rPr>
        <w:t>将现场执法</w:t>
      </w:r>
      <w:r>
        <w:rPr>
          <w:rFonts w:hint="eastAsia" w:ascii="楷体_GB2312" w:hAnsi="楷体_GB2312" w:eastAsia="楷体_GB2312" w:cs="楷体_GB2312"/>
          <w:b/>
          <w:bCs w:val="0"/>
          <w:color w:val="auto"/>
          <w:sz w:val="32"/>
          <w:szCs w:val="32"/>
          <w:highlight w:val="none"/>
          <w:lang w:eastAsia="zh-CN"/>
        </w:rPr>
        <w:t>音像记录</w:t>
      </w:r>
      <w:r>
        <w:rPr>
          <w:rFonts w:hint="eastAsia" w:ascii="楷体_GB2312" w:hAnsi="楷体_GB2312" w:eastAsia="楷体_GB2312" w:cs="楷体_GB2312"/>
          <w:b/>
          <w:bCs w:val="0"/>
          <w:color w:val="auto"/>
          <w:sz w:val="32"/>
          <w:szCs w:val="32"/>
          <w:highlight w:val="none"/>
          <w:lang w:val="en-US" w:eastAsia="zh-CN"/>
        </w:rPr>
        <w:t>作为行政处罚视听资料证据使用的，应提供有关资料原始载体，制作文字说明材料，注明信息原始储存载体、调取时间、调取人、制作人等信息。提供原始载体确有困难的，可以提供复制件；提供复制件的，应当由调取人或者提供人签署确认复制件内容与原始内容一致的意思表示。</w:t>
      </w:r>
    </w:p>
    <w:p w14:paraId="5BE26AC0">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3.实施先行登记保存，应当</w:t>
      </w:r>
      <w:r>
        <w:rPr>
          <w:rFonts w:hint="eastAsia" w:ascii="楷体_GB2312" w:hAnsi="楷体_GB2312" w:eastAsia="楷体_GB2312" w:cs="楷体_GB2312"/>
          <w:bCs/>
          <w:color w:val="auto"/>
          <w:sz w:val="32"/>
          <w:szCs w:val="32"/>
          <w:highlight w:val="none"/>
          <w:lang w:eastAsia="zh-CN"/>
        </w:rPr>
        <w:t>现场清点物品，现场制作先行登记</w:t>
      </w:r>
      <w:r>
        <w:rPr>
          <w:rFonts w:hint="eastAsia" w:ascii="楷体_GB2312" w:hAnsi="楷体_GB2312" w:eastAsia="楷体_GB2312" w:cs="楷体_GB2312"/>
          <w:bCs/>
          <w:color w:val="auto"/>
          <w:sz w:val="32"/>
          <w:szCs w:val="32"/>
          <w:highlight w:val="none"/>
          <w:lang w:val="en-US" w:eastAsia="zh-CN"/>
        </w:rPr>
        <w:t>保存物品清单，一式两份，记录物品名称、数量、规格等情况，清单经当事人核对并签名或者盖章后，一份交付当事人。</w:t>
      </w:r>
    </w:p>
    <w:p w14:paraId="279ED548">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4.当事人不到场或者在现场但拒绝签收物品清单等文书的，执法人员可以邀请见证人现场见证并签字确认。没有见证人或者见证人拒绝签字的，由两名以上执法人员在先行登记保存文书（含清单）上签字，并在当事人签名处等相应位置注明情况，具体详见文书模板。</w:t>
      </w:r>
    </w:p>
    <w:p w14:paraId="37006001">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5.对有关物品采取先行登记保存措施后，</w:t>
      </w:r>
      <w:r>
        <w:rPr>
          <w:rFonts w:hint="eastAsia" w:ascii="楷体_GB2312" w:hAnsi="楷体_GB2312" w:eastAsia="楷体_GB2312" w:cs="楷体_GB2312"/>
          <w:b/>
          <w:bCs w:val="0"/>
          <w:color w:val="auto"/>
          <w:sz w:val="32"/>
          <w:szCs w:val="32"/>
          <w:highlight w:val="none"/>
          <w:lang w:val="en-US" w:eastAsia="zh-CN"/>
        </w:rPr>
        <w:t>应当及时采取记录、复制、拍照、录像等措施保全证据，</w:t>
      </w:r>
      <w:r>
        <w:rPr>
          <w:rFonts w:hint="eastAsia" w:ascii="楷体_GB2312" w:hAnsi="楷体_GB2312" w:eastAsia="楷体_GB2312" w:cs="楷体_GB2312"/>
          <w:bCs/>
          <w:color w:val="auto"/>
          <w:sz w:val="32"/>
          <w:szCs w:val="32"/>
          <w:highlight w:val="none"/>
          <w:lang w:val="en-US" w:eastAsia="zh-CN"/>
        </w:rPr>
        <w:t>并在七个工作日内作出处理决定；逾期未做出决定的，先行登记保存自动解除。</w:t>
      </w:r>
    </w:p>
    <w:p w14:paraId="61F76BD5">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val="en-US" w:eastAsia="zh-CN"/>
        </w:rPr>
        <w:t>四、关于中止案件调查</w:t>
      </w:r>
    </w:p>
    <w:p w14:paraId="53A3C1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Times New Roman"/>
          <w:color w:val="auto"/>
          <w:sz w:val="32"/>
          <w:szCs w:val="32"/>
          <w:highlight w:val="none"/>
          <w:lang w:val="en-US" w:eastAsia="zh-CN"/>
        </w:rPr>
      </w:pPr>
      <w:r>
        <w:rPr>
          <w:rFonts w:hint="eastAsia" w:ascii="仿宋_GB2312" w:hAnsi="黑体" w:eastAsia="仿宋_GB2312" w:cs="Times New Roman"/>
          <w:color w:val="auto"/>
          <w:sz w:val="32"/>
          <w:szCs w:val="32"/>
          <w:highlight w:val="none"/>
          <w:lang w:val="en-US" w:eastAsia="zh-CN"/>
        </w:rPr>
        <w:t>《规定》第十七条明确“有下列情形之一，</w:t>
      </w:r>
      <w:r>
        <w:rPr>
          <w:rFonts w:hint="eastAsia" w:ascii="黑体" w:hAnsi="黑体" w:eastAsia="黑体" w:cs="黑体"/>
          <w:color w:val="auto"/>
          <w:sz w:val="32"/>
          <w:szCs w:val="32"/>
          <w:highlight w:val="none"/>
          <w:lang w:val="en-US" w:eastAsia="zh-CN"/>
        </w:rPr>
        <w:t>经行政机关负责人批准，可以中止案件调查，中止调查的原因消除后，应当立即恢复案件调查</w:t>
      </w:r>
      <w:r>
        <w:rPr>
          <w:rFonts w:hint="eastAsia" w:ascii="仿宋_GB2312" w:hAnsi="黑体" w:eastAsia="仿宋_GB2312" w:cs="Times New Roman"/>
          <w:color w:val="auto"/>
          <w:sz w:val="32"/>
          <w:szCs w:val="32"/>
          <w:highlight w:val="none"/>
          <w:lang w:val="en-US" w:eastAsia="zh-CN"/>
        </w:rPr>
        <w:t>：（一）行政处罚决定必须以相关案件的裁判结果或者其他行政决定为依据，而相关案件尚未审结或者其他行政决定尚未作出的；（二）涉及法律适用等问题，需要送请有权机关作出解释或者确认的；（三）因不可抗力致使案件暂时无法调查的；（四）法律、法规、规章规定的其他应当中止调查的情形。实施违法行为的公民已经死亡或者法人、其他组织已经终止，且无权利义务承受人的，经行政机关负责人批准，终止案件调查”。</w:t>
      </w:r>
    </w:p>
    <w:p w14:paraId="47AD814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14:paraId="094B51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1.《规定》明确了四种可以中止案件调查的情形，对有相关证据支撑且符合上述情形的，</w:t>
      </w:r>
      <w:r>
        <w:rPr>
          <w:rFonts w:hint="eastAsia" w:ascii="楷体_GB2312" w:hAnsi="楷体_GB2312" w:eastAsia="楷体_GB2312" w:cs="楷体_GB2312"/>
          <w:color w:val="auto"/>
          <w:sz w:val="32"/>
          <w:szCs w:val="32"/>
          <w:highlight w:val="none"/>
          <w:lang w:val="en-US" w:eastAsia="zh-CN"/>
        </w:rPr>
        <w:t>经行政机关负责人（行政机关正职、副职负责人、参与分管工作的副职级别的负责人，以及其他参与分管工作的负责人）批准后（制作案件审批表，负责人签字），可以中止</w:t>
      </w:r>
      <w:r>
        <w:rPr>
          <w:rFonts w:hint="eastAsia" w:ascii="楷体_GB2312" w:hAnsi="楷体_GB2312" w:eastAsia="楷体_GB2312" w:cs="楷体_GB2312"/>
          <w:bCs/>
          <w:color w:val="auto"/>
          <w:sz w:val="32"/>
          <w:szCs w:val="32"/>
          <w:highlight w:val="none"/>
          <w:lang w:val="en-US" w:eastAsia="zh-CN"/>
        </w:rPr>
        <w:t>案件调查。</w:t>
      </w:r>
    </w:p>
    <w:p w14:paraId="457EA7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2.案件中止调查的原因消除后，应当立即报</w:t>
      </w:r>
      <w:r>
        <w:rPr>
          <w:rFonts w:hint="eastAsia" w:ascii="楷体_GB2312" w:hAnsi="楷体_GB2312" w:eastAsia="楷体_GB2312" w:cs="楷体_GB2312"/>
          <w:color w:val="auto"/>
          <w:sz w:val="32"/>
          <w:szCs w:val="32"/>
          <w:highlight w:val="none"/>
          <w:lang w:val="en-US" w:eastAsia="zh-CN"/>
        </w:rPr>
        <w:t>行政机关负责人</w:t>
      </w:r>
      <w:r>
        <w:rPr>
          <w:rFonts w:hint="eastAsia" w:ascii="楷体_GB2312" w:hAnsi="楷体_GB2312" w:eastAsia="楷体_GB2312" w:cs="楷体_GB2312"/>
          <w:bCs/>
          <w:color w:val="auto"/>
          <w:sz w:val="32"/>
          <w:szCs w:val="32"/>
          <w:highlight w:val="none"/>
          <w:lang w:val="en-US" w:eastAsia="zh-CN"/>
        </w:rPr>
        <w:t>批准后</w:t>
      </w:r>
      <w:r>
        <w:rPr>
          <w:rFonts w:hint="eastAsia" w:ascii="楷体_GB2312" w:hAnsi="楷体_GB2312" w:eastAsia="楷体_GB2312" w:cs="楷体_GB2312"/>
          <w:color w:val="auto"/>
          <w:sz w:val="32"/>
          <w:szCs w:val="32"/>
          <w:highlight w:val="none"/>
          <w:lang w:val="en-US" w:eastAsia="zh-CN"/>
        </w:rPr>
        <w:t>（制作案件审批表，负责人签字），</w:t>
      </w:r>
      <w:r>
        <w:rPr>
          <w:rFonts w:hint="eastAsia" w:ascii="楷体_GB2312" w:hAnsi="楷体_GB2312" w:eastAsia="楷体_GB2312" w:cs="楷体_GB2312"/>
          <w:bCs/>
          <w:color w:val="auto"/>
          <w:sz w:val="32"/>
          <w:szCs w:val="32"/>
          <w:highlight w:val="none"/>
          <w:lang w:val="en-US" w:eastAsia="zh-CN"/>
        </w:rPr>
        <w:t>恢复案件调查。</w:t>
      </w:r>
    </w:p>
    <w:p w14:paraId="43FEE8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3.实施违法行为的公民已经死亡或者法人、其他组织已经终止，且无权利义务承受人的，经行政机关负责人批准，终止案件调查，并按照《规定》第三十条第（四）项规定，予以结案。</w:t>
      </w:r>
    </w:p>
    <w:p w14:paraId="15C68B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五、关于办案延期</w:t>
      </w:r>
    </w:p>
    <w:p w14:paraId="79A51B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黑体" w:eastAsia="仿宋_GB2312" w:cs="Times New Roman"/>
          <w:color w:val="auto"/>
          <w:sz w:val="32"/>
          <w:szCs w:val="32"/>
          <w:highlight w:val="none"/>
          <w:lang w:val="en-US" w:eastAsia="zh-CN"/>
        </w:rPr>
      </w:pPr>
      <w:r>
        <w:rPr>
          <w:rFonts w:hint="eastAsia" w:ascii="仿宋_GB2312" w:hAnsi="黑体" w:eastAsia="仿宋_GB2312" w:cs="Times New Roman"/>
          <w:color w:val="auto"/>
          <w:sz w:val="28"/>
          <w:szCs w:val="28"/>
          <w:highlight w:val="none"/>
          <w:lang w:val="en-US" w:eastAsia="zh-CN"/>
        </w:rPr>
        <w:t>《</w:t>
      </w:r>
      <w:r>
        <w:rPr>
          <w:rFonts w:hint="eastAsia" w:ascii="仿宋_GB2312" w:hAnsi="黑体" w:eastAsia="仿宋_GB2312" w:cs="Times New Roman"/>
          <w:color w:val="auto"/>
          <w:sz w:val="32"/>
          <w:szCs w:val="32"/>
          <w:highlight w:val="none"/>
          <w:lang w:val="en-US" w:eastAsia="zh-CN"/>
        </w:rPr>
        <w:t>规定》第二十五条明确“除可以当场作出行政处罚决定的外，行政机关应当自行政处罚案件立案之日起九十日内作出行政处罚决定。</w:t>
      </w:r>
      <w:r>
        <w:rPr>
          <w:rFonts w:hint="eastAsia" w:ascii="黑体" w:hAnsi="黑体" w:eastAsia="黑体" w:cs="黑体"/>
          <w:color w:val="auto"/>
          <w:sz w:val="32"/>
          <w:szCs w:val="32"/>
          <w:highlight w:val="none"/>
          <w:lang w:val="en-US" w:eastAsia="zh-CN"/>
        </w:rPr>
        <w:t>因案情复杂，不能在规定期限内作出处理决定的，经行政机关负责人批准，可以延长办案期限，最长不得超过六十日。</w:t>
      </w:r>
      <w:r>
        <w:rPr>
          <w:rFonts w:hint="eastAsia" w:ascii="仿宋_GB2312" w:hAnsi="黑体" w:eastAsia="仿宋_GB2312" w:cs="Times New Roman"/>
          <w:color w:val="auto"/>
          <w:sz w:val="32"/>
          <w:szCs w:val="32"/>
          <w:highlight w:val="none"/>
          <w:lang w:val="en-US" w:eastAsia="zh-CN"/>
        </w:rPr>
        <w:t>案件办理过程中，检测、检验、检疫、鉴定、评估、公告时间不计入前款所指的案件办理期限”。</w:t>
      </w:r>
    </w:p>
    <w:p w14:paraId="6235F0B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14:paraId="1A1812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1.各级城管执法部门实施行政处罚，应当坚持高效便民原则，在立案后，要及时开展调查取证，提高办案效率，推进案件依法及时有效办结。</w:t>
      </w:r>
    </w:p>
    <w:p w14:paraId="1A87C2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2.正确理解把握案件延期的适用条件，对于“案情复杂，不能在规定期限内作出处理决定”的，比如，案件涉及法律关系复杂、涉及多个相关主体需要调查、证据调查或取得困难等情形，可以延长办案期限，但最长不得超过60日。</w:t>
      </w:r>
    </w:p>
    <w:p w14:paraId="15F66C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bCs w:val="0"/>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3.案件延期应当制作案件审批表,报经负责人批准，要严格延期条件，严格审批程序，避免随意延期。</w:t>
      </w:r>
      <w:r>
        <w:rPr>
          <w:rFonts w:hint="eastAsia" w:ascii="楷体_GB2312" w:hAnsi="楷体_GB2312" w:eastAsia="楷体_GB2312" w:cs="楷体_GB2312"/>
          <w:b/>
          <w:bCs w:val="0"/>
          <w:color w:val="auto"/>
          <w:sz w:val="32"/>
          <w:szCs w:val="32"/>
          <w:highlight w:val="none"/>
          <w:lang w:val="en-US" w:eastAsia="zh-CN"/>
        </w:rPr>
        <w:t>确需延长办案期限的，应当在立案之日起九十日内，完成案件延期负责人审批，不得在办案期限（90日）届满后，履行延期审批程序。</w:t>
      </w:r>
    </w:p>
    <w:p w14:paraId="73E2CB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4.《规定》明确“检测、检验、检疫、鉴定、评估、公告时间”不计入案件办理期限，不得随意扩大范围。</w:t>
      </w:r>
    </w:p>
    <w:p w14:paraId="0BA7C6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六、关于行政处罚决定中处罚裁量告知</w:t>
      </w:r>
    </w:p>
    <w:p w14:paraId="146612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仿宋_GB2312" w:hAnsi="黑体" w:eastAsia="仿宋_GB2312" w:cs="Times New Roman"/>
          <w:color w:val="auto"/>
          <w:sz w:val="32"/>
          <w:szCs w:val="32"/>
          <w:highlight w:val="none"/>
          <w:lang w:val="en-US" w:eastAsia="zh-CN"/>
        </w:rPr>
        <w:t>《规定》第二十二条明确“行政机关依法决定给予行政处罚，应当制作行政处罚决定书。行政处罚决定书应当载明下列事项，并加盖行政机关印章：（一）当事人的姓名或者名称、地址；（二）违反法律、法规、规章的事实和证据；（三）行政处罚的种类、依据，</w:t>
      </w:r>
      <w:r>
        <w:rPr>
          <w:rFonts w:hint="eastAsia" w:ascii="黑体" w:hAnsi="黑体" w:eastAsia="黑体" w:cs="黑体"/>
          <w:color w:val="auto"/>
          <w:sz w:val="32"/>
          <w:szCs w:val="32"/>
          <w:highlight w:val="none"/>
          <w:lang w:val="en-US" w:eastAsia="zh-CN"/>
        </w:rPr>
        <w:t>以及行政处罚裁量基准的适用情况；</w:t>
      </w:r>
      <w:r>
        <w:rPr>
          <w:rFonts w:hint="eastAsia" w:ascii="仿宋_GB2312" w:hAnsi="黑体" w:eastAsia="仿宋_GB2312" w:cs="Times New Roman"/>
          <w:color w:val="auto"/>
          <w:sz w:val="32"/>
          <w:szCs w:val="32"/>
          <w:highlight w:val="none"/>
          <w:lang w:val="en-US" w:eastAsia="zh-CN"/>
        </w:rPr>
        <w:t>（四）行政处罚的履行方式和期限；</w:t>
      </w:r>
      <w:r>
        <w:rPr>
          <w:rFonts w:hint="eastAsia" w:ascii="黑体" w:hAnsi="黑体" w:eastAsia="黑体" w:cs="黑体"/>
          <w:color w:val="auto"/>
          <w:sz w:val="32"/>
          <w:szCs w:val="32"/>
          <w:highlight w:val="none"/>
          <w:lang w:val="en-US" w:eastAsia="zh-CN"/>
        </w:rPr>
        <w:t>（五）申请行政复议、提起行政诉讼的途径和期限；</w:t>
      </w:r>
      <w:r>
        <w:rPr>
          <w:rFonts w:hint="eastAsia" w:ascii="仿宋_GB2312" w:hAnsi="黑体" w:eastAsia="仿宋_GB2312" w:cs="Times New Roman"/>
          <w:color w:val="auto"/>
          <w:sz w:val="32"/>
          <w:szCs w:val="32"/>
          <w:highlight w:val="none"/>
          <w:lang w:val="en-US" w:eastAsia="zh-CN"/>
        </w:rPr>
        <w:t>（六）作出行政处罚决定的行政机关名称和作出决定的日期。</w:t>
      </w:r>
      <w:r>
        <w:rPr>
          <w:rFonts w:hint="eastAsia" w:ascii="黑体" w:hAnsi="黑体" w:eastAsia="黑体" w:cs="黑体"/>
          <w:color w:val="auto"/>
          <w:sz w:val="32"/>
          <w:szCs w:val="32"/>
          <w:highlight w:val="none"/>
          <w:lang w:val="en-US" w:eastAsia="zh-CN"/>
        </w:rPr>
        <w:t>经市或者区人民政府批准的行政处罚，应当在行政处罚决定书中载明”。</w:t>
      </w:r>
    </w:p>
    <w:p w14:paraId="20AE70E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14:paraId="694B18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1.简易程序当场处罚决定书以及普通程序行政处罚事先告知书、行政处罚决定书中，除载明相关基本要素外，还应当载明行政处罚裁量基准的适用情况，具体详见文书模板。</w:t>
      </w:r>
    </w:p>
    <w:p w14:paraId="20E303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2.依据2024年1月1日新施行《行政复议法》第二十三条第一款规定，对当场作出的行政处罚决定不服，申请人应当先向行政复议机关申请行政复议，对行政复议决定不服的，可以再依法向人民法院提起行政诉讼。</w:t>
      </w:r>
      <w:r>
        <w:rPr>
          <w:rFonts w:hint="eastAsia" w:ascii="楷体_GB2312" w:hAnsi="楷体_GB2312" w:eastAsia="楷体_GB2312" w:cs="楷体_GB2312"/>
          <w:b/>
          <w:bCs w:val="0"/>
          <w:color w:val="auto"/>
          <w:sz w:val="32"/>
          <w:szCs w:val="32"/>
          <w:highlight w:val="none"/>
          <w:lang w:val="en-US" w:eastAsia="zh-CN"/>
        </w:rPr>
        <w:t>根据上述要求，当场处罚决定书中应当告知当事人先行申请复议救济途径，对行政复议决定不服的，可以再依法向人民法院提起行政诉讼，详见文书模板。</w:t>
      </w:r>
    </w:p>
    <w:p w14:paraId="417881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3.根据新施行《行政复议法》规定，行政处罚决定书中申请行政复议救济途径，应当告知向属地人民政府申请。</w:t>
      </w:r>
    </w:p>
    <w:p w14:paraId="0C95C1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4.城管执法部门实施行政处罚，需要经市或者区人民政府批准的（不含乡镇人民政府），应当在行政处罚决定书中载明，如××年××月××日，已经××（市或区）人民政府批准。</w:t>
      </w:r>
    </w:p>
    <w:p w14:paraId="576A15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七、关于不予行政处罚</w:t>
      </w:r>
    </w:p>
    <w:p w14:paraId="31061E7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Times New Roman"/>
          <w:color w:val="auto"/>
          <w:sz w:val="32"/>
          <w:szCs w:val="32"/>
          <w:highlight w:val="none"/>
          <w:lang w:val="en-US" w:eastAsia="zh-CN"/>
        </w:rPr>
      </w:pPr>
      <w:r>
        <w:rPr>
          <w:rFonts w:hint="eastAsia" w:ascii="仿宋_GB2312" w:hAnsi="黑体" w:eastAsia="仿宋_GB2312" w:cs="Times New Roman"/>
          <w:color w:val="auto"/>
          <w:sz w:val="32"/>
          <w:szCs w:val="32"/>
          <w:highlight w:val="none"/>
          <w:lang w:val="en-US" w:eastAsia="zh-CN"/>
        </w:rPr>
        <w:t>《规定》第二十三条规定明确“有下列情形之一，行政机关依法决定不予行政处罚的，</w:t>
      </w:r>
      <w:r>
        <w:rPr>
          <w:rFonts w:hint="eastAsia" w:ascii="黑体" w:hAnsi="黑体" w:eastAsia="黑体" w:cs="黑体"/>
          <w:color w:val="auto"/>
          <w:sz w:val="32"/>
          <w:szCs w:val="32"/>
          <w:highlight w:val="none"/>
          <w:lang w:val="en-US" w:eastAsia="zh-CN"/>
        </w:rPr>
        <w:t>应当制作不予行政处罚决定书：</w:t>
      </w:r>
      <w:r>
        <w:rPr>
          <w:rFonts w:hint="eastAsia" w:ascii="仿宋_GB2312" w:hAnsi="黑体" w:eastAsia="仿宋_GB2312" w:cs="Times New Roman"/>
          <w:color w:val="auto"/>
          <w:sz w:val="32"/>
          <w:szCs w:val="32"/>
          <w:highlight w:val="none"/>
          <w:lang w:val="en-US" w:eastAsia="zh-CN"/>
        </w:rPr>
        <w:t>（一）不满十四周岁的未成年人有违法行为的；（二）精神病人、智力残疾人在不能辨认或者不能控制自己行为时有违法行为的；（三）违法行为轻微并及时改正，没有造成危害后果的；（四）初次违法且危害后果轻微并及时改正的；（五）当事人有证据足以证明没有主观过错的”。第二十四条规定“不予行政处罚决定书应当载明下列事项，并加盖行政机关印章：（一）当事人的姓名或者名称、地址；（二）违反法律、法规、规章的事实和证据；（三）不予行政处罚的结论、理由和依据；（四）申请行政复议、提起行政诉讼的途径和期限；</w:t>
      </w:r>
      <w:r>
        <w:rPr>
          <w:rFonts w:hint="eastAsia" w:ascii="黑体" w:hAnsi="黑体" w:eastAsia="黑体" w:cs="黑体"/>
          <w:color w:val="auto"/>
          <w:sz w:val="32"/>
          <w:szCs w:val="32"/>
          <w:highlight w:val="none"/>
          <w:lang w:val="en-US" w:eastAsia="zh-CN"/>
        </w:rPr>
        <w:t>（五）作出不予行政处罚决定的行政机关名称和作出决定的日期”。</w:t>
      </w:r>
    </w:p>
    <w:p w14:paraId="5890C14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14:paraId="424DEAD0">
      <w:pPr>
        <w:spacing w:line="560" w:lineRule="exact"/>
        <w:ind w:firstLine="640" w:firstLineChars="200"/>
        <w:rPr>
          <w:rFonts w:hint="eastAsia" w:ascii="楷体_GB2312" w:hAnsi="楷体_GB2312" w:eastAsia="楷体_GB2312" w:cs="楷体_GB2312"/>
          <w:bCs/>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1.</w:t>
      </w:r>
      <w:r>
        <w:rPr>
          <w:rFonts w:hint="eastAsia" w:ascii="楷体_GB2312" w:hAnsi="楷体_GB2312" w:eastAsia="楷体_GB2312" w:cs="楷体_GB2312"/>
          <w:bCs/>
          <w:sz w:val="32"/>
          <w:szCs w:val="32"/>
          <w:highlight w:val="none"/>
          <w:lang w:val="en-US" w:eastAsia="zh-CN"/>
        </w:rPr>
        <w:t>对于“违法行为轻微并及时改正，没有造成危害后果”及“初次违法且危害后果轻微并及时改正”两种情形，应当认真落实市推进依法行政领导小组办公室《全面推广轻微违法免罚和初次违法慎罚制度的指导意见》，以及市局轻微违法行为不予处罚制度规定，依法稳妥推进不予处罚工作，避免扩大适用、滥用不予行政处罚。</w:t>
      </w:r>
    </w:p>
    <w:p w14:paraId="48A77C88">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2.第二十四条细化明确了不予行政处罚决定书应当记载的相关内容，如违反法律、法规、规章的事实和证据，不予行政处罚的结论、理由和依据，作出不予行政处罚决定的日期等，请参照该通知最新附件文书模板规范制作不予行政处罚决定书</w:t>
      </w:r>
      <w:r>
        <w:rPr>
          <w:rFonts w:hint="eastAsia" w:ascii="楷体_GB2312" w:hAnsi="楷体_GB2312" w:eastAsia="楷体_GB2312" w:cs="楷体_GB2312"/>
          <w:b/>
          <w:bCs w:val="0"/>
          <w:color w:val="auto"/>
          <w:sz w:val="32"/>
          <w:szCs w:val="32"/>
          <w:highlight w:val="none"/>
          <w:lang w:val="en-US" w:eastAsia="zh-CN"/>
        </w:rPr>
        <w:t>（前期，市局印发的不予行政处罚清单和不予行政处罚制度通知中的不予行政处罚决定书，不再适用）</w:t>
      </w:r>
      <w:r>
        <w:rPr>
          <w:rFonts w:hint="eastAsia" w:ascii="楷体_GB2312" w:hAnsi="楷体_GB2312" w:eastAsia="楷体_GB2312" w:cs="楷体_GB2312"/>
          <w:bCs/>
          <w:color w:val="auto"/>
          <w:sz w:val="32"/>
          <w:szCs w:val="32"/>
          <w:highlight w:val="none"/>
          <w:lang w:val="en-US" w:eastAsia="zh-CN"/>
        </w:rPr>
        <w:t>。</w:t>
      </w:r>
    </w:p>
    <w:p w14:paraId="2AE592A6">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黑体" w:hAnsi="黑体" w:eastAsia="黑体" w:cs="黑体"/>
          <w:b w:val="0"/>
          <w:bCs w:val="0"/>
          <w:color w:val="auto"/>
          <w:sz w:val="32"/>
          <w:szCs w:val="32"/>
          <w:highlight w:val="none"/>
          <w:lang w:eastAsia="zh-CN"/>
        </w:rPr>
      </w:pPr>
      <w:r>
        <w:rPr>
          <w:rFonts w:hint="eastAsia" w:ascii="黑体" w:hAnsi="黑体" w:eastAsia="黑体" w:cs="黑体"/>
          <w:b w:val="0"/>
          <w:bCs w:val="0"/>
          <w:color w:val="auto"/>
          <w:sz w:val="32"/>
          <w:szCs w:val="32"/>
          <w:highlight w:val="none"/>
          <w:lang w:eastAsia="zh-CN"/>
        </w:rPr>
        <w:t>八、关于</w:t>
      </w:r>
      <w:r>
        <w:rPr>
          <w:rFonts w:hint="eastAsia" w:ascii="黑体" w:hAnsi="黑体" w:eastAsia="黑体" w:cs="黑体"/>
          <w:b w:val="0"/>
          <w:bCs w:val="0"/>
          <w:color w:val="auto"/>
          <w:sz w:val="32"/>
          <w:szCs w:val="32"/>
          <w:highlight w:val="none"/>
        </w:rPr>
        <w:t>结案</w:t>
      </w:r>
    </w:p>
    <w:p w14:paraId="5CD78920">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仿宋_GB2312" w:hAnsi="黑体" w:eastAsia="仿宋_GB2312" w:cs="宋体"/>
          <w:bCs/>
          <w:color w:val="auto"/>
          <w:sz w:val="32"/>
          <w:szCs w:val="32"/>
          <w:highlight w:val="none"/>
          <w:lang w:eastAsia="zh-CN"/>
        </w:rPr>
      </w:pPr>
      <w:r>
        <w:rPr>
          <w:rFonts w:hint="eastAsia" w:ascii="仿宋_GB2312" w:hAnsi="黑体" w:eastAsia="仿宋_GB2312" w:cs="宋体"/>
          <w:bCs/>
          <w:color w:val="auto"/>
          <w:sz w:val="32"/>
          <w:szCs w:val="32"/>
          <w:highlight w:val="none"/>
          <w:lang w:eastAsia="zh-CN"/>
        </w:rPr>
        <w:t>《规定》第三十条明确“符合下列情形之一，行政机关可以结案：</w:t>
      </w:r>
      <w:r>
        <w:rPr>
          <w:rFonts w:hint="eastAsia" w:ascii="黑体" w:hAnsi="黑体" w:eastAsia="黑体" w:cs="黑体"/>
          <w:bCs/>
          <w:color w:val="auto"/>
          <w:sz w:val="32"/>
          <w:szCs w:val="32"/>
          <w:highlight w:val="none"/>
          <w:lang w:eastAsia="zh-CN"/>
        </w:rPr>
        <w:t>（一）行政处罚决定执行完毕的；（二）不予行政处罚的；（三）案件移送有关机关的；（四）案件终止调查的；（五）其他应当结案的情形”</w:t>
      </w:r>
      <w:r>
        <w:rPr>
          <w:rFonts w:hint="eastAsia" w:ascii="仿宋_GB2312" w:hAnsi="黑体" w:eastAsia="仿宋_GB2312" w:cs="宋体"/>
          <w:bCs/>
          <w:color w:val="auto"/>
          <w:sz w:val="32"/>
          <w:szCs w:val="32"/>
          <w:highlight w:val="none"/>
          <w:lang w:eastAsia="zh-CN"/>
        </w:rPr>
        <w:t>。</w:t>
      </w:r>
    </w:p>
    <w:p w14:paraId="2C5A9C8E">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
          <w:bCs w:val="0"/>
          <w:color w:val="auto"/>
          <w:sz w:val="32"/>
          <w:szCs w:val="32"/>
          <w:highlight w:val="none"/>
          <w:lang w:eastAsia="zh-CN"/>
        </w:rPr>
      </w:pPr>
      <w:r>
        <w:rPr>
          <w:rFonts w:hint="eastAsia" w:ascii="楷体_GB2312" w:hAnsi="楷体_GB2312" w:eastAsia="楷体_GB2312" w:cs="楷体_GB2312"/>
          <w:b/>
          <w:bCs w:val="0"/>
          <w:color w:val="auto"/>
          <w:sz w:val="32"/>
          <w:szCs w:val="32"/>
          <w:highlight w:val="none"/>
          <w:lang w:eastAsia="zh-CN"/>
        </w:rPr>
        <w:t>注意事项：</w:t>
      </w:r>
    </w:p>
    <w:p w14:paraId="4D7097FE">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1.“行政处罚决定执行完毕”一般指当事人已按照处罚决定书要求履行完相关义务，比如有相关证据证明已经缴纳罚款等。</w:t>
      </w:r>
    </w:p>
    <w:p w14:paraId="32F9EAF6">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2.“不予行政处罚”一般指已依法作出不予行政处罚决定并有效送达。</w:t>
      </w:r>
    </w:p>
    <w:p w14:paraId="6E6446AF">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default"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3.“案件移送有关机关”一般指违法行为不属于本行政执法机关管辖，已经正式移送相关部门且没有管辖争议。</w:t>
      </w:r>
    </w:p>
    <w:p w14:paraId="671CC7EF">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楷体_GB2312" w:hAnsi="楷体_GB2312" w:eastAsia="楷体_GB2312" w:cs="楷体_GB2312"/>
          <w:bCs/>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4.“案件终止调查”主要指《规定》第十七条第二款中规定的“实施违法行为的公民已经死亡或者法人、其他组织已经终止，且无权利义务承受人的”等情形。</w:t>
      </w:r>
    </w:p>
    <w:p w14:paraId="3CB866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宋体"/>
          <w:bCs/>
          <w:color w:val="auto"/>
          <w:sz w:val="32"/>
          <w:szCs w:val="32"/>
          <w:highlight w:val="none"/>
          <w:lang w:eastAsia="zh-CN"/>
        </w:rPr>
      </w:pPr>
      <w:r>
        <w:rPr>
          <w:rFonts w:hint="eastAsia" w:ascii="黑体" w:hAnsi="黑体" w:eastAsia="黑体" w:cs="宋体"/>
          <w:bCs/>
          <w:color w:val="auto"/>
          <w:sz w:val="32"/>
          <w:szCs w:val="32"/>
          <w:highlight w:val="none"/>
          <w:lang w:eastAsia="zh-CN"/>
        </w:rPr>
        <w:t>九、关于执法信息化手段运用</w:t>
      </w:r>
    </w:p>
    <w:p w14:paraId="47CDE0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b w:val="0"/>
          <w:bCs w:val="0"/>
          <w:color w:val="auto"/>
          <w:sz w:val="32"/>
          <w:szCs w:val="32"/>
          <w:highlight w:val="none"/>
          <w:lang w:eastAsia="zh-CN"/>
        </w:rPr>
      </w:pPr>
      <w:r>
        <w:rPr>
          <w:rFonts w:hint="eastAsia" w:ascii="仿宋_GB2312" w:hAnsi="黑体" w:eastAsia="仿宋_GB2312" w:cs="Times New Roman"/>
          <w:b w:val="0"/>
          <w:bCs w:val="0"/>
          <w:color w:val="auto"/>
          <w:sz w:val="32"/>
          <w:szCs w:val="32"/>
          <w:highlight w:val="none"/>
          <w:lang w:val="en-US" w:eastAsia="zh-CN"/>
        </w:rPr>
        <w:t>《规定》第七条明确“行政机关应当加强行政执法信息化建设，</w:t>
      </w:r>
      <w:r>
        <w:rPr>
          <w:rFonts w:hint="eastAsia" w:ascii="黑体" w:hAnsi="黑体" w:eastAsia="黑体" w:cs="黑体"/>
          <w:b w:val="0"/>
          <w:bCs w:val="0"/>
          <w:color w:val="auto"/>
          <w:sz w:val="32"/>
          <w:szCs w:val="32"/>
          <w:highlight w:val="none"/>
          <w:lang w:val="en-US" w:eastAsia="zh-CN"/>
        </w:rPr>
        <w:t>积极运用现代信息技术手段发现违法线索、提示提醒违法行为、开展调查或者检查，提高行政执法效率和规范化水平。</w:t>
      </w:r>
      <w:r>
        <w:rPr>
          <w:rFonts w:hint="eastAsia" w:ascii="仿宋_GB2312" w:hAnsi="黑体" w:eastAsia="仿宋_GB2312" w:cs="Times New Roman"/>
          <w:b w:val="0"/>
          <w:bCs w:val="0"/>
          <w:color w:val="auto"/>
          <w:sz w:val="32"/>
          <w:szCs w:val="32"/>
          <w:highlight w:val="none"/>
          <w:lang w:val="en-US" w:eastAsia="zh-CN"/>
        </w:rPr>
        <w:t>行政机关对通过现代信息技术手段采集的数据应当依法采取必要的保密措施，严格限制其使用范围，不得泄露或者向他人非法提供”。</w:t>
      </w:r>
    </w:p>
    <w:p w14:paraId="453C45E6">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楷体_GB2312" w:hAnsi="楷体_GB2312" w:eastAsia="楷体_GB2312" w:cs="楷体_GB2312"/>
          <w:b/>
          <w:bCs/>
          <w:color w:val="auto"/>
          <w:sz w:val="32"/>
          <w:szCs w:val="32"/>
          <w:highlight w:val="none"/>
          <w:lang w:eastAsia="zh-CN"/>
        </w:rPr>
      </w:pPr>
      <w:r>
        <w:rPr>
          <w:rFonts w:hint="eastAsia" w:ascii="楷体_GB2312" w:hAnsi="楷体_GB2312" w:eastAsia="楷体_GB2312" w:cs="楷体_GB2312"/>
          <w:b/>
          <w:bCs/>
          <w:color w:val="auto"/>
          <w:sz w:val="32"/>
          <w:szCs w:val="32"/>
          <w:highlight w:val="none"/>
          <w:lang w:eastAsia="zh-CN"/>
        </w:rPr>
        <w:t>注意事项：</w:t>
      </w:r>
    </w:p>
    <w:p w14:paraId="7FC96F13">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1.牢固树立大数据思维，强化城市管理综合执法大数据平台应用，积极推动大数据平台检查单系统运用全覆盖，</w:t>
      </w:r>
      <w:r>
        <w:rPr>
          <w:rFonts w:hint="eastAsia" w:ascii="楷体_GB2312" w:hAnsi="楷体_GB2312" w:eastAsia="楷体_GB2312" w:cs="楷体_GB2312"/>
          <w:color w:val="auto"/>
          <w:sz w:val="32"/>
          <w:szCs w:val="32"/>
          <w:highlight w:val="none"/>
          <w:lang w:eastAsia="zh-CN"/>
        </w:rPr>
        <w:t>拓展简易程序处罚案件电子化适用</w:t>
      </w:r>
      <w:r>
        <w:rPr>
          <w:rFonts w:hint="eastAsia" w:ascii="楷体_GB2312" w:hAnsi="楷体_GB2312" w:eastAsia="楷体_GB2312" w:cs="楷体_GB2312"/>
          <w:color w:val="auto"/>
          <w:sz w:val="32"/>
          <w:szCs w:val="32"/>
          <w:highlight w:val="none"/>
          <w:lang w:val="en-US" w:eastAsia="zh-CN"/>
        </w:rPr>
        <w:t>范围，规范普通程序案件动态管理，加强执法数据分析、挖掘和应用，</w:t>
      </w:r>
      <w:r>
        <w:rPr>
          <w:rFonts w:hint="eastAsia" w:ascii="楷体_GB2312" w:hAnsi="楷体_GB2312" w:eastAsia="楷体_GB2312" w:cs="楷体_GB2312"/>
          <w:color w:val="auto"/>
          <w:sz w:val="32"/>
          <w:szCs w:val="32"/>
          <w:highlight w:val="none"/>
          <w:lang w:eastAsia="zh-CN"/>
        </w:rPr>
        <w:t>不断规范执法检查、处罚行为，提高执法效率。</w:t>
      </w:r>
    </w:p>
    <w:p w14:paraId="37A60967">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2.充分依托视频探头等科技手段，积极开展</w:t>
      </w:r>
      <w:r>
        <w:rPr>
          <w:rFonts w:hint="eastAsia" w:ascii="楷体_GB2312" w:hAnsi="楷体_GB2312" w:eastAsia="楷体_GB2312" w:cs="楷体_GB2312"/>
          <w:color w:val="auto"/>
          <w:sz w:val="32"/>
          <w:szCs w:val="32"/>
          <w:highlight w:val="none"/>
          <w:lang w:eastAsia="zh-CN"/>
        </w:rPr>
        <w:t>非现场执法巡查检查，提高非现场检查比例，发现违法线索并固化相关证据，加强指挥调度，及时开展有关执法工作。</w:t>
      </w:r>
    </w:p>
    <w:p w14:paraId="1A2C2CE7">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3.依托大数据平台推动源头治理，进一步加强</w:t>
      </w:r>
      <w:r>
        <w:rPr>
          <w:rFonts w:hint="eastAsia" w:ascii="楷体_GB2312" w:hAnsi="楷体_GB2312" w:eastAsia="楷体_GB2312" w:cs="楷体_GB2312"/>
          <w:color w:val="auto"/>
          <w:sz w:val="32"/>
          <w:szCs w:val="32"/>
          <w:highlight w:val="none"/>
          <w:lang w:eastAsia="zh-CN"/>
        </w:rPr>
        <w:t>政企共治，做好市场经营主体违法行为提示、提醒、整改等工作，不断</w:t>
      </w:r>
      <w:r>
        <w:rPr>
          <w:rFonts w:hint="eastAsia" w:ascii="楷体_GB2312" w:hAnsi="楷体_GB2312" w:eastAsia="楷体_GB2312" w:cs="楷体_GB2312"/>
          <w:color w:val="auto"/>
          <w:sz w:val="32"/>
          <w:szCs w:val="32"/>
          <w:highlight w:val="none"/>
          <w:lang w:val="en-US" w:eastAsia="zh-CN"/>
        </w:rPr>
        <w:t>提升执法智慧化水平。</w:t>
      </w:r>
    </w:p>
    <w:p w14:paraId="203A78C0">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4.进一步强化保密意识，严格管护使用移动执法终端、执法记录仪等执法设备，对通过信息技术手段采集的检查、处罚、当事人身份（身份证号、联系人、联系方式、地址等）等各种数据信息，应当依法采取必要的保密措施，严格限制使用范围，不得泄露或者向他人非法提供。</w:t>
      </w:r>
    </w:p>
    <w:p w14:paraId="076E7E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lang w:eastAsia="zh-CN"/>
        </w:rPr>
      </w:pPr>
      <w:r>
        <w:rPr>
          <w:rFonts w:hint="eastAsia" w:ascii="黑体" w:hAnsi="黑体" w:eastAsia="黑体" w:cs="黑体"/>
          <w:b w:val="0"/>
          <w:bCs w:val="0"/>
          <w:color w:val="auto"/>
          <w:sz w:val="32"/>
          <w:szCs w:val="32"/>
          <w:highlight w:val="none"/>
          <w:lang w:eastAsia="zh-CN"/>
        </w:rPr>
        <w:t>十、关于执法协助</w:t>
      </w:r>
    </w:p>
    <w:p w14:paraId="2AF500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eastAsia="zh-CN"/>
        </w:rPr>
        <w:t>《规定》第五条明确“行政机关因实施行政处罚的需要，可以向有关行政机关提出协助请求。除紧急情况外，</w:t>
      </w:r>
      <w:r>
        <w:rPr>
          <w:rFonts w:hint="eastAsia" w:ascii="黑体" w:hAnsi="黑体" w:eastAsia="黑体" w:cs="黑体"/>
          <w:color w:val="auto"/>
          <w:sz w:val="32"/>
          <w:szCs w:val="32"/>
          <w:highlight w:val="none"/>
          <w:lang w:eastAsia="zh-CN"/>
        </w:rPr>
        <w:t>行政机关应当书面提出协助请求。书面协助请求应当载明请求协助的事由、事项、协助方式、协助结果反馈期限和方式以及其他需要载明的事项，并加盖行政机关印章。</w:t>
      </w:r>
      <w:r>
        <w:rPr>
          <w:rFonts w:hint="eastAsia" w:ascii="仿宋_GB2312" w:eastAsia="仿宋_GB2312"/>
          <w:color w:val="auto"/>
          <w:sz w:val="32"/>
          <w:szCs w:val="32"/>
          <w:highlight w:val="none"/>
          <w:lang w:eastAsia="zh-CN"/>
        </w:rPr>
        <w:t>协助事项属于被请求机关职权范围内的，应当依法予以协助；不属于被请求机关职权范围内的，应当及时告知请求机关”。</w:t>
      </w:r>
    </w:p>
    <w:p w14:paraId="677897D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auto"/>
          <w:sz w:val="32"/>
          <w:szCs w:val="32"/>
          <w:highlight w:val="none"/>
          <w:lang w:eastAsia="zh-CN"/>
        </w:rPr>
      </w:pPr>
      <w:r>
        <w:rPr>
          <w:rFonts w:hint="eastAsia" w:ascii="楷体_GB2312" w:hAnsi="楷体_GB2312" w:eastAsia="楷体_GB2312" w:cs="楷体_GB2312"/>
          <w:b/>
          <w:bCs/>
          <w:color w:val="auto"/>
          <w:sz w:val="32"/>
          <w:szCs w:val="32"/>
          <w:highlight w:val="none"/>
          <w:lang w:eastAsia="zh-CN"/>
        </w:rPr>
        <w:t>注意事项：</w:t>
      </w:r>
    </w:p>
    <w:p w14:paraId="0F5CF2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1.</w:t>
      </w:r>
      <w:r>
        <w:rPr>
          <w:rFonts w:hint="eastAsia" w:ascii="楷体_GB2312" w:hAnsi="楷体_GB2312" w:eastAsia="楷体_GB2312" w:cs="楷体_GB2312"/>
          <w:color w:val="auto"/>
          <w:sz w:val="32"/>
          <w:szCs w:val="32"/>
          <w:highlight w:val="none"/>
          <w:lang w:eastAsia="zh-CN"/>
        </w:rPr>
        <w:t>城管执法部门因从事行政处罚工作，需要调取当事人身份信息、有关证照、备案、许可信息，或者需要对违法行为认定、违法后果鉴定、法律适用等事项提请协助，可以及时向公安、市场监管、行业主管等职能部门书面致函请求予以协助。</w:t>
      </w:r>
    </w:p>
    <w:p w14:paraId="19AFB3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2.街乡镇综合行政执法队在执法过程中提出协助请求，按照</w:t>
      </w:r>
    </w:p>
    <w:p w14:paraId="10D6261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2020年7月7日</w:t>
      </w:r>
      <w:r>
        <w:rPr>
          <w:rFonts w:hint="default" w:ascii="楷体_GB2312" w:hAnsi="楷体_GB2312" w:eastAsia="楷体_GB2312" w:cs="楷体_GB2312"/>
          <w:color w:val="auto"/>
          <w:sz w:val="32"/>
          <w:szCs w:val="32"/>
          <w:highlight w:val="none"/>
          <w:lang w:val="en-US" w:eastAsia="zh-CN"/>
        </w:rPr>
        <w:t>市委全面依法治市委员会办公室印发</w:t>
      </w:r>
      <w:r>
        <w:rPr>
          <w:rFonts w:hint="eastAsia" w:ascii="楷体_GB2312" w:hAnsi="楷体_GB2312" w:eastAsia="楷体_GB2312" w:cs="楷体_GB2312"/>
          <w:color w:val="auto"/>
          <w:sz w:val="32"/>
          <w:szCs w:val="32"/>
          <w:highlight w:val="none"/>
          <w:lang w:val="en-US" w:eastAsia="zh-CN"/>
        </w:rPr>
        <w:t>的</w:t>
      </w:r>
      <w:r>
        <w:rPr>
          <w:rFonts w:hint="default" w:ascii="楷体_GB2312" w:hAnsi="楷体_GB2312" w:eastAsia="楷体_GB2312" w:cs="楷体_GB2312"/>
          <w:color w:val="auto"/>
          <w:sz w:val="32"/>
          <w:szCs w:val="32"/>
          <w:highlight w:val="none"/>
          <w:lang w:val="en-US" w:eastAsia="zh-CN"/>
        </w:rPr>
        <w:t>《街道乡镇行政执法协同协作规则（试行）》</w:t>
      </w:r>
      <w:r>
        <w:rPr>
          <w:rFonts w:hint="eastAsia" w:ascii="楷体_GB2312" w:hAnsi="楷体_GB2312" w:eastAsia="楷体_GB2312" w:cs="楷体_GB2312"/>
          <w:color w:val="auto"/>
          <w:sz w:val="32"/>
          <w:szCs w:val="32"/>
          <w:highlight w:val="none"/>
          <w:lang w:val="en-US" w:eastAsia="zh-CN"/>
        </w:rPr>
        <w:t>第12条、13条、14条规定执行。</w:t>
      </w:r>
    </w:p>
    <w:p w14:paraId="79531A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3.</w:t>
      </w:r>
      <w:r>
        <w:rPr>
          <w:rFonts w:hint="eastAsia" w:ascii="楷体_GB2312" w:hAnsi="楷体_GB2312" w:eastAsia="楷体_GB2312" w:cs="楷体_GB2312"/>
          <w:color w:val="auto"/>
          <w:sz w:val="32"/>
          <w:szCs w:val="32"/>
          <w:highlight w:val="none"/>
          <w:lang w:eastAsia="zh-CN"/>
        </w:rPr>
        <w:t>除紧急情况外，城管执法部门应当书面提出协助请求。书面协助请求应当载明请求协助的事由、事项、协助方式、协助结果反馈期限和方式以及其他需要载明的事项，并加盖行政机关印章。书面协助请求文书模板详见附件。</w:t>
      </w:r>
    </w:p>
    <w:p w14:paraId="1DBA6B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4.</w:t>
      </w:r>
      <w:r>
        <w:rPr>
          <w:rFonts w:hint="eastAsia" w:ascii="楷体_GB2312" w:hAnsi="楷体_GB2312" w:eastAsia="楷体_GB2312" w:cs="楷体_GB2312"/>
          <w:color w:val="auto"/>
          <w:sz w:val="32"/>
          <w:szCs w:val="32"/>
          <w:highlight w:val="none"/>
          <w:lang w:eastAsia="zh-CN"/>
        </w:rPr>
        <w:t>其他行政执法机关因实施行政处罚需要向城管执法部门提出协助请求的，请求协助事项属于城管执法部门职权范围内的，应当依法协助，不得推诿或者拖延；不属于城管执法部门职权范围内的，也应当及时告知请求机关。</w:t>
      </w:r>
    </w:p>
    <w:p w14:paraId="62AD9A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lang w:eastAsia="zh-CN"/>
        </w:rPr>
      </w:pPr>
      <w:r>
        <w:rPr>
          <w:rFonts w:hint="eastAsia" w:ascii="黑体" w:hAnsi="黑体" w:eastAsia="黑体" w:cs="黑体"/>
          <w:b w:val="0"/>
          <w:bCs w:val="0"/>
          <w:color w:val="auto"/>
          <w:sz w:val="32"/>
          <w:szCs w:val="32"/>
          <w:highlight w:val="none"/>
          <w:lang w:eastAsia="zh-CN"/>
        </w:rPr>
        <w:t>十一、关于行刑衔接</w:t>
      </w:r>
    </w:p>
    <w:p w14:paraId="32D757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auto"/>
          <w:sz w:val="32"/>
          <w:szCs w:val="32"/>
          <w:highlight w:val="none"/>
          <w:lang w:eastAsia="zh-CN"/>
        </w:rPr>
      </w:pPr>
      <w:r>
        <w:rPr>
          <w:rFonts w:hint="eastAsia" w:ascii="仿宋_GB2312" w:eastAsia="仿宋_GB2312"/>
          <w:b w:val="0"/>
          <w:bCs w:val="0"/>
          <w:color w:val="auto"/>
          <w:sz w:val="32"/>
          <w:szCs w:val="32"/>
          <w:highlight w:val="none"/>
          <w:lang w:eastAsia="zh-CN"/>
        </w:rPr>
        <w:t>《规定》第六条明确“违法行为涉嫌犯罪或者职务违法的，行政机关应当按照国家和本市有关规定，及时将案件移送司法机关或者监察机关。</w:t>
      </w:r>
      <w:r>
        <w:rPr>
          <w:rFonts w:hint="eastAsia" w:ascii="黑体" w:hAnsi="黑体" w:eastAsia="黑体" w:cs="黑体"/>
          <w:b w:val="0"/>
          <w:bCs w:val="0"/>
          <w:color w:val="auto"/>
          <w:sz w:val="32"/>
          <w:szCs w:val="32"/>
          <w:highlight w:val="none"/>
          <w:lang w:eastAsia="zh-CN"/>
        </w:rPr>
        <w:t>司法机关、监察机关依法将案件移送行政机关，行政机关有管辖权的，应当接收并在依法作出处理后三个工作日内将处理结果反馈移送机关；</w:t>
      </w:r>
      <w:r>
        <w:rPr>
          <w:rFonts w:hint="eastAsia" w:ascii="仿宋_GB2312" w:eastAsia="仿宋_GB2312"/>
          <w:b w:val="0"/>
          <w:bCs w:val="0"/>
          <w:color w:val="auto"/>
          <w:sz w:val="32"/>
          <w:szCs w:val="32"/>
          <w:highlight w:val="none"/>
          <w:lang w:eastAsia="zh-CN"/>
        </w:rPr>
        <w:t>没有管辖权的，应当及时告知移送机关”。</w:t>
      </w:r>
    </w:p>
    <w:p w14:paraId="7DA2B22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auto"/>
          <w:sz w:val="32"/>
          <w:szCs w:val="32"/>
          <w:highlight w:val="none"/>
          <w:lang w:eastAsia="zh-CN"/>
        </w:rPr>
      </w:pPr>
      <w:r>
        <w:rPr>
          <w:rFonts w:hint="eastAsia" w:ascii="楷体_GB2312" w:hAnsi="楷体_GB2312" w:eastAsia="楷体_GB2312" w:cs="楷体_GB2312"/>
          <w:b/>
          <w:bCs/>
          <w:color w:val="auto"/>
          <w:sz w:val="32"/>
          <w:szCs w:val="32"/>
          <w:highlight w:val="none"/>
          <w:lang w:eastAsia="zh-CN"/>
        </w:rPr>
        <w:t>注意事项：</w:t>
      </w:r>
    </w:p>
    <w:p w14:paraId="1078E5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1.</w:t>
      </w:r>
      <w:r>
        <w:rPr>
          <w:rFonts w:hint="eastAsia" w:ascii="楷体_GB2312" w:hAnsi="楷体_GB2312" w:eastAsia="楷体_GB2312" w:cs="楷体_GB2312"/>
          <w:color w:val="auto"/>
          <w:sz w:val="32"/>
          <w:szCs w:val="32"/>
          <w:highlight w:val="none"/>
        </w:rPr>
        <w:t>各级城管执法部门</w:t>
      </w:r>
      <w:r>
        <w:rPr>
          <w:rFonts w:hint="eastAsia" w:ascii="楷体_GB2312" w:hAnsi="楷体_GB2312" w:eastAsia="楷体_GB2312" w:cs="楷体_GB2312"/>
          <w:color w:val="auto"/>
          <w:sz w:val="32"/>
          <w:szCs w:val="32"/>
          <w:highlight w:val="none"/>
          <w:lang w:eastAsia="zh-CN"/>
        </w:rPr>
        <w:t>要主动加强对接沟通，针对涉嫌刑事犯罪或者职务违法的案件，</w:t>
      </w:r>
      <w:r>
        <w:rPr>
          <w:rFonts w:hint="eastAsia" w:ascii="楷体_GB2312" w:hAnsi="楷体_GB2312" w:eastAsia="楷体_GB2312" w:cs="楷体_GB2312"/>
          <w:color w:val="auto"/>
          <w:sz w:val="32"/>
          <w:szCs w:val="32"/>
          <w:highlight w:val="none"/>
        </w:rPr>
        <w:t>及时</w:t>
      </w:r>
      <w:r>
        <w:rPr>
          <w:rFonts w:hint="eastAsia" w:ascii="楷体_GB2312" w:hAnsi="楷体_GB2312" w:eastAsia="楷体_GB2312" w:cs="楷体_GB2312"/>
          <w:color w:val="auto"/>
          <w:sz w:val="32"/>
          <w:szCs w:val="32"/>
          <w:highlight w:val="none"/>
          <w:lang w:eastAsia="zh-CN"/>
        </w:rPr>
        <w:t>做好</w:t>
      </w:r>
      <w:r>
        <w:rPr>
          <w:rFonts w:hint="eastAsia" w:ascii="楷体_GB2312" w:hAnsi="楷体_GB2312" w:eastAsia="楷体_GB2312" w:cs="楷体_GB2312"/>
          <w:color w:val="auto"/>
          <w:sz w:val="32"/>
          <w:szCs w:val="32"/>
          <w:highlight w:val="none"/>
        </w:rPr>
        <w:t>与司法机关、监察机关</w:t>
      </w:r>
      <w:r>
        <w:rPr>
          <w:rFonts w:hint="eastAsia" w:ascii="楷体_GB2312" w:hAnsi="楷体_GB2312" w:eastAsia="楷体_GB2312" w:cs="楷体_GB2312"/>
          <w:color w:val="auto"/>
          <w:sz w:val="32"/>
          <w:szCs w:val="32"/>
          <w:highlight w:val="none"/>
          <w:lang w:eastAsia="zh-CN"/>
        </w:rPr>
        <w:t>之间的案件移送，</w:t>
      </w:r>
      <w:r>
        <w:rPr>
          <w:rFonts w:hint="eastAsia" w:ascii="楷体_GB2312" w:hAnsi="楷体_GB2312" w:eastAsia="楷体_GB2312" w:cs="楷体_GB2312"/>
          <w:color w:val="auto"/>
          <w:sz w:val="32"/>
          <w:szCs w:val="32"/>
          <w:highlight w:val="none"/>
        </w:rPr>
        <w:t>加强跟踪，形成闭环，严禁有案不移、以罚代刑</w:t>
      </w:r>
      <w:r>
        <w:rPr>
          <w:rFonts w:hint="eastAsia" w:ascii="楷体_GB2312" w:hAnsi="楷体_GB2312" w:eastAsia="楷体_GB2312" w:cs="楷体_GB2312"/>
          <w:color w:val="auto"/>
          <w:sz w:val="32"/>
          <w:szCs w:val="32"/>
          <w:highlight w:val="none"/>
          <w:lang w:eastAsia="zh-CN"/>
        </w:rPr>
        <w:t>。</w:t>
      </w:r>
    </w:p>
    <w:p w14:paraId="5A0051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2.</w:t>
      </w:r>
      <w:r>
        <w:rPr>
          <w:rFonts w:hint="eastAsia" w:ascii="楷体_GB2312" w:hAnsi="楷体_GB2312" w:eastAsia="楷体_GB2312" w:cs="楷体_GB2312"/>
          <w:color w:val="auto"/>
          <w:sz w:val="32"/>
          <w:szCs w:val="32"/>
          <w:highlight w:val="none"/>
        </w:rPr>
        <w:t>严格按照《行政执法机关移送涉嫌犯罪案件的规定》《北京市行政执法机关移送涉嫌犯罪案件工作办法》</w:t>
      </w:r>
      <w:r>
        <w:rPr>
          <w:rFonts w:hint="eastAsia" w:ascii="楷体_GB2312" w:hAnsi="楷体_GB2312" w:eastAsia="楷体_GB2312" w:cs="楷体_GB2312"/>
          <w:color w:val="auto"/>
          <w:sz w:val="32"/>
          <w:szCs w:val="32"/>
          <w:highlight w:val="none"/>
          <w:lang w:eastAsia="zh-CN"/>
        </w:rPr>
        <w:t>等规定的时限、程序等，</w:t>
      </w:r>
      <w:r>
        <w:rPr>
          <w:rFonts w:hint="eastAsia" w:ascii="楷体_GB2312" w:hAnsi="楷体_GB2312" w:eastAsia="楷体_GB2312" w:cs="楷体_GB2312"/>
          <w:color w:val="auto"/>
          <w:sz w:val="32"/>
          <w:szCs w:val="32"/>
          <w:highlight w:val="none"/>
        </w:rPr>
        <w:t>做好</w:t>
      </w:r>
      <w:r>
        <w:rPr>
          <w:rFonts w:hint="eastAsia" w:ascii="楷体_GB2312" w:hAnsi="楷体_GB2312" w:eastAsia="楷体_GB2312" w:cs="楷体_GB2312"/>
          <w:color w:val="auto"/>
          <w:sz w:val="32"/>
          <w:szCs w:val="32"/>
          <w:highlight w:val="none"/>
          <w:lang w:eastAsia="zh-CN"/>
        </w:rPr>
        <w:t>涉嫌刑事犯罪的案件</w:t>
      </w:r>
      <w:r>
        <w:rPr>
          <w:rFonts w:hint="eastAsia" w:ascii="楷体_GB2312" w:hAnsi="楷体_GB2312" w:eastAsia="楷体_GB2312" w:cs="楷体_GB2312"/>
          <w:color w:val="auto"/>
          <w:sz w:val="32"/>
          <w:szCs w:val="32"/>
          <w:highlight w:val="none"/>
        </w:rPr>
        <w:t>移送</w:t>
      </w:r>
      <w:r>
        <w:rPr>
          <w:rFonts w:hint="eastAsia" w:ascii="楷体_GB2312" w:hAnsi="楷体_GB2312" w:eastAsia="楷体_GB2312" w:cs="楷体_GB2312"/>
          <w:color w:val="auto"/>
          <w:sz w:val="32"/>
          <w:szCs w:val="32"/>
          <w:highlight w:val="none"/>
          <w:lang w:eastAsia="zh-CN"/>
        </w:rPr>
        <w:t>、接收工作。</w:t>
      </w:r>
    </w:p>
    <w:p w14:paraId="18AFE5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3.</w:t>
      </w:r>
      <w:r>
        <w:rPr>
          <w:rFonts w:hint="eastAsia" w:ascii="楷体_GB2312" w:hAnsi="楷体_GB2312" w:eastAsia="楷体_GB2312" w:cs="楷体_GB2312"/>
          <w:color w:val="auto"/>
          <w:sz w:val="32"/>
          <w:szCs w:val="32"/>
          <w:highlight w:val="none"/>
          <w:lang w:eastAsia="zh-CN"/>
        </w:rPr>
        <w:t>司法机关、监察机关将有关案件移送城管执法部门的，城管执法部门有管辖权的，应当接收，并在依法作出处理后</w:t>
      </w:r>
      <w:r>
        <w:rPr>
          <w:rFonts w:hint="eastAsia" w:ascii="楷体_GB2312" w:hAnsi="楷体_GB2312" w:eastAsia="楷体_GB2312" w:cs="楷体_GB2312"/>
          <w:color w:val="auto"/>
          <w:sz w:val="32"/>
          <w:szCs w:val="32"/>
          <w:highlight w:val="none"/>
          <w:lang w:val="en-US" w:eastAsia="zh-CN"/>
        </w:rPr>
        <w:t>3</w:t>
      </w:r>
      <w:r>
        <w:rPr>
          <w:rFonts w:hint="eastAsia" w:ascii="楷体_GB2312" w:hAnsi="楷体_GB2312" w:eastAsia="楷体_GB2312" w:cs="楷体_GB2312"/>
          <w:color w:val="auto"/>
          <w:sz w:val="32"/>
          <w:szCs w:val="32"/>
          <w:highlight w:val="none"/>
          <w:lang w:eastAsia="zh-CN"/>
        </w:rPr>
        <w:t>个工作日内将处理结果反馈移送机关；没有管辖权的，应当及时告知移送机关。</w:t>
      </w:r>
    </w:p>
    <w:p w14:paraId="0B0F37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b w:val="0"/>
          <w:bCs w:val="0"/>
          <w:color w:val="auto"/>
          <w:sz w:val="32"/>
          <w:szCs w:val="32"/>
          <w:highlight w:val="none"/>
          <w:lang w:eastAsia="zh-CN"/>
        </w:rPr>
      </w:pPr>
      <w:r>
        <w:rPr>
          <w:rFonts w:hint="eastAsia" w:ascii="仿宋_GB2312" w:eastAsia="仿宋_GB2312" w:cs="Times New Roman"/>
          <w:b w:val="0"/>
          <w:bCs w:val="0"/>
          <w:color w:val="auto"/>
          <w:sz w:val="32"/>
          <w:szCs w:val="32"/>
          <w:highlight w:val="none"/>
          <w:lang w:eastAsia="zh-CN"/>
        </w:rPr>
        <w:t>本意见未尽事宜，或者存在与法律法规规章及本市其他相关规定不一致的，按照法律法规规章及本市其他相关规定执行。</w:t>
      </w:r>
    </w:p>
    <w:p w14:paraId="5655B3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b w:val="0"/>
          <w:bCs w:val="0"/>
          <w:color w:val="auto"/>
          <w:sz w:val="32"/>
          <w:szCs w:val="32"/>
          <w:highlight w:val="none"/>
          <w:lang w:eastAsia="zh-CN"/>
        </w:rPr>
      </w:pPr>
    </w:p>
    <w:sectPr>
      <w:footerReference r:id="rId3" w:type="default"/>
      <w:pgSz w:w="11907" w:h="16839"/>
      <w:pgMar w:top="2098" w:right="1474" w:bottom="1985" w:left="1588" w:header="0" w:footer="1474"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93F38E">
    <w:pPr>
      <w:pStyle w:val="4"/>
      <w:jc w:val="right"/>
      <w:rPr>
        <w:rFonts w:ascii="仿宋_GB2312" w:eastAsia="仿宋_GB2312"/>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649495">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8bSus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Z&#10;5ekD1Jh1HzAvDe/8gEsz+wGdmfWgos1f5EMwjuKer+LKIRGRH61X63WFIYGx+YL47OF5iJDeS29J&#10;NhoacXpFVH76CGlMnVNyNefvtDFlgsb940DM7GG597HHbKVhP0yE9r49I58eB99Qh3tOifngUNe8&#10;I7MRZ2M/G8cQ9aErS5TrQbg9Jmyi9JYrjLBTYZxYYTdtV16Jx/eS9fBHbf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fG0rrIAQAAmQMAAA4AAAAAAAAAAQAgAAAAHgEAAGRycy9lMm9Eb2Mu&#10;eG1sUEsFBgAAAAAGAAYAWQEAAFgFAAAAAA==&#10;">
              <v:fill on="f" focussize="0,0"/>
              <v:stroke on="f"/>
              <v:imagedata o:title=""/>
              <o:lock v:ext="edit" aspectratio="f"/>
              <v:textbox inset="0mm,0mm,0mm,0mm" style="mso-fit-shape-to-text:t;">
                <w:txbxContent>
                  <w:p w14:paraId="7B649495">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14:paraId="7CFA5D84">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dit="readOnly"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72.26.80.117:80/seeyon/officeservlet"/>
  </w:docVars>
  <w:rsids>
    <w:rsidRoot w:val="00E65D56"/>
    <w:rsid w:val="00000FC7"/>
    <w:rsid w:val="00002852"/>
    <w:rsid w:val="00002B34"/>
    <w:rsid w:val="00004724"/>
    <w:rsid w:val="00004852"/>
    <w:rsid w:val="0000653F"/>
    <w:rsid w:val="0000717F"/>
    <w:rsid w:val="00007236"/>
    <w:rsid w:val="00010041"/>
    <w:rsid w:val="0001022B"/>
    <w:rsid w:val="000118D4"/>
    <w:rsid w:val="00011A90"/>
    <w:rsid w:val="00011F1E"/>
    <w:rsid w:val="00014407"/>
    <w:rsid w:val="00014482"/>
    <w:rsid w:val="0001504B"/>
    <w:rsid w:val="000224E8"/>
    <w:rsid w:val="00022E63"/>
    <w:rsid w:val="00023496"/>
    <w:rsid w:val="00023C0C"/>
    <w:rsid w:val="00025354"/>
    <w:rsid w:val="000256AA"/>
    <w:rsid w:val="00025936"/>
    <w:rsid w:val="00030B89"/>
    <w:rsid w:val="00032AA5"/>
    <w:rsid w:val="00036253"/>
    <w:rsid w:val="0003690B"/>
    <w:rsid w:val="00036AFD"/>
    <w:rsid w:val="0004119A"/>
    <w:rsid w:val="00041618"/>
    <w:rsid w:val="0004210D"/>
    <w:rsid w:val="0004230B"/>
    <w:rsid w:val="000427BD"/>
    <w:rsid w:val="0004522D"/>
    <w:rsid w:val="00051DCF"/>
    <w:rsid w:val="000538BC"/>
    <w:rsid w:val="00055D81"/>
    <w:rsid w:val="00060D63"/>
    <w:rsid w:val="00063F0E"/>
    <w:rsid w:val="000656F9"/>
    <w:rsid w:val="00065F78"/>
    <w:rsid w:val="000663F1"/>
    <w:rsid w:val="000672E3"/>
    <w:rsid w:val="000677C9"/>
    <w:rsid w:val="00067E72"/>
    <w:rsid w:val="000840CF"/>
    <w:rsid w:val="000846F0"/>
    <w:rsid w:val="00085691"/>
    <w:rsid w:val="00090115"/>
    <w:rsid w:val="00093708"/>
    <w:rsid w:val="00095DA6"/>
    <w:rsid w:val="000962B2"/>
    <w:rsid w:val="00096E13"/>
    <w:rsid w:val="000A0D80"/>
    <w:rsid w:val="000A226F"/>
    <w:rsid w:val="000A3DDC"/>
    <w:rsid w:val="000B02B7"/>
    <w:rsid w:val="000B15BF"/>
    <w:rsid w:val="000B187A"/>
    <w:rsid w:val="000B1AEA"/>
    <w:rsid w:val="000B236B"/>
    <w:rsid w:val="000B7876"/>
    <w:rsid w:val="000B7F26"/>
    <w:rsid w:val="000C0399"/>
    <w:rsid w:val="000C0CC8"/>
    <w:rsid w:val="000C1B86"/>
    <w:rsid w:val="000C31BD"/>
    <w:rsid w:val="000C450E"/>
    <w:rsid w:val="000C4E0D"/>
    <w:rsid w:val="000C536D"/>
    <w:rsid w:val="000C681D"/>
    <w:rsid w:val="000D1AB3"/>
    <w:rsid w:val="000D1F76"/>
    <w:rsid w:val="000D2AB5"/>
    <w:rsid w:val="000D456A"/>
    <w:rsid w:val="000D4AB6"/>
    <w:rsid w:val="000D6779"/>
    <w:rsid w:val="000D6D97"/>
    <w:rsid w:val="000E3053"/>
    <w:rsid w:val="000E37D8"/>
    <w:rsid w:val="000E3849"/>
    <w:rsid w:val="000E4C54"/>
    <w:rsid w:val="000F08FC"/>
    <w:rsid w:val="000F0AA4"/>
    <w:rsid w:val="000F463F"/>
    <w:rsid w:val="00100CF2"/>
    <w:rsid w:val="001024CC"/>
    <w:rsid w:val="001031BA"/>
    <w:rsid w:val="001038DC"/>
    <w:rsid w:val="0010454A"/>
    <w:rsid w:val="00106BDD"/>
    <w:rsid w:val="00106E93"/>
    <w:rsid w:val="0010712C"/>
    <w:rsid w:val="001123FB"/>
    <w:rsid w:val="00112C12"/>
    <w:rsid w:val="001168ED"/>
    <w:rsid w:val="0012128B"/>
    <w:rsid w:val="001223C9"/>
    <w:rsid w:val="00125865"/>
    <w:rsid w:val="00127BDF"/>
    <w:rsid w:val="00127E96"/>
    <w:rsid w:val="00133F75"/>
    <w:rsid w:val="00134568"/>
    <w:rsid w:val="00134AB5"/>
    <w:rsid w:val="00137F12"/>
    <w:rsid w:val="00140763"/>
    <w:rsid w:val="00142390"/>
    <w:rsid w:val="00142C5F"/>
    <w:rsid w:val="00144938"/>
    <w:rsid w:val="00144D21"/>
    <w:rsid w:val="001451F3"/>
    <w:rsid w:val="0014771F"/>
    <w:rsid w:val="00150049"/>
    <w:rsid w:val="00150CCE"/>
    <w:rsid w:val="00150F0F"/>
    <w:rsid w:val="001524F2"/>
    <w:rsid w:val="00154067"/>
    <w:rsid w:val="00155086"/>
    <w:rsid w:val="00155256"/>
    <w:rsid w:val="00155F28"/>
    <w:rsid w:val="00156EF1"/>
    <w:rsid w:val="0015715E"/>
    <w:rsid w:val="00157A47"/>
    <w:rsid w:val="0016142B"/>
    <w:rsid w:val="00162F09"/>
    <w:rsid w:val="0016546A"/>
    <w:rsid w:val="00166C1A"/>
    <w:rsid w:val="00170995"/>
    <w:rsid w:val="00172774"/>
    <w:rsid w:val="00172900"/>
    <w:rsid w:val="001738DB"/>
    <w:rsid w:val="00177854"/>
    <w:rsid w:val="00180F11"/>
    <w:rsid w:val="00181294"/>
    <w:rsid w:val="00182544"/>
    <w:rsid w:val="001835B4"/>
    <w:rsid w:val="0018527B"/>
    <w:rsid w:val="00190176"/>
    <w:rsid w:val="00190DAD"/>
    <w:rsid w:val="00191737"/>
    <w:rsid w:val="001941AE"/>
    <w:rsid w:val="00194AAC"/>
    <w:rsid w:val="001951DC"/>
    <w:rsid w:val="001956B7"/>
    <w:rsid w:val="00196367"/>
    <w:rsid w:val="001A0852"/>
    <w:rsid w:val="001A114E"/>
    <w:rsid w:val="001A3834"/>
    <w:rsid w:val="001A7EBF"/>
    <w:rsid w:val="001B035E"/>
    <w:rsid w:val="001B4A0F"/>
    <w:rsid w:val="001B5C57"/>
    <w:rsid w:val="001C0D1B"/>
    <w:rsid w:val="001C1343"/>
    <w:rsid w:val="001C3B21"/>
    <w:rsid w:val="001C3FF4"/>
    <w:rsid w:val="001C5A50"/>
    <w:rsid w:val="001C732D"/>
    <w:rsid w:val="001C77A0"/>
    <w:rsid w:val="001D0530"/>
    <w:rsid w:val="001D2934"/>
    <w:rsid w:val="001D53FF"/>
    <w:rsid w:val="001E067B"/>
    <w:rsid w:val="001E14DF"/>
    <w:rsid w:val="001E4064"/>
    <w:rsid w:val="001E4CE5"/>
    <w:rsid w:val="001E7330"/>
    <w:rsid w:val="001F06F6"/>
    <w:rsid w:val="001F09F6"/>
    <w:rsid w:val="001F1A4D"/>
    <w:rsid w:val="001F3608"/>
    <w:rsid w:val="001F49DA"/>
    <w:rsid w:val="0020179B"/>
    <w:rsid w:val="00204835"/>
    <w:rsid w:val="00211308"/>
    <w:rsid w:val="00213EC2"/>
    <w:rsid w:val="002218E2"/>
    <w:rsid w:val="00221900"/>
    <w:rsid w:val="00222A6D"/>
    <w:rsid w:val="0022339A"/>
    <w:rsid w:val="0022376F"/>
    <w:rsid w:val="002252DE"/>
    <w:rsid w:val="0023499E"/>
    <w:rsid w:val="002410AC"/>
    <w:rsid w:val="002410DB"/>
    <w:rsid w:val="002412CF"/>
    <w:rsid w:val="00246126"/>
    <w:rsid w:val="0024632F"/>
    <w:rsid w:val="002463B6"/>
    <w:rsid w:val="0025306C"/>
    <w:rsid w:val="00262231"/>
    <w:rsid w:val="00267127"/>
    <w:rsid w:val="00267405"/>
    <w:rsid w:val="00270C09"/>
    <w:rsid w:val="0027117F"/>
    <w:rsid w:val="002761BD"/>
    <w:rsid w:val="0027702A"/>
    <w:rsid w:val="002773F0"/>
    <w:rsid w:val="00277BA9"/>
    <w:rsid w:val="0028078D"/>
    <w:rsid w:val="00281955"/>
    <w:rsid w:val="002836B2"/>
    <w:rsid w:val="00284846"/>
    <w:rsid w:val="00285CE8"/>
    <w:rsid w:val="00287467"/>
    <w:rsid w:val="00290A4A"/>
    <w:rsid w:val="002938F6"/>
    <w:rsid w:val="00297340"/>
    <w:rsid w:val="002A108A"/>
    <w:rsid w:val="002A1B43"/>
    <w:rsid w:val="002A5711"/>
    <w:rsid w:val="002B083E"/>
    <w:rsid w:val="002B315C"/>
    <w:rsid w:val="002B4912"/>
    <w:rsid w:val="002B494C"/>
    <w:rsid w:val="002C240D"/>
    <w:rsid w:val="002C2459"/>
    <w:rsid w:val="002C30D4"/>
    <w:rsid w:val="002C35C5"/>
    <w:rsid w:val="002C4B90"/>
    <w:rsid w:val="002C67C1"/>
    <w:rsid w:val="002C6917"/>
    <w:rsid w:val="002D0185"/>
    <w:rsid w:val="002D029C"/>
    <w:rsid w:val="002D061E"/>
    <w:rsid w:val="002D10A5"/>
    <w:rsid w:val="002D13BE"/>
    <w:rsid w:val="002D3045"/>
    <w:rsid w:val="002D41BD"/>
    <w:rsid w:val="002D5F55"/>
    <w:rsid w:val="002E3A8D"/>
    <w:rsid w:val="002E6A27"/>
    <w:rsid w:val="002E77E0"/>
    <w:rsid w:val="002F03CC"/>
    <w:rsid w:val="002F1F95"/>
    <w:rsid w:val="002F22FA"/>
    <w:rsid w:val="002F266C"/>
    <w:rsid w:val="002F6988"/>
    <w:rsid w:val="002F6F42"/>
    <w:rsid w:val="00301116"/>
    <w:rsid w:val="00307784"/>
    <w:rsid w:val="00312998"/>
    <w:rsid w:val="00316475"/>
    <w:rsid w:val="00325578"/>
    <w:rsid w:val="00327581"/>
    <w:rsid w:val="00330D78"/>
    <w:rsid w:val="00331701"/>
    <w:rsid w:val="00331A15"/>
    <w:rsid w:val="00334233"/>
    <w:rsid w:val="00334B65"/>
    <w:rsid w:val="00335C39"/>
    <w:rsid w:val="0033674F"/>
    <w:rsid w:val="00337716"/>
    <w:rsid w:val="00341889"/>
    <w:rsid w:val="00341FC2"/>
    <w:rsid w:val="003439F9"/>
    <w:rsid w:val="00346BCE"/>
    <w:rsid w:val="00346FF5"/>
    <w:rsid w:val="003507DE"/>
    <w:rsid w:val="00353ED3"/>
    <w:rsid w:val="00357AD1"/>
    <w:rsid w:val="0036027D"/>
    <w:rsid w:val="00364D3A"/>
    <w:rsid w:val="00366BBB"/>
    <w:rsid w:val="00370B29"/>
    <w:rsid w:val="003716C1"/>
    <w:rsid w:val="00372737"/>
    <w:rsid w:val="00372938"/>
    <w:rsid w:val="0037486B"/>
    <w:rsid w:val="0037702E"/>
    <w:rsid w:val="00380125"/>
    <w:rsid w:val="00381CB7"/>
    <w:rsid w:val="0038540A"/>
    <w:rsid w:val="00391E77"/>
    <w:rsid w:val="003930CE"/>
    <w:rsid w:val="003936FA"/>
    <w:rsid w:val="0039474D"/>
    <w:rsid w:val="00394C29"/>
    <w:rsid w:val="00394ED5"/>
    <w:rsid w:val="00395686"/>
    <w:rsid w:val="0039632F"/>
    <w:rsid w:val="00396B74"/>
    <w:rsid w:val="003A1B1F"/>
    <w:rsid w:val="003B5893"/>
    <w:rsid w:val="003B6026"/>
    <w:rsid w:val="003C15D7"/>
    <w:rsid w:val="003C5353"/>
    <w:rsid w:val="003C5B63"/>
    <w:rsid w:val="003C6C23"/>
    <w:rsid w:val="003D4762"/>
    <w:rsid w:val="003E19C7"/>
    <w:rsid w:val="003E35BC"/>
    <w:rsid w:val="003E61D1"/>
    <w:rsid w:val="003E6226"/>
    <w:rsid w:val="003E7087"/>
    <w:rsid w:val="003E743E"/>
    <w:rsid w:val="003F0340"/>
    <w:rsid w:val="003F141B"/>
    <w:rsid w:val="003F2895"/>
    <w:rsid w:val="003F29B7"/>
    <w:rsid w:val="003F393D"/>
    <w:rsid w:val="003F39CD"/>
    <w:rsid w:val="00404218"/>
    <w:rsid w:val="00406023"/>
    <w:rsid w:val="004068AA"/>
    <w:rsid w:val="00407134"/>
    <w:rsid w:val="00407B5E"/>
    <w:rsid w:val="00410D96"/>
    <w:rsid w:val="00412146"/>
    <w:rsid w:val="0041485F"/>
    <w:rsid w:val="0041499F"/>
    <w:rsid w:val="00415C40"/>
    <w:rsid w:val="00421440"/>
    <w:rsid w:val="00422EE1"/>
    <w:rsid w:val="0042368A"/>
    <w:rsid w:val="0042465C"/>
    <w:rsid w:val="004259F2"/>
    <w:rsid w:val="00425FF3"/>
    <w:rsid w:val="00431002"/>
    <w:rsid w:val="004379DB"/>
    <w:rsid w:val="00441FE8"/>
    <w:rsid w:val="0044450F"/>
    <w:rsid w:val="00444C9F"/>
    <w:rsid w:val="00444F6E"/>
    <w:rsid w:val="00445401"/>
    <w:rsid w:val="004548AA"/>
    <w:rsid w:val="00456090"/>
    <w:rsid w:val="00456354"/>
    <w:rsid w:val="00460A35"/>
    <w:rsid w:val="00461799"/>
    <w:rsid w:val="004655D9"/>
    <w:rsid w:val="00473EC2"/>
    <w:rsid w:val="004741CD"/>
    <w:rsid w:val="00474266"/>
    <w:rsid w:val="00474E7F"/>
    <w:rsid w:val="0048042A"/>
    <w:rsid w:val="00483754"/>
    <w:rsid w:val="00485CF8"/>
    <w:rsid w:val="0048607C"/>
    <w:rsid w:val="004866FD"/>
    <w:rsid w:val="0048760F"/>
    <w:rsid w:val="0048763A"/>
    <w:rsid w:val="00497A6B"/>
    <w:rsid w:val="00497F65"/>
    <w:rsid w:val="004A0291"/>
    <w:rsid w:val="004A0987"/>
    <w:rsid w:val="004A2A6E"/>
    <w:rsid w:val="004A32C7"/>
    <w:rsid w:val="004A7EB8"/>
    <w:rsid w:val="004B2330"/>
    <w:rsid w:val="004B47C9"/>
    <w:rsid w:val="004B629E"/>
    <w:rsid w:val="004B7753"/>
    <w:rsid w:val="004C2B6B"/>
    <w:rsid w:val="004C56BF"/>
    <w:rsid w:val="004C5D93"/>
    <w:rsid w:val="004C7F81"/>
    <w:rsid w:val="004D00AF"/>
    <w:rsid w:val="004D3AD9"/>
    <w:rsid w:val="004D71E5"/>
    <w:rsid w:val="004E285B"/>
    <w:rsid w:val="004E2C6B"/>
    <w:rsid w:val="004E76FD"/>
    <w:rsid w:val="004F1390"/>
    <w:rsid w:val="004F313A"/>
    <w:rsid w:val="004F657A"/>
    <w:rsid w:val="00500F76"/>
    <w:rsid w:val="00503415"/>
    <w:rsid w:val="00503B49"/>
    <w:rsid w:val="00503DAC"/>
    <w:rsid w:val="0050693F"/>
    <w:rsid w:val="00506A84"/>
    <w:rsid w:val="00507FD2"/>
    <w:rsid w:val="005102AD"/>
    <w:rsid w:val="00515A99"/>
    <w:rsid w:val="00516A9F"/>
    <w:rsid w:val="00520EB1"/>
    <w:rsid w:val="0052173F"/>
    <w:rsid w:val="00522D31"/>
    <w:rsid w:val="0052333F"/>
    <w:rsid w:val="00523F96"/>
    <w:rsid w:val="005241DF"/>
    <w:rsid w:val="0053134B"/>
    <w:rsid w:val="005318F7"/>
    <w:rsid w:val="00531AD8"/>
    <w:rsid w:val="0053227F"/>
    <w:rsid w:val="00533533"/>
    <w:rsid w:val="00535029"/>
    <w:rsid w:val="0053550F"/>
    <w:rsid w:val="00535DA0"/>
    <w:rsid w:val="00535EE3"/>
    <w:rsid w:val="005361ED"/>
    <w:rsid w:val="00536A17"/>
    <w:rsid w:val="005405B4"/>
    <w:rsid w:val="00541AE2"/>
    <w:rsid w:val="005425E6"/>
    <w:rsid w:val="005440FF"/>
    <w:rsid w:val="00544A96"/>
    <w:rsid w:val="00544AEE"/>
    <w:rsid w:val="005460EB"/>
    <w:rsid w:val="0055064F"/>
    <w:rsid w:val="005509ED"/>
    <w:rsid w:val="00551E44"/>
    <w:rsid w:val="005541DB"/>
    <w:rsid w:val="0055664B"/>
    <w:rsid w:val="00557FC1"/>
    <w:rsid w:val="005600D3"/>
    <w:rsid w:val="0056090F"/>
    <w:rsid w:val="00560F37"/>
    <w:rsid w:val="00561E7F"/>
    <w:rsid w:val="00562130"/>
    <w:rsid w:val="00564FEE"/>
    <w:rsid w:val="005650E3"/>
    <w:rsid w:val="00566645"/>
    <w:rsid w:val="00570F11"/>
    <w:rsid w:val="005710EE"/>
    <w:rsid w:val="00572FE1"/>
    <w:rsid w:val="00581540"/>
    <w:rsid w:val="005900FA"/>
    <w:rsid w:val="00590527"/>
    <w:rsid w:val="00591016"/>
    <w:rsid w:val="005946EA"/>
    <w:rsid w:val="00595BF0"/>
    <w:rsid w:val="005A0C14"/>
    <w:rsid w:val="005A45F3"/>
    <w:rsid w:val="005B0118"/>
    <w:rsid w:val="005B1F2B"/>
    <w:rsid w:val="005B42C4"/>
    <w:rsid w:val="005B4BDE"/>
    <w:rsid w:val="005B5E13"/>
    <w:rsid w:val="005C117B"/>
    <w:rsid w:val="005C14E2"/>
    <w:rsid w:val="005C274A"/>
    <w:rsid w:val="005C42BE"/>
    <w:rsid w:val="005C4F7B"/>
    <w:rsid w:val="005C5461"/>
    <w:rsid w:val="005C570C"/>
    <w:rsid w:val="005C5921"/>
    <w:rsid w:val="005C60FF"/>
    <w:rsid w:val="005C73AB"/>
    <w:rsid w:val="005D0FE5"/>
    <w:rsid w:val="005D1D9C"/>
    <w:rsid w:val="005D4304"/>
    <w:rsid w:val="005D4859"/>
    <w:rsid w:val="005D56A4"/>
    <w:rsid w:val="005D5B44"/>
    <w:rsid w:val="005D5E38"/>
    <w:rsid w:val="005D5F5F"/>
    <w:rsid w:val="005D6135"/>
    <w:rsid w:val="005E510A"/>
    <w:rsid w:val="005E57F5"/>
    <w:rsid w:val="005E5C22"/>
    <w:rsid w:val="005E7B74"/>
    <w:rsid w:val="005F3E38"/>
    <w:rsid w:val="005F4675"/>
    <w:rsid w:val="005F4F2C"/>
    <w:rsid w:val="005F4F70"/>
    <w:rsid w:val="005F65CD"/>
    <w:rsid w:val="005F7568"/>
    <w:rsid w:val="0060023D"/>
    <w:rsid w:val="006007F6"/>
    <w:rsid w:val="00601158"/>
    <w:rsid w:val="00602D01"/>
    <w:rsid w:val="00603C60"/>
    <w:rsid w:val="00611DF4"/>
    <w:rsid w:val="00616331"/>
    <w:rsid w:val="0062108B"/>
    <w:rsid w:val="00622093"/>
    <w:rsid w:val="00622C79"/>
    <w:rsid w:val="00626D46"/>
    <w:rsid w:val="00631189"/>
    <w:rsid w:val="006343D2"/>
    <w:rsid w:val="00635FFB"/>
    <w:rsid w:val="00637734"/>
    <w:rsid w:val="00637E3F"/>
    <w:rsid w:val="00640072"/>
    <w:rsid w:val="0064083F"/>
    <w:rsid w:val="00641F19"/>
    <w:rsid w:val="00642FE9"/>
    <w:rsid w:val="00652D8A"/>
    <w:rsid w:val="006567DC"/>
    <w:rsid w:val="006602E4"/>
    <w:rsid w:val="00664BEB"/>
    <w:rsid w:val="00665870"/>
    <w:rsid w:val="00665B18"/>
    <w:rsid w:val="006715BA"/>
    <w:rsid w:val="00671807"/>
    <w:rsid w:val="006726BE"/>
    <w:rsid w:val="00672936"/>
    <w:rsid w:val="00672CC0"/>
    <w:rsid w:val="0067599A"/>
    <w:rsid w:val="00675F3C"/>
    <w:rsid w:val="006807DF"/>
    <w:rsid w:val="006810B6"/>
    <w:rsid w:val="00685CF4"/>
    <w:rsid w:val="00685F49"/>
    <w:rsid w:val="00686345"/>
    <w:rsid w:val="00686A2F"/>
    <w:rsid w:val="006879EB"/>
    <w:rsid w:val="0069249F"/>
    <w:rsid w:val="00693D55"/>
    <w:rsid w:val="006A1BE2"/>
    <w:rsid w:val="006B10CD"/>
    <w:rsid w:val="006B3591"/>
    <w:rsid w:val="006B45B0"/>
    <w:rsid w:val="006B7037"/>
    <w:rsid w:val="006B72B8"/>
    <w:rsid w:val="006C1154"/>
    <w:rsid w:val="006C2397"/>
    <w:rsid w:val="006C3F62"/>
    <w:rsid w:val="006C434A"/>
    <w:rsid w:val="006C6E19"/>
    <w:rsid w:val="006D1F05"/>
    <w:rsid w:val="006D4BE2"/>
    <w:rsid w:val="006D596A"/>
    <w:rsid w:val="006E05FF"/>
    <w:rsid w:val="006E1B76"/>
    <w:rsid w:val="006E20E3"/>
    <w:rsid w:val="006E49AB"/>
    <w:rsid w:val="006E7B4A"/>
    <w:rsid w:val="006E7EE9"/>
    <w:rsid w:val="006F0A0A"/>
    <w:rsid w:val="006F1F3A"/>
    <w:rsid w:val="006F27F0"/>
    <w:rsid w:val="006F41AC"/>
    <w:rsid w:val="006F5C3C"/>
    <w:rsid w:val="006F7A93"/>
    <w:rsid w:val="00700285"/>
    <w:rsid w:val="00700965"/>
    <w:rsid w:val="0070173F"/>
    <w:rsid w:val="007030F8"/>
    <w:rsid w:val="00703218"/>
    <w:rsid w:val="00703D6B"/>
    <w:rsid w:val="00704261"/>
    <w:rsid w:val="00705317"/>
    <w:rsid w:val="00705B2E"/>
    <w:rsid w:val="00707898"/>
    <w:rsid w:val="00707DE5"/>
    <w:rsid w:val="00712C4E"/>
    <w:rsid w:val="007130EA"/>
    <w:rsid w:val="00715898"/>
    <w:rsid w:val="00721D64"/>
    <w:rsid w:val="00721F18"/>
    <w:rsid w:val="00730D0B"/>
    <w:rsid w:val="00735D1E"/>
    <w:rsid w:val="007362CB"/>
    <w:rsid w:val="00736AA0"/>
    <w:rsid w:val="00736E32"/>
    <w:rsid w:val="00737B1F"/>
    <w:rsid w:val="00737F55"/>
    <w:rsid w:val="00743105"/>
    <w:rsid w:val="00743CA8"/>
    <w:rsid w:val="00743E84"/>
    <w:rsid w:val="00744CF0"/>
    <w:rsid w:val="0074696A"/>
    <w:rsid w:val="007477C7"/>
    <w:rsid w:val="00750F74"/>
    <w:rsid w:val="007513F1"/>
    <w:rsid w:val="00756F4A"/>
    <w:rsid w:val="00763B18"/>
    <w:rsid w:val="00764194"/>
    <w:rsid w:val="00770B7F"/>
    <w:rsid w:val="00774617"/>
    <w:rsid w:val="007750E1"/>
    <w:rsid w:val="00775737"/>
    <w:rsid w:val="00775E10"/>
    <w:rsid w:val="00776C40"/>
    <w:rsid w:val="00777F3A"/>
    <w:rsid w:val="00780FAB"/>
    <w:rsid w:val="00781D2C"/>
    <w:rsid w:val="00783185"/>
    <w:rsid w:val="007868C3"/>
    <w:rsid w:val="00790F36"/>
    <w:rsid w:val="00791420"/>
    <w:rsid w:val="007925FF"/>
    <w:rsid w:val="007929DC"/>
    <w:rsid w:val="00796315"/>
    <w:rsid w:val="007A0D4A"/>
    <w:rsid w:val="007A2199"/>
    <w:rsid w:val="007B0711"/>
    <w:rsid w:val="007B3ACE"/>
    <w:rsid w:val="007B3B48"/>
    <w:rsid w:val="007B6BA2"/>
    <w:rsid w:val="007B74EF"/>
    <w:rsid w:val="007B7DEE"/>
    <w:rsid w:val="007B7E51"/>
    <w:rsid w:val="007C23AF"/>
    <w:rsid w:val="007C28B9"/>
    <w:rsid w:val="007C32EA"/>
    <w:rsid w:val="007C34C4"/>
    <w:rsid w:val="007C585B"/>
    <w:rsid w:val="007D0E29"/>
    <w:rsid w:val="007D14BA"/>
    <w:rsid w:val="007D3A13"/>
    <w:rsid w:val="007D71C7"/>
    <w:rsid w:val="007D741C"/>
    <w:rsid w:val="007E113A"/>
    <w:rsid w:val="007E3554"/>
    <w:rsid w:val="007F1479"/>
    <w:rsid w:val="007F67D2"/>
    <w:rsid w:val="00800964"/>
    <w:rsid w:val="0080176D"/>
    <w:rsid w:val="008052F6"/>
    <w:rsid w:val="00815632"/>
    <w:rsid w:val="0081588B"/>
    <w:rsid w:val="00815B88"/>
    <w:rsid w:val="008202B8"/>
    <w:rsid w:val="00821A68"/>
    <w:rsid w:val="008239AB"/>
    <w:rsid w:val="00825EBC"/>
    <w:rsid w:val="008303FA"/>
    <w:rsid w:val="008305F7"/>
    <w:rsid w:val="0083146D"/>
    <w:rsid w:val="00832D64"/>
    <w:rsid w:val="00833BB6"/>
    <w:rsid w:val="00835E46"/>
    <w:rsid w:val="008416E2"/>
    <w:rsid w:val="008434F2"/>
    <w:rsid w:val="00845128"/>
    <w:rsid w:val="008452CD"/>
    <w:rsid w:val="008539EF"/>
    <w:rsid w:val="0085448B"/>
    <w:rsid w:val="00854F00"/>
    <w:rsid w:val="00855304"/>
    <w:rsid w:val="00862ECD"/>
    <w:rsid w:val="00870631"/>
    <w:rsid w:val="00870B2A"/>
    <w:rsid w:val="008735B9"/>
    <w:rsid w:val="008739A9"/>
    <w:rsid w:val="00874676"/>
    <w:rsid w:val="008774EC"/>
    <w:rsid w:val="00880BCD"/>
    <w:rsid w:val="00882088"/>
    <w:rsid w:val="00882AA9"/>
    <w:rsid w:val="00882DE1"/>
    <w:rsid w:val="008841DA"/>
    <w:rsid w:val="008871DB"/>
    <w:rsid w:val="00890D63"/>
    <w:rsid w:val="00893F42"/>
    <w:rsid w:val="008A227F"/>
    <w:rsid w:val="008A4DA3"/>
    <w:rsid w:val="008A4EFA"/>
    <w:rsid w:val="008A535D"/>
    <w:rsid w:val="008B026D"/>
    <w:rsid w:val="008B198F"/>
    <w:rsid w:val="008B341A"/>
    <w:rsid w:val="008B554A"/>
    <w:rsid w:val="008C0C9E"/>
    <w:rsid w:val="008C1D6E"/>
    <w:rsid w:val="008C27AA"/>
    <w:rsid w:val="008C2FE2"/>
    <w:rsid w:val="008C44CA"/>
    <w:rsid w:val="008C6744"/>
    <w:rsid w:val="008C6895"/>
    <w:rsid w:val="008D14F1"/>
    <w:rsid w:val="008D2B7D"/>
    <w:rsid w:val="008D2BD7"/>
    <w:rsid w:val="008D64B5"/>
    <w:rsid w:val="008D6AFD"/>
    <w:rsid w:val="008D7785"/>
    <w:rsid w:val="008D7817"/>
    <w:rsid w:val="008E3FFC"/>
    <w:rsid w:val="008F33B1"/>
    <w:rsid w:val="008F437A"/>
    <w:rsid w:val="008F439E"/>
    <w:rsid w:val="008F4423"/>
    <w:rsid w:val="008F569F"/>
    <w:rsid w:val="00900AB3"/>
    <w:rsid w:val="009024A4"/>
    <w:rsid w:val="00903F12"/>
    <w:rsid w:val="00904244"/>
    <w:rsid w:val="00904492"/>
    <w:rsid w:val="00905F27"/>
    <w:rsid w:val="00907154"/>
    <w:rsid w:val="009073B2"/>
    <w:rsid w:val="009110B3"/>
    <w:rsid w:val="0091133F"/>
    <w:rsid w:val="009129DE"/>
    <w:rsid w:val="009134B5"/>
    <w:rsid w:val="0091376C"/>
    <w:rsid w:val="00913920"/>
    <w:rsid w:val="009161F0"/>
    <w:rsid w:val="009206CA"/>
    <w:rsid w:val="00920C78"/>
    <w:rsid w:val="0092167F"/>
    <w:rsid w:val="009217CA"/>
    <w:rsid w:val="0092261C"/>
    <w:rsid w:val="009250D9"/>
    <w:rsid w:val="0093583F"/>
    <w:rsid w:val="00935BA1"/>
    <w:rsid w:val="00937795"/>
    <w:rsid w:val="009421AC"/>
    <w:rsid w:val="00942AC7"/>
    <w:rsid w:val="00947679"/>
    <w:rsid w:val="00952E53"/>
    <w:rsid w:val="00955990"/>
    <w:rsid w:val="009628CB"/>
    <w:rsid w:val="00965F7E"/>
    <w:rsid w:val="00966656"/>
    <w:rsid w:val="009672A3"/>
    <w:rsid w:val="00970D26"/>
    <w:rsid w:val="00974076"/>
    <w:rsid w:val="00974C19"/>
    <w:rsid w:val="00977B36"/>
    <w:rsid w:val="00981140"/>
    <w:rsid w:val="0098160A"/>
    <w:rsid w:val="00981F36"/>
    <w:rsid w:val="0098269A"/>
    <w:rsid w:val="00982812"/>
    <w:rsid w:val="00982989"/>
    <w:rsid w:val="00984D51"/>
    <w:rsid w:val="00984F65"/>
    <w:rsid w:val="00985677"/>
    <w:rsid w:val="00985AB1"/>
    <w:rsid w:val="009907C9"/>
    <w:rsid w:val="00990EE8"/>
    <w:rsid w:val="009935A4"/>
    <w:rsid w:val="009A0459"/>
    <w:rsid w:val="009A1883"/>
    <w:rsid w:val="009A2F74"/>
    <w:rsid w:val="009A57A8"/>
    <w:rsid w:val="009A6168"/>
    <w:rsid w:val="009A648A"/>
    <w:rsid w:val="009B1D72"/>
    <w:rsid w:val="009B3759"/>
    <w:rsid w:val="009B445D"/>
    <w:rsid w:val="009B4A9A"/>
    <w:rsid w:val="009B6C03"/>
    <w:rsid w:val="009C0EEC"/>
    <w:rsid w:val="009C162E"/>
    <w:rsid w:val="009C1E5C"/>
    <w:rsid w:val="009C40B2"/>
    <w:rsid w:val="009C675E"/>
    <w:rsid w:val="009D043C"/>
    <w:rsid w:val="009D0A93"/>
    <w:rsid w:val="009D137C"/>
    <w:rsid w:val="009D2140"/>
    <w:rsid w:val="009D30B5"/>
    <w:rsid w:val="009D40B4"/>
    <w:rsid w:val="009D4210"/>
    <w:rsid w:val="009D6D4D"/>
    <w:rsid w:val="009D6E58"/>
    <w:rsid w:val="009D6EA6"/>
    <w:rsid w:val="009E250A"/>
    <w:rsid w:val="009E3BF1"/>
    <w:rsid w:val="009E41FB"/>
    <w:rsid w:val="009E4D0D"/>
    <w:rsid w:val="009F0B72"/>
    <w:rsid w:val="009F57EE"/>
    <w:rsid w:val="009F68F8"/>
    <w:rsid w:val="00A01E28"/>
    <w:rsid w:val="00A02CA6"/>
    <w:rsid w:val="00A03576"/>
    <w:rsid w:val="00A03ADD"/>
    <w:rsid w:val="00A05688"/>
    <w:rsid w:val="00A060AF"/>
    <w:rsid w:val="00A07698"/>
    <w:rsid w:val="00A07F37"/>
    <w:rsid w:val="00A102A9"/>
    <w:rsid w:val="00A105ED"/>
    <w:rsid w:val="00A10F49"/>
    <w:rsid w:val="00A1186D"/>
    <w:rsid w:val="00A127F6"/>
    <w:rsid w:val="00A13367"/>
    <w:rsid w:val="00A14840"/>
    <w:rsid w:val="00A15573"/>
    <w:rsid w:val="00A15659"/>
    <w:rsid w:val="00A2176F"/>
    <w:rsid w:val="00A24857"/>
    <w:rsid w:val="00A26647"/>
    <w:rsid w:val="00A26F5C"/>
    <w:rsid w:val="00A31098"/>
    <w:rsid w:val="00A33E50"/>
    <w:rsid w:val="00A34A3A"/>
    <w:rsid w:val="00A37C8B"/>
    <w:rsid w:val="00A4038C"/>
    <w:rsid w:val="00A45E97"/>
    <w:rsid w:val="00A46DCB"/>
    <w:rsid w:val="00A56E65"/>
    <w:rsid w:val="00A572CF"/>
    <w:rsid w:val="00A573E3"/>
    <w:rsid w:val="00A57F5B"/>
    <w:rsid w:val="00A608F3"/>
    <w:rsid w:val="00A612F1"/>
    <w:rsid w:val="00A642E0"/>
    <w:rsid w:val="00A6441C"/>
    <w:rsid w:val="00A64569"/>
    <w:rsid w:val="00A65DAC"/>
    <w:rsid w:val="00A67342"/>
    <w:rsid w:val="00A70FC4"/>
    <w:rsid w:val="00A726BD"/>
    <w:rsid w:val="00A72918"/>
    <w:rsid w:val="00A72D5E"/>
    <w:rsid w:val="00A739A8"/>
    <w:rsid w:val="00A73DE5"/>
    <w:rsid w:val="00A749B9"/>
    <w:rsid w:val="00A75AF6"/>
    <w:rsid w:val="00A76F98"/>
    <w:rsid w:val="00A775F0"/>
    <w:rsid w:val="00A77809"/>
    <w:rsid w:val="00A77F7E"/>
    <w:rsid w:val="00A804D9"/>
    <w:rsid w:val="00A8174C"/>
    <w:rsid w:val="00A81FA3"/>
    <w:rsid w:val="00A90709"/>
    <w:rsid w:val="00A90D20"/>
    <w:rsid w:val="00A93691"/>
    <w:rsid w:val="00A93F22"/>
    <w:rsid w:val="00A97F08"/>
    <w:rsid w:val="00AA066C"/>
    <w:rsid w:val="00AA06FF"/>
    <w:rsid w:val="00AA0D2E"/>
    <w:rsid w:val="00AA5485"/>
    <w:rsid w:val="00AA67D6"/>
    <w:rsid w:val="00AA6DB4"/>
    <w:rsid w:val="00AA7132"/>
    <w:rsid w:val="00AB0C96"/>
    <w:rsid w:val="00AB1F7F"/>
    <w:rsid w:val="00AB31E7"/>
    <w:rsid w:val="00AB4D0B"/>
    <w:rsid w:val="00AC0192"/>
    <w:rsid w:val="00AC0DB8"/>
    <w:rsid w:val="00AC0F42"/>
    <w:rsid w:val="00AC1BA7"/>
    <w:rsid w:val="00AC2B62"/>
    <w:rsid w:val="00AC6E58"/>
    <w:rsid w:val="00AC7E32"/>
    <w:rsid w:val="00AD176B"/>
    <w:rsid w:val="00AD57FA"/>
    <w:rsid w:val="00AE79CC"/>
    <w:rsid w:val="00AF1C2A"/>
    <w:rsid w:val="00AF204C"/>
    <w:rsid w:val="00AF44B4"/>
    <w:rsid w:val="00AF574F"/>
    <w:rsid w:val="00AF6CA3"/>
    <w:rsid w:val="00B01A0B"/>
    <w:rsid w:val="00B03062"/>
    <w:rsid w:val="00B03812"/>
    <w:rsid w:val="00B04B06"/>
    <w:rsid w:val="00B04E86"/>
    <w:rsid w:val="00B05C21"/>
    <w:rsid w:val="00B07AE3"/>
    <w:rsid w:val="00B102CB"/>
    <w:rsid w:val="00B10770"/>
    <w:rsid w:val="00B11328"/>
    <w:rsid w:val="00B12196"/>
    <w:rsid w:val="00B1550D"/>
    <w:rsid w:val="00B219E7"/>
    <w:rsid w:val="00B23523"/>
    <w:rsid w:val="00B24085"/>
    <w:rsid w:val="00B26C33"/>
    <w:rsid w:val="00B26CFF"/>
    <w:rsid w:val="00B30DFB"/>
    <w:rsid w:val="00B316DA"/>
    <w:rsid w:val="00B324CC"/>
    <w:rsid w:val="00B33BF6"/>
    <w:rsid w:val="00B35151"/>
    <w:rsid w:val="00B354E7"/>
    <w:rsid w:val="00B36695"/>
    <w:rsid w:val="00B37A24"/>
    <w:rsid w:val="00B416F8"/>
    <w:rsid w:val="00B433FD"/>
    <w:rsid w:val="00B51B75"/>
    <w:rsid w:val="00B54830"/>
    <w:rsid w:val="00B56196"/>
    <w:rsid w:val="00B57D2A"/>
    <w:rsid w:val="00B61756"/>
    <w:rsid w:val="00B620BE"/>
    <w:rsid w:val="00B637A5"/>
    <w:rsid w:val="00B64924"/>
    <w:rsid w:val="00B66106"/>
    <w:rsid w:val="00B66F6F"/>
    <w:rsid w:val="00B714CA"/>
    <w:rsid w:val="00B72A28"/>
    <w:rsid w:val="00B74E4D"/>
    <w:rsid w:val="00B74E89"/>
    <w:rsid w:val="00B7547B"/>
    <w:rsid w:val="00B75C3B"/>
    <w:rsid w:val="00B75DED"/>
    <w:rsid w:val="00B777A7"/>
    <w:rsid w:val="00B808D7"/>
    <w:rsid w:val="00B80F32"/>
    <w:rsid w:val="00B8472E"/>
    <w:rsid w:val="00B92CA7"/>
    <w:rsid w:val="00B93CDE"/>
    <w:rsid w:val="00B95A23"/>
    <w:rsid w:val="00BA02D2"/>
    <w:rsid w:val="00BA7318"/>
    <w:rsid w:val="00BB0768"/>
    <w:rsid w:val="00BB2C4F"/>
    <w:rsid w:val="00BB2D95"/>
    <w:rsid w:val="00BB2F9C"/>
    <w:rsid w:val="00BB36D9"/>
    <w:rsid w:val="00BB4837"/>
    <w:rsid w:val="00BB5217"/>
    <w:rsid w:val="00BC08AD"/>
    <w:rsid w:val="00BC0F36"/>
    <w:rsid w:val="00BC15D4"/>
    <w:rsid w:val="00BC21B2"/>
    <w:rsid w:val="00BD31CA"/>
    <w:rsid w:val="00BD4E9F"/>
    <w:rsid w:val="00BD526E"/>
    <w:rsid w:val="00BD5576"/>
    <w:rsid w:val="00BD59F8"/>
    <w:rsid w:val="00BE65DD"/>
    <w:rsid w:val="00BF0094"/>
    <w:rsid w:val="00BF0E51"/>
    <w:rsid w:val="00BF31AC"/>
    <w:rsid w:val="00BF7B3C"/>
    <w:rsid w:val="00C02073"/>
    <w:rsid w:val="00C02DD2"/>
    <w:rsid w:val="00C03B0C"/>
    <w:rsid w:val="00C1068B"/>
    <w:rsid w:val="00C13515"/>
    <w:rsid w:val="00C13F8E"/>
    <w:rsid w:val="00C14B04"/>
    <w:rsid w:val="00C16BD9"/>
    <w:rsid w:val="00C171F8"/>
    <w:rsid w:val="00C173A2"/>
    <w:rsid w:val="00C20A3E"/>
    <w:rsid w:val="00C216D2"/>
    <w:rsid w:val="00C2401B"/>
    <w:rsid w:val="00C2437F"/>
    <w:rsid w:val="00C272A4"/>
    <w:rsid w:val="00C31AAD"/>
    <w:rsid w:val="00C32EBB"/>
    <w:rsid w:val="00C3602C"/>
    <w:rsid w:val="00C36B5E"/>
    <w:rsid w:val="00C379F4"/>
    <w:rsid w:val="00C40568"/>
    <w:rsid w:val="00C42052"/>
    <w:rsid w:val="00C42117"/>
    <w:rsid w:val="00C43801"/>
    <w:rsid w:val="00C44B07"/>
    <w:rsid w:val="00C465EC"/>
    <w:rsid w:val="00C50A2E"/>
    <w:rsid w:val="00C52400"/>
    <w:rsid w:val="00C54B25"/>
    <w:rsid w:val="00C567F2"/>
    <w:rsid w:val="00C57CBB"/>
    <w:rsid w:val="00C61241"/>
    <w:rsid w:val="00C6495A"/>
    <w:rsid w:val="00C654E2"/>
    <w:rsid w:val="00C65B39"/>
    <w:rsid w:val="00C667DD"/>
    <w:rsid w:val="00C670AB"/>
    <w:rsid w:val="00C67EEC"/>
    <w:rsid w:val="00C70BEA"/>
    <w:rsid w:val="00C71570"/>
    <w:rsid w:val="00C730C7"/>
    <w:rsid w:val="00C7386E"/>
    <w:rsid w:val="00C73E7E"/>
    <w:rsid w:val="00C81927"/>
    <w:rsid w:val="00C82DE8"/>
    <w:rsid w:val="00C834B6"/>
    <w:rsid w:val="00C845AF"/>
    <w:rsid w:val="00C84938"/>
    <w:rsid w:val="00C8628D"/>
    <w:rsid w:val="00C8777A"/>
    <w:rsid w:val="00C8797A"/>
    <w:rsid w:val="00C90E18"/>
    <w:rsid w:val="00C94A7D"/>
    <w:rsid w:val="00C95D5F"/>
    <w:rsid w:val="00C96521"/>
    <w:rsid w:val="00C96DA4"/>
    <w:rsid w:val="00C97895"/>
    <w:rsid w:val="00C97CCA"/>
    <w:rsid w:val="00CA03EC"/>
    <w:rsid w:val="00CA15CE"/>
    <w:rsid w:val="00CA2289"/>
    <w:rsid w:val="00CA2452"/>
    <w:rsid w:val="00CA2BF3"/>
    <w:rsid w:val="00CA567E"/>
    <w:rsid w:val="00CA7A9F"/>
    <w:rsid w:val="00CB0CA3"/>
    <w:rsid w:val="00CB2C75"/>
    <w:rsid w:val="00CB5533"/>
    <w:rsid w:val="00CB7296"/>
    <w:rsid w:val="00CD246E"/>
    <w:rsid w:val="00CD7369"/>
    <w:rsid w:val="00CE29B1"/>
    <w:rsid w:val="00CE2B1B"/>
    <w:rsid w:val="00CE3E35"/>
    <w:rsid w:val="00CE4408"/>
    <w:rsid w:val="00CE6208"/>
    <w:rsid w:val="00CE6655"/>
    <w:rsid w:val="00CE6C16"/>
    <w:rsid w:val="00CF2E5A"/>
    <w:rsid w:val="00CF3E70"/>
    <w:rsid w:val="00D00507"/>
    <w:rsid w:val="00D020CA"/>
    <w:rsid w:val="00D02B49"/>
    <w:rsid w:val="00D040C6"/>
    <w:rsid w:val="00D042A3"/>
    <w:rsid w:val="00D05019"/>
    <w:rsid w:val="00D05B35"/>
    <w:rsid w:val="00D07C6B"/>
    <w:rsid w:val="00D14D98"/>
    <w:rsid w:val="00D16DAB"/>
    <w:rsid w:val="00D21998"/>
    <w:rsid w:val="00D23ADC"/>
    <w:rsid w:val="00D31F8A"/>
    <w:rsid w:val="00D3259F"/>
    <w:rsid w:val="00D32C74"/>
    <w:rsid w:val="00D34D2D"/>
    <w:rsid w:val="00D350B9"/>
    <w:rsid w:val="00D43558"/>
    <w:rsid w:val="00D43A76"/>
    <w:rsid w:val="00D45791"/>
    <w:rsid w:val="00D45A45"/>
    <w:rsid w:val="00D46879"/>
    <w:rsid w:val="00D46A26"/>
    <w:rsid w:val="00D477D2"/>
    <w:rsid w:val="00D47ED2"/>
    <w:rsid w:val="00D50B4B"/>
    <w:rsid w:val="00D51E9E"/>
    <w:rsid w:val="00D54192"/>
    <w:rsid w:val="00D55E8D"/>
    <w:rsid w:val="00D55EE6"/>
    <w:rsid w:val="00D56E7F"/>
    <w:rsid w:val="00D57EF4"/>
    <w:rsid w:val="00D60985"/>
    <w:rsid w:val="00D62026"/>
    <w:rsid w:val="00D624FE"/>
    <w:rsid w:val="00D64593"/>
    <w:rsid w:val="00D70BEC"/>
    <w:rsid w:val="00D7143F"/>
    <w:rsid w:val="00D721F0"/>
    <w:rsid w:val="00D767F4"/>
    <w:rsid w:val="00D76FD0"/>
    <w:rsid w:val="00D80C8B"/>
    <w:rsid w:val="00D81E2E"/>
    <w:rsid w:val="00D83994"/>
    <w:rsid w:val="00D85B05"/>
    <w:rsid w:val="00D87C83"/>
    <w:rsid w:val="00D94CE8"/>
    <w:rsid w:val="00D94E00"/>
    <w:rsid w:val="00D95154"/>
    <w:rsid w:val="00D961EC"/>
    <w:rsid w:val="00D97061"/>
    <w:rsid w:val="00D97F69"/>
    <w:rsid w:val="00DA286B"/>
    <w:rsid w:val="00DA2C43"/>
    <w:rsid w:val="00DA54C6"/>
    <w:rsid w:val="00DA5F0F"/>
    <w:rsid w:val="00DB1321"/>
    <w:rsid w:val="00DB2F49"/>
    <w:rsid w:val="00DB4A78"/>
    <w:rsid w:val="00DB73C5"/>
    <w:rsid w:val="00DC012D"/>
    <w:rsid w:val="00DC0B5F"/>
    <w:rsid w:val="00DC2FD9"/>
    <w:rsid w:val="00DC3BC8"/>
    <w:rsid w:val="00DC5D11"/>
    <w:rsid w:val="00DC5F6E"/>
    <w:rsid w:val="00DC7BD7"/>
    <w:rsid w:val="00DD093F"/>
    <w:rsid w:val="00DD13BA"/>
    <w:rsid w:val="00DD294C"/>
    <w:rsid w:val="00DD390F"/>
    <w:rsid w:val="00DD3A29"/>
    <w:rsid w:val="00DD70A7"/>
    <w:rsid w:val="00DE2681"/>
    <w:rsid w:val="00DE6624"/>
    <w:rsid w:val="00DE6632"/>
    <w:rsid w:val="00DE6FF8"/>
    <w:rsid w:val="00DE7DDC"/>
    <w:rsid w:val="00DF124D"/>
    <w:rsid w:val="00DF27B2"/>
    <w:rsid w:val="00DF448F"/>
    <w:rsid w:val="00DF55C8"/>
    <w:rsid w:val="00DF66F1"/>
    <w:rsid w:val="00E00899"/>
    <w:rsid w:val="00E00D71"/>
    <w:rsid w:val="00E015DB"/>
    <w:rsid w:val="00E0340D"/>
    <w:rsid w:val="00E037A7"/>
    <w:rsid w:val="00E0399B"/>
    <w:rsid w:val="00E055B9"/>
    <w:rsid w:val="00E0631C"/>
    <w:rsid w:val="00E067C2"/>
    <w:rsid w:val="00E06D66"/>
    <w:rsid w:val="00E06F66"/>
    <w:rsid w:val="00E07361"/>
    <w:rsid w:val="00E073C7"/>
    <w:rsid w:val="00E07DBC"/>
    <w:rsid w:val="00E1067C"/>
    <w:rsid w:val="00E13EE9"/>
    <w:rsid w:val="00E17302"/>
    <w:rsid w:val="00E20E4A"/>
    <w:rsid w:val="00E22C73"/>
    <w:rsid w:val="00E234C8"/>
    <w:rsid w:val="00E24AC7"/>
    <w:rsid w:val="00E27CBD"/>
    <w:rsid w:val="00E30B8B"/>
    <w:rsid w:val="00E3121D"/>
    <w:rsid w:val="00E3142D"/>
    <w:rsid w:val="00E32A55"/>
    <w:rsid w:val="00E32C9D"/>
    <w:rsid w:val="00E33FDF"/>
    <w:rsid w:val="00E341D1"/>
    <w:rsid w:val="00E34B79"/>
    <w:rsid w:val="00E37D71"/>
    <w:rsid w:val="00E45EA6"/>
    <w:rsid w:val="00E5318F"/>
    <w:rsid w:val="00E545B4"/>
    <w:rsid w:val="00E562CE"/>
    <w:rsid w:val="00E57FEE"/>
    <w:rsid w:val="00E60BB3"/>
    <w:rsid w:val="00E65D56"/>
    <w:rsid w:val="00E70463"/>
    <w:rsid w:val="00E7119D"/>
    <w:rsid w:val="00E743D3"/>
    <w:rsid w:val="00E75131"/>
    <w:rsid w:val="00E76EDC"/>
    <w:rsid w:val="00E77E66"/>
    <w:rsid w:val="00E82685"/>
    <w:rsid w:val="00E8424B"/>
    <w:rsid w:val="00E853AA"/>
    <w:rsid w:val="00E85A24"/>
    <w:rsid w:val="00E96650"/>
    <w:rsid w:val="00E966FA"/>
    <w:rsid w:val="00EA1B02"/>
    <w:rsid w:val="00EA4EBB"/>
    <w:rsid w:val="00EA5AB3"/>
    <w:rsid w:val="00EB184D"/>
    <w:rsid w:val="00EB51E0"/>
    <w:rsid w:val="00EB5675"/>
    <w:rsid w:val="00EB5ED0"/>
    <w:rsid w:val="00EB6F10"/>
    <w:rsid w:val="00EC174C"/>
    <w:rsid w:val="00EC3F1D"/>
    <w:rsid w:val="00EC3F35"/>
    <w:rsid w:val="00EC55B5"/>
    <w:rsid w:val="00EC5F18"/>
    <w:rsid w:val="00EC64F8"/>
    <w:rsid w:val="00ED1DA2"/>
    <w:rsid w:val="00ED201E"/>
    <w:rsid w:val="00ED7A9A"/>
    <w:rsid w:val="00ED7B1C"/>
    <w:rsid w:val="00EE2B76"/>
    <w:rsid w:val="00EE5EC4"/>
    <w:rsid w:val="00EE6B70"/>
    <w:rsid w:val="00EE6DB7"/>
    <w:rsid w:val="00EF0841"/>
    <w:rsid w:val="00EF0E4B"/>
    <w:rsid w:val="00EF222D"/>
    <w:rsid w:val="00EF3CDC"/>
    <w:rsid w:val="00F017E5"/>
    <w:rsid w:val="00F02D97"/>
    <w:rsid w:val="00F0383E"/>
    <w:rsid w:val="00F050D6"/>
    <w:rsid w:val="00F06AE9"/>
    <w:rsid w:val="00F0789C"/>
    <w:rsid w:val="00F122CE"/>
    <w:rsid w:val="00F13926"/>
    <w:rsid w:val="00F13EB3"/>
    <w:rsid w:val="00F14534"/>
    <w:rsid w:val="00F16BF9"/>
    <w:rsid w:val="00F2123D"/>
    <w:rsid w:val="00F218CA"/>
    <w:rsid w:val="00F21E4E"/>
    <w:rsid w:val="00F22250"/>
    <w:rsid w:val="00F2247B"/>
    <w:rsid w:val="00F22AC0"/>
    <w:rsid w:val="00F237BD"/>
    <w:rsid w:val="00F263AB"/>
    <w:rsid w:val="00F30564"/>
    <w:rsid w:val="00F313A2"/>
    <w:rsid w:val="00F34763"/>
    <w:rsid w:val="00F356E1"/>
    <w:rsid w:val="00F37470"/>
    <w:rsid w:val="00F376C3"/>
    <w:rsid w:val="00F379ED"/>
    <w:rsid w:val="00F37D94"/>
    <w:rsid w:val="00F40227"/>
    <w:rsid w:val="00F412D0"/>
    <w:rsid w:val="00F4591F"/>
    <w:rsid w:val="00F53A01"/>
    <w:rsid w:val="00F53C75"/>
    <w:rsid w:val="00F608B2"/>
    <w:rsid w:val="00F60B4B"/>
    <w:rsid w:val="00F6227E"/>
    <w:rsid w:val="00F62915"/>
    <w:rsid w:val="00F62B63"/>
    <w:rsid w:val="00F62D04"/>
    <w:rsid w:val="00F63171"/>
    <w:rsid w:val="00F64F54"/>
    <w:rsid w:val="00F6542E"/>
    <w:rsid w:val="00F659FB"/>
    <w:rsid w:val="00F66B66"/>
    <w:rsid w:val="00F67F64"/>
    <w:rsid w:val="00F721A5"/>
    <w:rsid w:val="00F747BB"/>
    <w:rsid w:val="00F75904"/>
    <w:rsid w:val="00F75B4E"/>
    <w:rsid w:val="00F820E1"/>
    <w:rsid w:val="00F8234C"/>
    <w:rsid w:val="00F82D5C"/>
    <w:rsid w:val="00F86D19"/>
    <w:rsid w:val="00F86EFF"/>
    <w:rsid w:val="00F8726D"/>
    <w:rsid w:val="00F90FF3"/>
    <w:rsid w:val="00F91128"/>
    <w:rsid w:val="00F92320"/>
    <w:rsid w:val="00F9354C"/>
    <w:rsid w:val="00F93B75"/>
    <w:rsid w:val="00F95433"/>
    <w:rsid w:val="00F957C6"/>
    <w:rsid w:val="00F96438"/>
    <w:rsid w:val="00FA4E7E"/>
    <w:rsid w:val="00FA5A6C"/>
    <w:rsid w:val="00FA7D52"/>
    <w:rsid w:val="00FB0537"/>
    <w:rsid w:val="00FB0F9C"/>
    <w:rsid w:val="00FB1279"/>
    <w:rsid w:val="00FB1CA4"/>
    <w:rsid w:val="00FB3E00"/>
    <w:rsid w:val="00FB4D96"/>
    <w:rsid w:val="00FC1222"/>
    <w:rsid w:val="00FC39DA"/>
    <w:rsid w:val="00FC4CBF"/>
    <w:rsid w:val="00FC7910"/>
    <w:rsid w:val="00FD1D34"/>
    <w:rsid w:val="00FD3697"/>
    <w:rsid w:val="00FD4812"/>
    <w:rsid w:val="00FD56C4"/>
    <w:rsid w:val="00FD5738"/>
    <w:rsid w:val="00FD650B"/>
    <w:rsid w:val="00FE0F46"/>
    <w:rsid w:val="00FE3855"/>
    <w:rsid w:val="00FE3863"/>
    <w:rsid w:val="00FF20A3"/>
    <w:rsid w:val="00FF2145"/>
    <w:rsid w:val="00FF32A7"/>
    <w:rsid w:val="02DD27EE"/>
    <w:rsid w:val="0BFF01BD"/>
    <w:rsid w:val="0F2711AF"/>
    <w:rsid w:val="0F7E3802"/>
    <w:rsid w:val="0F7F13B3"/>
    <w:rsid w:val="1E75BAB2"/>
    <w:rsid w:val="1E7CF823"/>
    <w:rsid w:val="1EDFC9DF"/>
    <w:rsid w:val="1FD74F85"/>
    <w:rsid w:val="1FF39E30"/>
    <w:rsid w:val="267FE9DD"/>
    <w:rsid w:val="2776E066"/>
    <w:rsid w:val="27A7D83B"/>
    <w:rsid w:val="295FD002"/>
    <w:rsid w:val="2C3175CB"/>
    <w:rsid w:val="2DACEB76"/>
    <w:rsid w:val="2DFBF97C"/>
    <w:rsid w:val="39752373"/>
    <w:rsid w:val="39EEF358"/>
    <w:rsid w:val="3B78C0F3"/>
    <w:rsid w:val="3C53BA3D"/>
    <w:rsid w:val="3DE786DF"/>
    <w:rsid w:val="3DFD603B"/>
    <w:rsid w:val="3E7E6334"/>
    <w:rsid w:val="3F0F5B7D"/>
    <w:rsid w:val="3F3E6AED"/>
    <w:rsid w:val="3F7DCCFC"/>
    <w:rsid w:val="3FD7C2C6"/>
    <w:rsid w:val="3FE69991"/>
    <w:rsid w:val="3FE93E57"/>
    <w:rsid w:val="3FFD963B"/>
    <w:rsid w:val="3FFF9F63"/>
    <w:rsid w:val="4548A206"/>
    <w:rsid w:val="46FE194C"/>
    <w:rsid w:val="47738A41"/>
    <w:rsid w:val="4BBA534E"/>
    <w:rsid w:val="4D77B190"/>
    <w:rsid w:val="4EFD78C1"/>
    <w:rsid w:val="4FFF3050"/>
    <w:rsid w:val="501F2F77"/>
    <w:rsid w:val="521F7237"/>
    <w:rsid w:val="532FA7F7"/>
    <w:rsid w:val="539EEAEB"/>
    <w:rsid w:val="53DF3FF1"/>
    <w:rsid w:val="569EE58C"/>
    <w:rsid w:val="57DC319B"/>
    <w:rsid w:val="59F67429"/>
    <w:rsid w:val="5A6D2127"/>
    <w:rsid w:val="5B6F7891"/>
    <w:rsid w:val="5BDFB54C"/>
    <w:rsid w:val="5D6DE7F7"/>
    <w:rsid w:val="5D7F3298"/>
    <w:rsid w:val="5DFD36F6"/>
    <w:rsid w:val="5EDBCC6D"/>
    <w:rsid w:val="5F774D7A"/>
    <w:rsid w:val="5FEF9621"/>
    <w:rsid w:val="617FDB8D"/>
    <w:rsid w:val="69ED19CF"/>
    <w:rsid w:val="6AD988E0"/>
    <w:rsid w:val="6BFE5836"/>
    <w:rsid w:val="6DDDC389"/>
    <w:rsid w:val="6DEF487B"/>
    <w:rsid w:val="6DFE47F1"/>
    <w:rsid w:val="6E3F77F0"/>
    <w:rsid w:val="6E7717A9"/>
    <w:rsid w:val="6EA85BDA"/>
    <w:rsid w:val="6EDE2231"/>
    <w:rsid w:val="6EFD3C3B"/>
    <w:rsid w:val="6F5E4D8B"/>
    <w:rsid w:val="6FBDD30B"/>
    <w:rsid w:val="6FE75CCF"/>
    <w:rsid w:val="6FED6049"/>
    <w:rsid w:val="6FEF3708"/>
    <w:rsid w:val="6FFFA9A3"/>
    <w:rsid w:val="727F930E"/>
    <w:rsid w:val="73CEF7C6"/>
    <w:rsid w:val="73D7B077"/>
    <w:rsid w:val="777677C1"/>
    <w:rsid w:val="77F57C11"/>
    <w:rsid w:val="797E960A"/>
    <w:rsid w:val="79EECA26"/>
    <w:rsid w:val="79FF2EFF"/>
    <w:rsid w:val="7AF3BBD6"/>
    <w:rsid w:val="7B7BE628"/>
    <w:rsid w:val="7BB3D3CC"/>
    <w:rsid w:val="7BFBC678"/>
    <w:rsid w:val="7CF7D4C9"/>
    <w:rsid w:val="7D7EEBAD"/>
    <w:rsid w:val="7DDFEE0A"/>
    <w:rsid w:val="7DF4437B"/>
    <w:rsid w:val="7DFB79E7"/>
    <w:rsid w:val="7DFF2756"/>
    <w:rsid w:val="7E3B1047"/>
    <w:rsid w:val="7E7EE58C"/>
    <w:rsid w:val="7EB761F7"/>
    <w:rsid w:val="7EDD9A37"/>
    <w:rsid w:val="7EDF3DC6"/>
    <w:rsid w:val="7EEA8AB7"/>
    <w:rsid w:val="7EFFB5B7"/>
    <w:rsid w:val="7F27DB7D"/>
    <w:rsid w:val="7F5F6E3A"/>
    <w:rsid w:val="7F6AD78F"/>
    <w:rsid w:val="7F7DE161"/>
    <w:rsid w:val="7F9EBBAE"/>
    <w:rsid w:val="7FCFFADD"/>
    <w:rsid w:val="7FF314B1"/>
    <w:rsid w:val="7FF756BF"/>
    <w:rsid w:val="7FFD3771"/>
    <w:rsid w:val="7FFDFA16"/>
    <w:rsid w:val="7FFFB71C"/>
    <w:rsid w:val="8EDF7B86"/>
    <w:rsid w:val="8EF6595D"/>
    <w:rsid w:val="934F2C67"/>
    <w:rsid w:val="9C5E6109"/>
    <w:rsid w:val="9F3A5A9C"/>
    <w:rsid w:val="9F7D58B5"/>
    <w:rsid w:val="9FD2BC10"/>
    <w:rsid w:val="A7B93E3A"/>
    <w:rsid w:val="A9BE603B"/>
    <w:rsid w:val="AFCECE39"/>
    <w:rsid w:val="B7EE54E7"/>
    <w:rsid w:val="BA7B23C6"/>
    <w:rsid w:val="BCD719C1"/>
    <w:rsid w:val="BEFD19FB"/>
    <w:rsid w:val="BF3FBB93"/>
    <w:rsid w:val="BF7E8A34"/>
    <w:rsid w:val="BF7F6FAB"/>
    <w:rsid w:val="BFC34145"/>
    <w:rsid w:val="BFE94044"/>
    <w:rsid w:val="BFF7EA85"/>
    <w:rsid w:val="BFFD093A"/>
    <w:rsid w:val="CD6B6253"/>
    <w:rsid w:val="CDFF8485"/>
    <w:rsid w:val="CFF67490"/>
    <w:rsid w:val="D2BC3EFB"/>
    <w:rsid w:val="D2FBA110"/>
    <w:rsid w:val="D7E6CD97"/>
    <w:rsid w:val="D9D7043F"/>
    <w:rsid w:val="DBDDE626"/>
    <w:rsid w:val="DE7E8503"/>
    <w:rsid w:val="DEF3FBC3"/>
    <w:rsid w:val="DEF9D0EB"/>
    <w:rsid w:val="DEFE21CA"/>
    <w:rsid w:val="DF482146"/>
    <w:rsid w:val="DFF727BE"/>
    <w:rsid w:val="DFFF641B"/>
    <w:rsid w:val="E1EB83C7"/>
    <w:rsid w:val="E3D2A7B2"/>
    <w:rsid w:val="E4AF3998"/>
    <w:rsid w:val="E7094D25"/>
    <w:rsid w:val="E7DBC4DC"/>
    <w:rsid w:val="E7F5504F"/>
    <w:rsid w:val="EAF7E57C"/>
    <w:rsid w:val="ECBA8E85"/>
    <w:rsid w:val="EE6FD21D"/>
    <w:rsid w:val="EF86DBF1"/>
    <w:rsid w:val="EFDEB176"/>
    <w:rsid w:val="EFF653E0"/>
    <w:rsid w:val="EFFAAC0D"/>
    <w:rsid w:val="EFFDF26A"/>
    <w:rsid w:val="EFFF38C7"/>
    <w:rsid w:val="F27729E9"/>
    <w:rsid w:val="F3B62589"/>
    <w:rsid w:val="F56D36FB"/>
    <w:rsid w:val="F5F5013F"/>
    <w:rsid w:val="F5FB98CB"/>
    <w:rsid w:val="F6ED72FB"/>
    <w:rsid w:val="F77F15AB"/>
    <w:rsid w:val="F7F72E8F"/>
    <w:rsid w:val="F7F77D7D"/>
    <w:rsid w:val="F7FFF13D"/>
    <w:rsid w:val="F8DE83C7"/>
    <w:rsid w:val="F9BF4972"/>
    <w:rsid w:val="F9DCC036"/>
    <w:rsid w:val="FB5D1F85"/>
    <w:rsid w:val="FB6F1468"/>
    <w:rsid w:val="FBF5FE3C"/>
    <w:rsid w:val="FBFBFCDC"/>
    <w:rsid w:val="FCBF6F72"/>
    <w:rsid w:val="FCD333F8"/>
    <w:rsid w:val="FCEE2137"/>
    <w:rsid w:val="FD7187C3"/>
    <w:rsid w:val="FDBBBCAC"/>
    <w:rsid w:val="FDC7B720"/>
    <w:rsid w:val="FDF93731"/>
    <w:rsid w:val="FDFE94EC"/>
    <w:rsid w:val="FE7E5B1C"/>
    <w:rsid w:val="FEFF7578"/>
    <w:rsid w:val="FF7348EC"/>
    <w:rsid w:val="FF77AC5A"/>
    <w:rsid w:val="FF7F67D7"/>
    <w:rsid w:val="FF8F0E02"/>
    <w:rsid w:val="FF9F5912"/>
    <w:rsid w:val="FF9FCEE2"/>
    <w:rsid w:val="FFA73D2E"/>
    <w:rsid w:val="FFC7B94B"/>
    <w:rsid w:val="FFD4ACAA"/>
    <w:rsid w:val="FFEBF0FB"/>
    <w:rsid w:val="FFEDFCE9"/>
    <w:rsid w:val="FFEF1197"/>
    <w:rsid w:val="FFF7B1B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alloon Text"/>
    <w:basedOn w:val="1"/>
    <w:link w:val="11"/>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9">
    <w:name w:val="Strong"/>
    <w:qFormat/>
    <w:uiPriority w:val="22"/>
    <w:rPr>
      <w:b/>
      <w:bCs/>
    </w:rPr>
  </w:style>
  <w:style w:type="character" w:styleId="10">
    <w:name w:val="Hyperlink"/>
    <w:unhideWhenUsed/>
    <w:qFormat/>
    <w:uiPriority w:val="99"/>
    <w:rPr>
      <w:color w:val="0563C1"/>
      <w:u w:val="single"/>
    </w:rPr>
  </w:style>
  <w:style w:type="character" w:customStyle="1" w:styleId="11">
    <w:name w:val="批注框文本 Char"/>
    <w:link w:val="3"/>
    <w:semiHidden/>
    <w:qFormat/>
    <w:uiPriority w:val="99"/>
    <w:rPr>
      <w:rFonts w:ascii="Times New Roman" w:hAnsi="Times New Roman"/>
      <w:kern w:val="2"/>
      <w:sz w:val="18"/>
      <w:szCs w:val="18"/>
    </w:rPr>
  </w:style>
  <w:style w:type="character" w:customStyle="1" w:styleId="12">
    <w:name w:val="页脚 Char"/>
    <w:link w:val="4"/>
    <w:qFormat/>
    <w:uiPriority w:val="99"/>
    <w:rPr>
      <w:rFonts w:ascii="Times New Roman" w:hAnsi="Times New Roman" w:eastAsia="宋体" w:cs="Times New Roman"/>
      <w:sz w:val="18"/>
      <w:szCs w:val="18"/>
    </w:rPr>
  </w:style>
  <w:style w:type="character" w:customStyle="1" w:styleId="13">
    <w:name w:val="页眉 Char"/>
    <w:link w:val="5"/>
    <w:qFormat/>
    <w:uiPriority w:val="99"/>
    <w:rPr>
      <w:rFonts w:ascii="Times New Roman" w:hAnsi="Times New Roman"/>
      <w:kern w:val="2"/>
      <w:sz w:val="18"/>
      <w:szCs w:val="18"/>
    </w:rPr>
  </w:style>
  <w:style w:type="paragraph" w:customStyle="1" w:styleId="14">
    <w:name w:val="大标题"/>
    <w:basedOn w:val="1"/>
    <w:next w:val="1"/>
    <w:qFormat/>
    <w:uiPriority w:val="99"/>
    <w:pPr>
      <w:spacing w:line="560" w:lineRule="exact"/>
      <w:jc w:val="center"/>
      <w:outlineLvl w:val="0"/>
    </w:pPr>
    <w:rPr>
      <w:rFonts w:ascii="方正小标宋简体" w:hAnsi="宋体" w:eastAsia="方正小标宋简体" w:cs="宋体"/>
      <w:kern w:val="0"/>
      <w:sz w:val="4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6913</Words>
  <Characters>6997</Characters>
  <Lines>163</Lines>
  <Paragraphs>46</Paragraphs>
  <TotalTime>0</TotalTime>
  <ScaleCrop>false</ScaleCrop>
  <LinksUpToDate>false</LinksUpToDate>
  <CharactersWithSpaces>7030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2021-07-18T01:44:00Z</dcterms:created>
  <dc:creator>张毅</dc:creator>
  <cp:lastModifiedBy>超级小乐</cp:lastModifiedBy>
  <cp:lastPrinted>2023-12-19T17:16:00Z</cp:lastPrinted>
  <dcterms:modified xsi:type="dcterms:W3CDTF">2024-12-05T02:04:08Z</dcterms:modified>
  <cp:revision>301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A3375725C14F4CBAAA1B1F3D59EFD112_13</vt:lpwstr>
  </property>
</Properties>
</file>