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404040"/>
          <w:spacing w:val="0"/>
          <w:kern w:val="0"/>
          <w:sz w:val="36"/>
          <w:szCs w:val="36"/>
          <w:shd w:val="clear" w:fill="FFFFFF"/>
          <w:lang w:val="en-US" w:eastAsia="zh-CN" w:bidi="ar"/>
        </w:rPr>
        <w:t>门头沟区妙峰山镇人民政府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04040"/>
          <w:spacing w:val="0"/>
          <w:kern w:val="0"/>
          <w:sz w:val="36"/>
          <w:szCs w:val="36"/>
          <w:shd w:val="clear" w:fill="FFFFFF"/>
          <w:lang w:val="en-US" w:eastAsia="zh-CN" w:bidi="ar"/>
        </w:rPr>
        <w:t>2021年行政执法统计年报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一、执法主体情况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北京市门头沟区妙峰山镇人民政府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二、执法岗位设置、执法人员在岗及执法力量投入情况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结合职权事项和执法实际，设置行政执法岗位数4个，其中A类4个、B类0个。执法人员在岗4人，岗位人员关联率100%，A岗人员参与执法率100%。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三、政务服务事项办理情况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我镇行政职权事项共有436项，其中行政处罚407项、公共服务133项。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四、执法检查计划执行情况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年内共开展行政执法检查3755件，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人均检查量较2020年指标提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升264%。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五、行政处罚案件的办理情况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年内作出行政处罚152件；撤销立案0件等其他案件情况。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六、投诉、举报案件的受理和分类办理情况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2021年受理投诉举报途径主要是“12345”热线。所有投诉举报均在规定时限内办结，已向举报人回复。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七、其他需要公示的情况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  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 北京市门头沟区妙峰山镇人民政府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     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 202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年1月20日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5365B6"/>
    <w:rsid w:val="1CB31109"/>
    <w:rsid w:val="37901BE2"/>
    <w:rsid w:val="3F0B34C5"/>
    <w:rsid w:val="4F4512B3"/>
    <w:rsid w:val="5207089B"/>
    <w:rsid w:val="6A5D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周冬昆</cp:lastModifiedBy>
  <dcterms:modified xsi:type="dcterms:W3CDTF">2022-06-27T05:17:40Z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