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color w:val="auto"/>
          <w:highlight w:val="none"/>
        </w:rPr>
      </w:pPr>
      <w:r>
        <w:rPr>
          <w:rFonts w:hint="eastAsia" w:ascii="黑体" w:hAnsi="黑体" w:eastAsia="黑体" w:cs="黑体"/>
          <w:color w:val="auto"/>
          <w:sz w:val="28"/>
          <w:szCs w:val="28"/>
          <w:highlight w:val="none"/>
          <w:lang w:eastAsia="zh-CN"/>
        </w:rPr>
        <w:t>附件</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【2024.</w:t>
      </w:r>
      <w:r>
        <w:rPr>
          <w:rFonts w:hint="eastAsia" w:ascii="方正小标宋简体" w:hAnsi="方正小标宋简体" w:eastAsia="方正小标宋简体" w:cs="方正小标宋简体"/>
          <w:color w:val="auto"/>
          <w:sz w:val="32"/>
          <w:szCs w:val="32"/>
          <w:highlight w:val="none"/>
          <w:lang w:val="en-US" w:eastAsia="zh-CN"/>
        </w:rPr>
        <w:t>11优化营商环境条例</w:t>
      </w:r>
      <w:r>
        <w:rPr>
          <w:rFonts w:hint="eastAsia" w:ascii="方正小标宋简体" w:hAnsi="方正小标宋简体" w:eastAsia="方正小标宋简体" w:cs="方正小标宋简体"/>
          <w:color w:val="auto"/>
          <w:sz w:val="32"/>
          <w:szCs w:val="32"/>
          <w:highlight w:val="none"/>
          <w:lang w:eastAsia="zh-CN"/>
        </w:rPr>
        <w:t>】</w:t>
      </w: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_Toc1602836105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_Toc1602836105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_Toc452712119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_Toc452712119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_Toc741936099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_Toc741936099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_Toc1499606663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_Toc1499606663 \h </w:instrText>
          </w:r>
          <w:r>
            <w:fldChar w:fldCharType="separate"/>
          </w:r>
          <w:r>
            <w:t>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_Toc372256241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_Toc372256241 \h </w:instrText>
          </w:r>
          <w:r>
            <w:fldChar w:fldCharType="separate"/>
          </w:r>
          <w:r>
            <w:t>22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_Toc691671533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_Toc691671533 \h </w:instrText>
          </w:r>
          <w:r>
            <w:fldChar w:fldCharType="separate"/>
          </w:r>
          <w:r>
            <w:t>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_Toc1135661721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_Toc1135661721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_Toc1667986714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_Toc1667986714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_Toc1302306381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_Toc1302306381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_Toc1767916020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_Toc1767916020 \h </w:instrText>
          </w:r>
          <w:r>
            <w:fldChar w:fldCharType="separate"/>
          </w:r>
          <w:r>
            <w:t>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_Toc602477625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_Toc602477625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_Toc609275063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_Toc609275063 \h </w:instrText>
          </w:r>
          <w:r>
            <w:fldChar w:fldCharType="separate"/>
          </w:r>
          <w:r>
            <w:t>34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_Toc1532286189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_Toc1532286189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_Toc849303700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_Toc849303700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_Toc818462473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_Toc818462473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_Toc1046765687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_Toc1046765687 \h </w:instrText>
          </w:r>
          <w:r>
            <w:fldChar w:fldCharType="separate"/>
          </w:r>
          <w:r>
            <w:t>43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_Toc1547236108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_Toc1547236108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_Toc134091742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_Toc134091742 \h </w:instrText>
          </w:r>
          <w:r>
            <w:fldChar w:fldCharType="separate"/>
          </w:r>
          <w:r>
            <w:t>44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_Toc179881605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_Toc179881605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_Toc594334095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_Toc594334095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_Toc1929834617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_Toc1929834617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_Toc2132271725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_Toc2132271725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_Toc305181477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_Toc305181477 \h </w:instrText>
          </w:r>
          <w:r>
            <w:fldChar w:fldCharType="separate"/>
          </w:r>
          <w:r>
            <w:t>49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_Toc791906237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_Toc791906237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_Toc832004125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_Toc832004125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_Toc1061771209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_Toc1061771209 \h </w:instrText>
          </w:r>
          <w:r>
            <w:fldChar w:fldCharType="separate"/>
          </w:r>
          <w:r>
            <w:t>60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_Toc1082372935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_Toc1082372935 \h </w:instrText>
          </w:r>
          <w:r>
            <w:fldChar w:fldCharType="separate"/>
          </w:r>
          <w:r>
            <w:t>70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_Toc1558371630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_Toc1558371630 \h </w:instrText>
          </w:r>
          <w:r>
            <w:fldChar w:fldCharType="separate"/>
          </w:r>
          <w:r>
            <w:t>70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_Toc1502991891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_Toc1502991891 \h </w:instrText>
          </w:r>
          <w:r>
            <w:fldChar w:fldCharType="separate"/>
          </w:r>
          <w:r>
            <w:t>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_Toc876401662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_Toc876401662 \h </w:instrText>
          </w:r>
          <w:r>
            <w:fldChar w:fldCharType="separate"/>
          </w:r>
          <w:r>
            <w:t>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_Toc631679240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_Toc631679240 \h </w:instrText>
          </w:r>
          <w:r>
            <w:fldChar w:fldCharType="separate"/>
          </w:r>
          <w:r>
            <w:t>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_Toc958344348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_Toc958344348 \h </w:instrText>
          </w:r>
          <w:r>
            <w:fldChar w:fldCharType="separate"/>
          </w:r>
          <w:r>
            <w:t>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_Toc1329113782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_Toc1329113782 \h </w:instrText>
          </w:r>
          <w:r>
            <w:fldChar w:fldCharType="separate"/>
          </w:r>
          <w:r>
            <w:t>78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_Toc1373615339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_Toc1373615339 \h </w:instrText>
          </w:r>
          <w:r>
            <w:fldChar w:fldCharType="separate"/>
          </w:r>
          <w:r>
            <w:t>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_Toc310467363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_Toc310467363 \h </w:instrText>
          </w:r>
          <w:r>
            <w:fldChar w:fldCharType="separate"/>
          </w:r>
          <w:r>
            <w:t>80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_Toc1701370023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_Toc1701370023 \h </w:instrText>
          </w:r>
          <w:r>
            <w:fldChar w:fldCharType="separate"/>
          </w:r>
          <w:r>
            <w:t>80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_Toc2065286873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_Toc2065286873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_Toc1446129084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_Toc1446129084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_Toc1221873089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_Toc1221873089 \h </w:instrText>
          </w:r>
          <w:r>
            <w:fldChar w:fldCharType="separate"/>
          </w:r>
          <w:r>
            <w:t>87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_Toc1220109606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_Toc1220109606 \h </w:instrText>
          </w:r>
          <w:r>
            <w:fldChar w:fldCharType="separate"/>
          </w:r>
          <w:r>
            <w:t>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_Toc1066561457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_Toc1066561457 \h </w:instrText>
          </w:r>
          <w:r>
            <w:fldChar w:fldCharType="separate"/>
          </w:r>
          <w:r>
            <w:t>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_Toc1824350715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_Toc1824350715 \h </w:instrText>
          </w:r>
          <w:r>
            <w:fldChar w:fldCharType="separate"/>
          </w:r>
          <w:r>
            <w:t>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_Toc1829384669 </w:instrText>
          </w:r>
          <w:r>
            <w:rPr>
              <w:highlight w:val="none"/>
            </w:rPr>
            <w:fldChar w:fldCharType="separate"/>
          </w:r>
          <w:r>
            <w:rPr>
              <w:rFonts w:hint="eastAsia" w:asciiTheme="minorEastAsia" w:hAnsiTheme="minorEastAsia" w:eastAsiaTheme="minorEastAsia"/>
              <w:szCs w:val="21"/>
              <w:highlight w:val="none"/>
            </w:rPr>
            <w:t>《北京市环境噪声污染防治办法》案由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_Toc1829384669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_Toc451363998 </w:instrText>
          </w:r>
          <w:r>
            <w:rPr>
              <w:highlight w:val="none"/>
            </w:rPr>
            <w:fldChar w:fldCharType="separate"/>
          </w:r>
          <w:r>
            <w:rPr>
              <w:rFonts w:hint="eastAsia" w:asciiTheme="minorEastAsia" w:hAnsiTheme="minorEastAsia" w:eastAsiaTheme="minorEastAsia"/>
              <w:szCs w:val="21"/>
              <w:highlight w:val="none"/>
            </w:rPr>
            <w:t>《中华人民共和国噪声污染防治法》案由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_Toc451363998 \h </w:instrText>
          </w:r>
          <w:r>
            <w:fldChar w:fldCharType="separate"/>
          </w:r>
          <w:r>
            <w:t>95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_Toc526170767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_Toc526170767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_Toc500363495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_Toc500363495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_Toc1498129685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_Toc1498129685 \h </w:instrText>
          </w:r>
          <w:r>
            <w:fldChar w:fldCharType="separate"/>
          </w:r>
          <w:r>
            <w:t>98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_Toc2073406876 </w:instrText>
          </w:r>
          <w:r>
            <w:rPr>
              <w:highlight w:val="none"/>
            </w:rPr>
            <w:fldChar w:fldCharType="separate"/>
          </w:r>
          <w:r>
            <w:rPr>
              <w:rFonts w:hint="eastAsia" w:ascii="黑体" w:hAnsi="黑体" w:eastAsia="黑体"/>
              <w:szCs w:val="36"/>
              <w:highlight w:val="none"/>
            </w:rPr>
            <w:t>停车场管理方面</w:t>
          </w:r>
          <w:r>
            <w:tab/>
          </w:r>
          <w:r>
            <w:fldChar w:fldCharType="begin"/>
          </w:r>
          <w:r>
            <w:instrText xml:space="preserve"> PAGEREF _Toc2073406876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_Toc634455237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_Toc634455237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_Toc1678011290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_Toc1678011290 \h </w:instrText>
          </w:r>
          <w:r>
            <w:fldChar w:fldCharType="separate"/>
          </w:r>
          <w:r>
            <w:t>104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_Toc520257323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_Toc520257323 \h </w:instrText>
          </w:r>
          <w:r>
            <w:fldChar w:fldCharType="separate"/>
          </w:r>
          <w:r>
            <w:t>105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_Toc416806206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_Toc416806206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_Toc1662799368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_Toc1662799368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_Toc825438800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_Toc825438800 \h </w:instrText>
          </w:r>
          <w:r>
            <w:fldChar w:fldCharType="separate"/>
          </w:r>
          <w:r>
            <w:t>107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_Toc1208712443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_Toc1208712443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_Toc347319845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_Toc347319845 \h </w:instrText>
          </w:r>
          <w:r>
            <w:fldChar w:fldCharType="separate"/>
          </w:r>
          <w:r>
            <w:t>107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_Toc1887210009 </w:instrText>
          </w:r>
          <w:r>
            <w:rPr>
              <w:highlight w:val="none"/>
            </w:rPr>
            <w:fldChar w:fldCharType="separate"/>
          </w:r>
          <w:r>
            <w:rPr>
              <w:rFonts w:hint="eastAsia" w:ascii="黑体" w:hAnsi="黑体" w:eastAsia="黑体"/>
              <w:szCs w:val="36"/>
              <w:highlight w:val="none"/>
            </w:rPr>
            <w:t>城</w:t>
          </w:r>
          <w:r>
            <w:rPr>
              <w:rFonts w:hint="eastAsia" w:ascii="黑体" w:hAnsi="黑体" w:eastAsia="黑体"/>
              <w:szCs w:val="36"/>
              <w:highlight w:val="none"/>
              <w:lang w:eastAsia="zh-CN"/>
            </w:rPr>
            <w:t>乡</w:t>
          </w:r>
          <w:r>
            <w:rPr>
              <w:rFonts w:hint="eastAsia" w:ascii="黑体" w:hAnsi="黑体" w:eastAsia="黑体"/>
              <w:szCs w:val="36"/>
              <w:highlight w:val="none"/>
            </w:rPr>
            <w:t>规划管理方面</w:t>
          </w:r>
          <w:r>
            <w:tab/>
          </w:r>
          <w:r>
            <w:fldChar w:fldCharType="begin"/>
          </w:r>
          <w:r>
            <w:instrText xml:space="preserve"> PAGEREF _Toc1887210009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_Toc143601731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_Toc143601731 \h </w:instrText>
          </w:r>
          <w:r>
            <w:fldChar w:fldCharType="separate"/>
          </w:r>
          <w:r>
            <w:t>108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_Toc1905691475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_Toc1905691475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_Toc1242718252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_Toc1242718252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_Toc1020003393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_Toc1020003393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_Toc389887068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_Toc389887068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_Toc53578952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_Toc53578952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_Toc201633527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_Toc201633527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_Toc1763502407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_Toc1763502407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_Toc364046316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_Toc364046316 \h </w:instrText>
          </w:r>
          <w:r>
            <w:fldChar w:fldCharType="separate"/>
          </w:r>
          <w:r>
            <w:t>116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_Toc1903003551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_Toc1903003551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_Toc1681305632 </w:instrText>
          </w:r>
          <w:r>
            <w:rPr>
              <w:highlight w:val="none"/>
            </w:rPr>
            <w:fldChar w:fldCharType="separate"/>
          </w:r>
          <w:r>
            <w:rPr>
              <w:rFonts w:hint="eastAsia"/>
              <w:szCs w:val="21"/>
              <w:lang w:val="en-US" w:eastAsia="zh-CN"/>
            </w:rPr>
            <w:t>《北京市优化营商环境条例》案由1项</w:t>
          </w:r>
          <w:r>
            <w:tab/>
          </w:r>
          <w:r>
            <w:fldChar w:fldCharType="begin"/>
          </w:r>
          <w:r>
            <w:instrText xml:space="preserve"> PAGEREF _Toc1681305632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_Toc1810175400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_Toc1810175400 \h </w:instrText>
          </w:r>
          <w:r>
            <w:fldChar w:fldCharType="separate"/>
          </w:r>
          <w:r>
            <w:t>118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_Toc977392992 </w:instrText>
          </w:r>
          <w:r>
            <w:rPr>
              <w:highlight w:val="none"/>
            </w:rPr>
            <w:fldChar w:fldCharType="separate"/>
          </w:r>
          <w:r>
            <w:rPr>
              <w:rFonts w:hint="eastAsia"/>
              <w:b/>
              <w:bCs/>
            </w:rPr>
            <w:t>国际交往语言环境建设方面</w:t>
          </w:r>
          <w:r>
            <w:tab/>
          </w:r>
          <w:r>
            <w:fldChar w:fldCharType="begin"/>
          </w:r>
          <w:r>
            <w:instrText xml:space="preserve"> PAGEREF _Toc977392992 \h </w:instrText>
          </w:r>
          <w:r>
            <w:fldChar w:fldCharType="separate"/>
          </w:r>
          <w:r>
            <w:t>123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_Toc753931591 </w:instrText>
          </w:r>
          <w:r>
            <w:rPr>
              <w:highlight w:val="none"/>
            </w:rPr>
            <w:fldChar w:fldCharType="separate"/>
          </w:r>
          <w:r>
            <w:rPr>
              <w:rFonts w:hint="eastAsia"/>
            </w:rPr>
            <w:t>《</w:t>
          </w:r>
          <w:r>
            <w:rPr>
              <w:rFonts w:hint="eastAsia"/>
              <w:lang w:val="zh-CN"/>
            </w:rPr>
            <w:t>北京市国际交往语言环境建设条例</w:t>
          </w:r>
          <w:r>
            <w:rPr>
              <w:rFonts w:hint="eastAsia"/>
            </w:rPr>
            <w:t>》案由4项</w:t>
          </w:r>
          <w:r>
            <w:tab/>
          </w:r>
          <w:r>
            <w:fldChar w:fldCharType="begin"/>
          </w:r>
          <w:r>
            <w:instrText xml:space="preserve"> PAGEREF _Toc753931591 \h </w:instrText>
          </w:r>
          <w:r>
            <w:fldChar w:fldCharType="separate"/>
          </w:r>
          <w:r>
            <w:t>123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_Toc729253209 </w:instrText>
          </w:r>
          <w:r>
            <w:rPr>
              <w:highlight w:val="none"/>
            </w:rPr>
            <w:fldChar w:fldCharType="separate"/>
          </w:r>
          <w:r>
            <w:rPr>
              <w:rFonts w:hint="eastAsia"/>
              <w:szCs w:val="21"/>
            </w:rPr>
            <w:t>生态环境</w:t>
          </w:r>
          <w:r>
            <w:rPr>
              <w:rFonts w:hint="eastAsia"/>
              <w:szCs w:val="21"/>
              <w:lang w:eastAsia="zh-CN"/>
            </w:rPr>
            <w:t>下放</w:t>
          </w:r>
          <w:r>
            <w:rPr>
              <w:rFonts w:hint="eastAsia"/>
              <w:szCs w:val="21"/>
            </w:rPr>
            <w:t>4项</w:t>
          </w:r>
          <w:r>
            <w:tab/>
          </w:r>
          <w:r>
            <w:fldChar w:fldCharType="begin"/>
          </w:r>
          <w:r>
            <w:instrText xml:space="preserve"> PAGEREF _Toc729253209 \h </w:instrText>
          </w:r>
          <w:r>
            <w:fldChar w:fldCharType="separate"/>
          </w:r>
          <w:r>
            <w:t>124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_Toc654260059 </w:instrText>
          </w:r>
          <w:r>
            <w:rPr>
              <w:highlight w:val="none"/>
            </w:rPr>
            <w:fldChar w:fldCharType="separate"/>
          </w:r>
          <w:r>
            <w:rPr>
              <w:rFonts w:hint="eastAsia"/>
              <w:szCs w:val="21"/>
            </w:rPr>
            <w:t>水务管理方面20项</w:t>
          </w:r>
          <w:r>
            <w:tab/>
          </w:r>
          <w:r>
            <w:fldChar w:fldCharType="begin"/>
          </w:r>
          <w:r>
            <w:instrText xml:space="preserve"> PAGEREF _Toc654260059 \h </w:instrText>
          </w:r>
          <w:r>
            <w:fldChar w:fldCharType="separate"/>
          </w:r>
          <w:r>
            <w:t>125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_Toc435832612 </w:instrText>
          </w:r>
          <w:r>
            <w:rPr>
              <w:highlight w:val="none"/>
            </w:rPr>
            <w:fldChar w:fldCharType="separate"/>
          </w:r>
          <w:r>
            <w:rPr>
              <w:rFonts w:hint="eastAsia"/>
              <w:szCs w:val="21"/>
            </w:rPr>
            <w:t>农业农村</w:t>
          </w:r>
          <w:r>
            <w:rPr>
              <w:rFonts w:hint="eastAsia"/>
              <w:szCs w:val="21"/>
              <w:lang w:eastAsia="zh-CN"/>
            </w:rPr>
            <w:t>下放</w:t>
          </w:r>
          <w:r>
            <w:rPr>
              <w:rFonts w:hint="eastAsia"/>
              <w:szCs w:val="21"/>
            </w:rPr>
            <w:t>1项</w:t>
          </w:r>
          <w:r>
            <w:tab/>
          </w:r>
          <w:r>
            <w:fldChar w:fldCharType="begin"/>
          </w:r>
          <w:r>
            <w:instrText xml:space="preserve"> PAGEREF _Toc435832612 \h </w:instrText>
          </w:r>
          <w:r>
            <w:fldChar w:fldCharType="separate"/>
          </w:r>
          <w:r>
            <w:t>130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_Toc1180617207 </w:instrText>
          </w:r>
          <w:r>
            <w:rPr>
              <w:highlight w:val="none"/>
            </w:rPr>
            <w:fldChar w:fldCharType="separate"/>
          </w:r>
          <w:r>
            <w:rPr>
              <w:rFonts w:hint="eastAsia"/>
              <w:szCs w:val="21"/>
            </w:rPr>
            <w:t>卫生健康</w:t>
          </w:r>
          <w:r>
            <w:rPr>
              <w:rFonts w:hint="eastAsia"/>
              <w:szCs w:val="21"/>
              <w:lang w:eastAsia="zh-CN"/>
            </w:rPr>
            <w:t>下放</w:t>
          </w:r>
          <w:r>
            <w:rPr>
              <w:rFonts w:hint="eastAsia"/>
              <w:szCs w:val="21"/>
            </w:rPr>
            <w:t>12项</w:t>
          </w:r>
          <w:r>
            <w:tab/>
          </w:r>
          <w:r>
            <w:fldChar w:fldCharType="begin"/>
          </w:r>
          <w:r>
            <w:instrText xml:space="preserve"> PAGEREF _Toc1180617207 \h </w:instrText>
          </w:r>
          <w:r>
            <w:fldChar w:fldCharType="separate"/>
          </w:r>
          <w:r>
            <w:t>130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_Toc1180430827 </w:instrText>
          </w:r>
          <w:r>
            <w:rPr>
              <w:highlight w:val="none"/>
            </w:rPr>
            <w:fldChar w:fldCharType="separate"/>
          </w:r>
          <w:r>
            <w:rPr>
              <w:rFonts w:hint="eastAsia"/>
              <w:bCs/>
              <w:szCs w:val="21"/>
              <w:lang w:eastAsia="zh-CN"/>
            </w:rPr>
            <w:t>住房城乡建设下放</w:t>
          </w:r>
          <w:r>
            <w:rPr>
              <w:rFonts w:hint="eastAsia"/>
              <w:bCs/>
              <w:szCs w:val="21"/>
              <w:lang w:val="en-US" w:eastAsia="zh-CN"/>
            </w:rPr>
            <w:t>3项</w:t>
          </w:r>
          <w:r>
            <w:tab/>
          </w:r>
          <w:r>
            <w:fldChar w:fldCharType="begin"/>
          </w:r>
          <w:r>
            <w:instrText xml:space="preserve"> PAGEREF _Toc1180430827 \h </w:instrText>
          </w:r>
          <w:r>
            <w:fldChar w:fldCharType="separate"/>
          </w:r>
          <w:r>
            <w:t>132</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22"/>
        <w:rPr>
          <w:rFonts w:hint="eastAsia"/>
          <w:color w:val="auto"/>
          <w:highlight w:val="none"/>
        </w:rPr>
      </w:pPr>
    </w:p>
    <w:tbl>
      <w:tblPr>
        <w:tblStyle w:val="23"/>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2"/>
              <w:keepNext w:val="0"/>
              <w:keepLines w:val="0"/>
              <w:rPr>
                <w:rFonts w:ascii="黑体" w:hAnsi="黑体" w:eastAsia="黑体"/>
                <w:b w:val="0"/>
                <w:color w:val="auto"/>
                <w:sz w:val="28"/>
                <w:szCs w:val="28"/>
                <w:highlight w:val="none"/>
              </w:rPr>
            </w:pPr>
            <w:bookmarkStart w:id="0" w:name="_Toc110851435"/>
            <w:bookmarkStart w:id="1" w:name="_Toc1748547838"/>
            <w:bookmarkStart w:id="2" w:name="_Toc1602836105"/>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3"/>
              <w:widowControl w:val="0"/>
              <w:spacing w:line="232" w:lineRule="exact"/>
              <w:rPr>
                <w:rFonts w:asciiTheme="minorEastAsia" w:hAnsiTheme="minorEastAsia" w:eastAsiaTheme="minorEastAsia"/>
                <w:color w:val="auto"/>
                <w:sz w:val="15"/>
                <w:szCs w:val="15"/>
                <w:highlight w:val="none"/>
              </w:rPr>
            </w:pPr>
            <w:bookmarkStart w:id="3" w:name="_Toc1944272260"/>
            <w:bookmarkStart w:id="4" w:name="_Toc110851436"/>
            <w:bookmarkStart w:id="5" w:name="_Toc452712119"/>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7"/>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7"/>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7"/>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8"/>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2"/>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741936099"/>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.违法行为持续时间较长，垃圾产生量较</w:t>
            </w:r>
            <w:r>
              <w:rPr>
                <w:rFonts w:hint="eastAsia" w:asciiTheme="minorEastAsia" w:hAnsiTheme="minorEastAsia" w:eastAsiaTheme="minorEastAsia"/>
                <w:strike w:val="0"/>
                <w:dstrike w:val="0"/>
                <w:color w:val="auto"/>
                <w:spacing w:val="-4"/>
                <w:sz w:val="15"/>
                <w:szCs w:val="15"/>
                <w:highlight w:val="none"/>
              </w:rPr>
              <w:t>大，系数为2-4；</w:t>
            </w:r>
            <w:r>
              <w:rPr>
                <w:rFonts w:hint="eastAsia" w:asciiTheme="minorEastAsia" w:hAnsiTheme="minorEastAsia" w:eastAsiaTheme="minorEastAsia"/>
                <w:strike w:val="0"/>
                <w:dstrike w:val="0"/>
                <w:color w:val="auto"/>
                <w:spacing w:val="-4"/>
                <w:sz w:val="15"/>
                <w:szCs w:val="15"/>
                <w:highlight w:val="none"/>
                <w:lang w:val="en-US" w:eastAsia="zh-CN"/>
              </w:rPr>
              <w:t>2</w:t>
            </w:r>
            <w:r>
              <w:rPr>
                <w:rFonts w:hint="eastAsia" w:asciiTheme="minorEastAsia" w:hAnsiTheme="minorEastAsia" w:eastAsiaTheme="minorEastAsia"/>
                <w:strike w:val="0"/>
                <w:dstrike w:val="0"/>
                <w:color w:val="auto"/>
                <w:spacing w:val="-4"/>
                <w:sz w:val="15"/>
                <w:szCs w:val="15"/>
                <w:highlight w:val="none"/>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8"/>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w:t>
            </w:r>
            <w:r>
              <w:rPr>
                <w:rFonts w:hint="eastAsia" w:asciiTheme="minorEastAsia" w:hAnsiTheme="minorEastAsia" w:eastAsiaTheme="minorEastAsia"/>
                <w:color w:val="auto"/>
                <w:sz w:val="15"/>
                <w:szCs w:val="15"/>
                <w:highlight w:val="none"/>
                <w:shd w:val="clear" w:fill="FF0000"/>
                <w:lang w:eastAsia="zh-CN"/>
              </w:rPr>
              <w:t>账</w:t>
            </w:r>
            <w:r>
              <w:rPr>
                <w:rFonts w:hint="eastAsia" w:asciiTheme="minorEastAsia" w:hAnsiTheme="minorEastAsia" w:eastAsiaTheme="minorEastAsia"/>
                <w:color w:val="auto"/>
                <w:sz w:val="15"/>
                <w:szCs w:val="15"/>
                <w:highlight w:val="none"/>
              </w:rPr>
              <w:t>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499606663"/>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3"/>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372256241"/>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2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691671533"/>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8"/>
              <w:rPr>
                <w:rFonts w:hint="eastAsia" w:asciiTheme="minorEastAsia" w:hAnsiTheme="minorEastAsia" w:eastAsiaTheme="minorEastAsia"/>
                <w:color w:val="auto"/>
                <w:sz w:val="15"/>
                <w:szCs w:val="15"/>
                <w:highlight w:val="none"/>
                <w:lang w:eastAsia="zh-CN"/>
              </w:rPr>
            </w:pPr>
          </w:p>
          <w:p>
            <w:pPr>
              <w:pStyle w:val="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12078872"/>
            <w:bookmarkStart w:id="21" w:name="_Toc1135661721"/>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1667986714"/>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1302306381"/>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28" w:name="_Toc110851445"/>
            <w:bookmarkStart w:id="29" w:name="_Toc295250662"/>
            <w:bookmarkStart w:id="30" w:name="_Toc1767916020"/>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31" w:name="_Toc2072230684"/>
            <w:bookmarkStart w:id="32" w:name="_Toc110851446"/>
            <w:bookmarkStart w:id="33" w:name="_Toc602477625"/>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660874911"/>
            <w:bookmarkStart w:id="36" w:name="_Toc609275063"/>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8"/>
              <w:rPr>
                <w:rFonts w:hint="eastAsia"/>
                <w:color w:val="auto"/>
                <w:highlight w:val="none"/>
                <w:lang w:eastAsia="zh-CN"/>
              </w:rPr>
            </w:pPr>
          </w:p>
          <w:p>
            <w:pPr>
              <w:pStyle w:val="8"/>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w:t>
            </w:r>
            <w:r>
              <w:rPr>
                <w:rFonts w:hint="eastAsia" w:asciiTheme="minorEastAsia" w:hAnsiTheme="minorEastAsia" w:eastAsiaTheme="minorEastAsia"/>
                <w:color w:val="auto"/>
                <w:sz w:val="15"/>
                <w:szCs w:val="15"/>
                <w:highlight w:val="none"/>
                <w:shd w:val="clear" w:fill="FF0000"/>
                <w:lang w:eastAsia="zh-CN"/>
              </w:rPr>
              <w:t>责任</w:t>
            </w:r>
            <w:r>
              <w:rPr>
                <w:rFonts w:asciiTheme="minorEastAsia" w:hAnsiTheme="minorEastAsia" w:eastAsiaTheme="minorEastAsia"/>
                <w:color w:val="auto"/>
                <w:sz w:val="15"/>
                <w:szCs w:val="15"/>
                <w:highlight w:val="none"/>
              </w:rPr>
              <w:t>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8"/>
              <w:rPr>
                <w:rFonts w:hint="default"/>
                <w:color w:val="auto"/>
                <w:highlight w:val="none"/>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10851448"/>
            <w:bookmarkStart w:id="38" w:name="_Toc495418307"/>
            <w:bookmarkStart w:id="39" w:name="_Toc1532286189"/>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986557284"/>
            <w:bookmarkStart w:id="42" w:name="_Toc849303700"/>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818462473"/>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110851451"/>
            <w:bookmarkStart w:id="47" w:name="_Toc958675012"/>
            <w:bookmarkStart w:id="48" w:name="_Toc1046765687"/>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1547236108"/>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3"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275604405"/>
            <w:bookmarkStart w:id="53" w:name="_Toc110851453"/>
            <w:bookmarkStart w:id="54" w:name="_Toc134091742"/>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7"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2"/>
              <w:bidi w:val="0"/>
              <w:rPr>
                <w:rFonts w:ascii="黑体" w:hAnsi="黑体" w:eastAsia="黑体" w:cs="仿宋_GB2312"/>
                <w:color w:val="auto"/>
                <w:highlight w:val="none"/>
                <w:lang w:val="en"/>
              </w:rPr>
            </w:pPr>
            <w:bookmarkStart w:id="55" w:name="_Toc435705406"/>
            <w:bookmarkStart w:id="56" w:name="_Toc179881605"/>
            <w:r>
              <w:rPr>
                <w:rFonts w:hint="eastAsia" w:ascii="黑体" w:hAnsi="黑体" w:eastAsia="黑体" w:cs="黑体"/>
                <w:b w:val="0"/>
                <w:bCs w:val="0"/>
                <w:color w:val="auto"/>
                <w:highlight w:val="none"/>
              </w:rPr>
              <w:t>市政管理方面</w:t>
            </w:r>
            <w:bookmarkEnd w:id="55"/>
            <w:bookmarkEnd w:id="5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57" w:name="_Toc1018838380"/>
            <w:bookmarkStart w:id="58" w:name="_Toc594334095"/>
            <w:r>
              <w:rPr>
                <w:rFonts w:hint="eastAsia"/>
                <w:color w:val="auto"/>
                <w:sz w:val="21"/>
                <w:szCs w:val="21"/>
                <w:highlight w:val="none"/>
                <w:lang w:val="en-US" w:eastAsia="zh-CN"/>
              </w:rPr>
              <w:t>《北京市无障碍环境建设条例》案由6</w:t>
            </w:r>
            <w:bookmarkEnd w:id="57"/>
            <w:r>
              <w:rPr>
                <w:rFonts w:hint="eastAsia"/>
                <w:color w:val="auto"/>
                <w:sz w:val="21"/>
                <w:szCs w:val="21"/>
                <w:highlight w:val="none"/>
                <w:lang w:val="en-US" w:eastAsia="zh-CN"/>
              </w:rPr>
              <w:t>项</w:t>
            </w:r>
            <w:bookmark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3"/>
              <w:bidi w:val="0"/>
              <w:jc w:val="center"/>
              <w:rPr>
                <w:rFonts w:hint="default" w:ascii="宋体" w:hAnsi="宋体" w:eastAsia="宋体" w:cs="宋体"/>
                <w:color w:val="auto"/>
                <w:sz w:val="21"/>
                <w:szCs w:val="21"/>
                <w:highlight w:val="none"/>
                <w:lang w:val="en-US"/>
              </w:rPr>
            </w:pPr>
            <w:bookmarkStart w:id="59" w:name="_Toc1929834617"/>
            <w:bookmarkStart w:id="60" w:name="_Toc1038902727"/>
            <w:r>
              <w:rPr>
                <w:rFonts w:hint="eastAsia" w:ascii="宋体" w:hAnsi="宋体" w:eastAsia="宋体" w:cs="宋体"/>
                <w:color w:val="auto"/>
                <w:sz w:val="21"/>
                <w:szCs w:val="21"/>
                <w:highlight w:val="none"/>
                <w:lang w:val="en-US" w:eastAsia="zh-CN"/>
              </w:rPr>
              <w:t>《中华人民共和国无障碍环境建设法》案由2项</w:t>
            </w:r>
            <w:bookmark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3"/>
              <w:bidi w:val="0"/>
              <w:jc w:val="center"/>
              <w:rPr>
                <w:color w:val="auto"/>
                <w:highlight w:val="none"/>
              </w:rPr>
            </w:pPr>
            <w:bookmarkStart w:id="61" w:name="_Toc2132271725"/>
            <w:r>
              <w:rPr>
                <w:rFonts w:hint="eastAsia"/>
                <w:color w:val="auto"/>
                <w:sz w:val="21"/>
                <w:szCs w:val="21"/>
                <w:highlight w:val="none"/>
              </w:rPr>
              <w:t>《城市道路管理条例》《北京市城市道路管理办法》案由16项</w:t>
            </w:r>
            <w:bookmarkEnd w:id="60"/>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62" w:name="_Toc1973624040"/>
            <w:bookmarkStart w:id="63" w:name="_Toc110851455"/>
            <w:bookmarkStart w:id="64" w:name="_Toc305181477"/>
            <w:r>
              <w:rPr>
                <w:rFonts w:hint="eastAsia" w:asciiTheme="minorEastAsia" w:hAnsiTheme="minorEastAsia" w:eastAsiaTheme="minorEastAsia"/>
                <w:color w:val="auto"/>
                <w:sz w:val="21"/>
                <w:szCs w:val="21"/>
                <w:highlight w:val="none"/>
              </w:rPr>
              <w:t>《北京市地下设施检查井井盖管理规定》案由5项</w:t>
            </w:r>
            <w:bookmarkEnd w:id="62"/>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65" w:name="_Toc110851456"/>
            <w:bookmarkStart w:id="66" w:name="_Toc1693504403"/>
            <w:bookmarkStart w:id="67" w:name="_Toc791906237"/>
            <w:r>
              <w:rPr>
                <w:rFonts w:hint="eastAsia" w:ascii="黑体" w:hAnsi="黑体" w:eastAsia="黑体"/>
                <w:b w:val="0"/>
                <w:color w:val="auto"/>
                <w:sz w:val="36"/>
                <w:szCs w:val="36"/>
                <w:highlight w:val="none"/>
              </w:rPr>
              <w:t>公用事业管理方面</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68" w:name="_Toc1349825120"/>
            <w:bookmarkStart w:id="69" w:name="_Toc110851457"/>
            <w:bookmarkStart w:id="70" w:name="_Toc832004125"/>
            <w:r>
              <w:rPr>
                <w:rFonts w:hint="eastAsia" w:asciiTheme="minorEastAsia" w:hAnsiTheme="minorEastAsia" w:eastAsiaTheme="minorEastAsia"/>
                <w:color w:val="auto"/>
                <w:sz w:val="21"/>
                <w:szCs w:val="21"/>
                <w:highlight w:val="none"/>
              </w:rPr>
              <w:t>《城镇燃气管理条例》案由30项</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7"/>
              <w:rPr>
                <w:rFonts w:hint="eastAsia" w:asciiTheme="minorEastAsia" w:hAnsiTheme="minorEastAsia" w:eastAsiaTheme="minorEastAsia" w:cstheme="minorEastAsia"/>
                <w:color w:val="auto"/>
                <w:spacing w:val="-4"/>
                <w:sz w:val="15"/>
                <w:szCs w:val="15"/>
                <w:highlight w:val="yellow"/>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w:t>
            </w:r>
            <w:r>
              <w:rPr>
                <w:rFonts w:hint="eastAsia" w:asciiTheme="minorEastAsia" w:hAnsiTheme="minorEastAsia" w:eastAsiaTheme="minorEastAsia" w:cstheme="minorEastAsia"/>
                <w:sz w:val="15"/>
                <w:szCs w:val="15"/>
                <w:highlight w:val="none"/>
                <w:lang w:val="en-US" w:eastAsia="zh-CN"/>
              </w:rPr>
              <w:t>（</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一、（十七）</w:t>
            </w:r>
          </w:p>
          <w:p>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pPr>
              <w:pStyle w:val="8"/>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2"/>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w:t>
            </w:r>
            <w:r>
              <w:rPr>
                <w:rFonts w:hint="eastAsia" w:asciiTheme="minorEastAsia" w:hAnsiTheme="minorEastAsia" w:eastAsiaTheme="minorEastAsia" w:cstheme="minorEastAsia"/>
                <w:sz w:val="15"/>
                <w:szCs w:val="15"/>
                <w:highlight w:val="none"/>
                <w:lang w:val="en-US" w:eastAsia="zh-CN"/>
              </w:rPr>
              <w:t>（</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一、（二十七）</w:t>
            </w:r>
          </w:p>
          <w:p>
            <w:pPr>
              <w:pStyle w:val="8"/>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1.对 1 处一般事故隐患未采取措施消除的，处 2 万元以下的罚款；拒不执行的，对其直接负责的主管人员和其他直接责任人员处 5 万元以上 7 万元以下的罚款；</w:t>
            </w:r>
          </w:p>
          <w:p>
            <w:pPr>
              <w:pStyle w:val="8"/>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2.对 2 处一般事故隐患未采取措施消除的，处 2 万元以上 4 万元以下的罚款；拒不执行的，对其直接负责的主管人员和其他直接责任人员处 7 万元以上 9 万元以下的罚款；</w:t>
            </w:r>
          </w:p>
          <w:p>
            <w:pPr>
              <w:pStyle w:val="8"/>
              <w:rPr>
                <w:rFonts w:hint="eastAsia" w:asciiTheme="minorEastAsia" w:hAnsiTheme="minorEastAsia" w:eastAsiaTheme="minorEastAsia" w:cstheme="minorEastAsia"/>
                <w:b w:val="0"/>
                <w:bCs w:val="0"/>
                <w:sz w:val="15"/>
                <w:szCs w:val="15"/>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3.对重大事故隐患或者 3 处以上一般事故隐患未采取措施消除的，处 4 万元以上 5 万元以下的罚款；拒不执行的，对其直接负责的主管人员和其他直接责任人员处 9 万元以上 10 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1" w:name="_Toc110851458"/>
            <w:bookmarkStart w:id="72" w:name="_Toc1968530984"/>
            <w:bookmarkStart w:id="73" w:name="_Toc1061771209"/>
            <w:r>
              <w:rPr>
                <w:rFonts w:hint="eastAsia" w:asciiTheme="minorEastAsia" w:hAnsiTheme="minorEastAsia" w:eastAsiaTheme="minorEastAsia"/>
                <w:color w:val="auto"/>
                <w:sz w:val="21"/>
                <w:szCs w:val="21"/>
                <w:highlight w:val="none"/>
              </w:rPr>
              <w:t>《北京市燃气管理条例》案由26项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3"/>
              <w:widowControl w:val="0"/>
              <w:spacing w:line="232" w:lineRule="exact"/>
              <w:jc w:val="center"/>
              <w:rPr>
                <w:rFonts w:asciiTheme="minorEastAsia" w:hAnsiTheme="minorEastAsia" w:eastAsiaTheme="minorEastAsia"/>
                <w:color w:val="auto"/>
                <w:sz w:val="15"/>
                <w:szCs w:val="15"/>
                <w:highlight w:val="none"/>
              </w:rPr>
            </w:pPr>
            <w:bookmarkStart w:id="74" w:name="_Toc110851459"/>
            <w:bookmarkStart w:id="75" w:name="_Toc697937810"/>
            <w:bookmarkStart w:id="76" w:name="_Toc1082372935"/>
            <w:r>
              <w:rPr>
                <w:rFonts w:hint="eastAsia" w:asciiTheme="minorEastAsia" w:hAnsiTheme="minorEastAsia" w:eastAsiaTheme="minorEastAsia"/>
                <w:color w:val="auto"/>
                <w:sz w:val="21"/>
                <w:szCs w:val="21"/>
                <w:highlight w:val="none"/>
              </w:rPr>
              <w:t>《北京市消防条例》案由1项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7" w:name="_Toc110851460"/>
            <w:bookmarkStart w:id="78" w:name="_Toc1826085962"/>
            <w:bookmarkStart w:id="79" w:name="_Toc1558371630"/>
            <w:r>
              <w:rPr>
                <w:rFonts w:hint="eastAsia" w:asciiTheme="minorEastAsia" w:hAnsiTheme="minorEastAsia" w:eastAsiaTheme="minorEastAsia"/>
                <w:color w:val="auto"/>
                <w:sz w:val="21"/>
                <w:szCs w:val="21"/>
                <w:highlight w:val="none"/>
              </w:rPr>
              <w:t>《北京市清洁燃料车辆加气站管理规定》案由7项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使用明火检查燃气泄漏</w:t>
            </w:r>
            <w:bookmarkStart w:id="218" w:name="_GoBack"/>
            <w:bookmarkEnd w:id="218"/>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473999580"/>
            <w:bookmarkStart w:id="81" w:name="_Toc110851461"/>
            <w:bookmarkStart w:id="82" w:name="_Toc1502991891"/>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984069521"/>
            <w:bookmarkStart w:id="84" w:name="_Toc110851462"/>
            <w:bookmarkStart w:id="85" w:name="_Toc876401662"/>
            <w:r>
              <w:rPr>
                <w:rFonts w:hint="eastAsia" w:asciiTheme="minorEastAsia" w:hAnsiTheme="minorEastAsia" w:eastAsiaTheme="minorEastAsia"/>
                <w:color w:val="auto"/>
                <w:sz w:val="21"/>
                <w:szCs w:val="21"/>
                <w:highlight w:val="none"/>
              </w:rPr>
              <w:t>《北京市民用建筑节能管理办法》案由2项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6" w:name="_Toc636329439"/>
            <w:bookmarkStart w:id="87" w:name="_Toc631679240"/>
            <w:bookmarkStart w:id="88" w:name="_Toc110851463"/>
            <w:bookmarkStart w:id="89" w:name="_Toc2100881276"/>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6"/>
            <w:bookmark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pPr>
              <w:pStyle w:val="8"/>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p>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自</w:t>
            </w:r>
            <w:r>
              <w:rPr>
                <w:rFonts w:hint="eastAsia" w:cs="宋体" w:asciiTheme="minorEastAsia" w:hAnsiTheme="minorEastAsia" w:eastAsiaTheme="minorEastAsia"/>
                <w:color w:val="auto"/>
                <w:kern w:val="0"/>
                <w:sz w:val="15"/>
                <w:szCs w:val="15"/>
                <w:highlight w:val="none"/>
                <w:lang w:val="en-US" w:eastAsia="zh-CN"/>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0" w:name="_Toc958344348"/>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88"/>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1.未履行第一项至第七项中任一项职责的，处 2 万元以上 3 万元以下的罚款；逾期未改正的，处 5 万元以上 7 万元以下的罚款；</w:t>
            </w:r>
          </w:p>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2.未履行第一项至第七项中任两项职责的，处 3 万元以上 4 万元以下的罚款；逾期未改正的，处 7 万元以上 9 万元以下的罚款；</w:t>
            </w:r>
          </w:p>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3.未履行第一项至第七项中任三项以上职责的，处 4 万元以上 5 万元以下的罚款；逾期未改正的，处 9 万元以上 10 万元以下的罚款。</w:t>
            </w: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highlight w:val="none"/>
                <w:lang w:val="en-US" w:eastAsia="zh-CN"/>
              </w:rPr>
              <w:t>北京市安全生产行政处罚自由裁量基准（</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1.违反第五项、第七项中任一项职责的，并处2万元以上3万元以下的罚款；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2.同时违反第五项、第七项两项职责的，并处3万元以上5万元以下的罚款。</w:t>
            </w: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widowControl/>
              <w:suppressLineNumbers w:val="0"/>
              <w:jc w:val="left"/>
              <w:rPr>
                <w:rFonts w:ascii="宋体" w:hAnsi="宋体" w:eastAsia="宋体" w:cs="宋体"/>
                <w:kern w:val="0"/>
                <w:sz w:val="15"/>
                <w:szCs w:val="15"/>
                <w:lang w:val="en-US" w:eastAsia="zh-CN" w:bidi="ar"/>
              </w:rPr>
            </w:pPr>
            <w:r>
              <w:rPr>
                <w:rFonts w:ascii="宋体" w:hAnsi="宋体" w:eastAsia="宋体" w:cs="宋体"/>
                <w:kern w:val="0"/>
                <w:sz w:val="15"/>
                <w:szCs w:val="15"/>
                <w:lang w:val="en-US" w:eastAsia="zh-CN" w:bidi="ar"/>
              </w:rPr>
              <w:t>1.除矿山、金属冶炼、建筑施工、运输单位和危险物品的生产、经营、储存、装卸单位以外的生产经营单位，从业人员总数为 100人或者 100人以下， 未配备专职或者兼职安全生产管理人员的处 3万元以下的罚款；逾期未改正的，并处 10 万元以上 13万元以下的罚款，对其直接负责的主管人员和其他直接责任人员处2万元以上3万元以下的罚款；</w:t>
            </w:r>
          </w:p>
          <w:p>
            <w:pPr>
              <w:keepNext w:val="0"/>
              <w:keepLines w:val="0"/>
              <w:widowControl/>
              <w:suppressLineNumbers w:val="0"/>
              <w:jc w:val="left"/>
              <w:rPr>
                <w:sz w:val="15"/>
                <w:szCs w:val="15"/>
              </w:rPr>
            </w:pPr>
            <w:r>
              <w:rPr>
                <w:rFonts w:ascii="宋体" w:hAnsi="宋体" w:eastAsia="宋体" w:cs="宋体"/>
                <w:kern w:val="0"/>
                <w:sz w:val="15"/>
                <w:szCs w:val="15"/>
                <w:lang w:val="en-US" w:eastAsia="zh-CN" w:bidi="ar"/>
              </w:rPr>
              <w:t xml:space="preserve"> 2.除矿山、金属冶炼、建筑施工、运输单位和危险物品的生产、经营、储存、装卸单位以外的生产经营单位，从业人员总数超过 100 人，未设置安全生产管理机构或者未配备专职安全生产管理人员的，处3万元以上5万元以下的罚款；逾期未改正的，并处13万元以上15万元以下的罚款，对其直接负责的主管人员和其他直接责任人员处3万元以上4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leftChars="0" w:hanging="21" w:firstLineChars="0"/>
              <w:rPr>
                <w:rFonts w:hint="eastAsia" w:cs="宋体" w:asciiTheme="minorEastAsia" w:hAnsiTheme="minorEastAsia" w:eastAsiaTheme="minorEastAsia"/>
                <w:strike w:val="0"/>
                <w:dstrike w:val="0"/>
                <w:color w:val="auto"/>
                <w:kern w:val="0"/>
                <w:sz w:val="15"/>
                <w:szCs w:val="15"/>
                <w:highlight w:val="none"/>
                <w:lang w:val="en-US" w:eastAsia="zh-CN" w:bidi="ar-SA"/>
              </w:rPr>
            </w:pPr>
            <w:r>
              <w:rPr>
                <w:rFonts w:hint="eastAsia" w:cs="宋体" w:asciiTheme="minorEastAsia" w:hAnsiTheme="minorEastAsia" w:eastAsiaTheme="minorEastAsia"/>
                <w:strike/>
                <w:dstrike w:val="0"/>
                <w:color w:val="auto"/>
                <w:kern w:val="0"/>
                <w:sz w:val="15"/>
                <w:szCs w:val="15"/>
                <w:highlight w:val="none"/>
                <w:lang w:val="en-US" w:eastAsia="zh-CN" w:bidi="ar-SA"/>
              </w:rPr>
              <w:t>1</w:t>
            </w:r>
            <w:r>
              <w:rPr>
                <w:rFonts w:hint="eastAsia" w:cs="宋体" w:asciiTheme="minorEastAsia" w:hAnsiTheme="minorEastAsia" w:eastAsiaTheme="minorEastAsia"/>
                <w:strike w:val="0"/>
                <w:dstrike w:val="0"/>
                <w:color w:val="auto"/>
                <w:kern w:val="0"/>
                <w:sz w:val="15"/>
                <w:szCs w:val="15"/>
                <w:highlight w:val="none"/>
                <w:lang w:val="en-US" w:eastAsia="zh-CN" w:bidi="ar-SA"/>
              </w:rPr>
              <w:t>.未履行第一项至第七项中任一项职责的，处1万元以上2万元以下的罚款；</w:t>
            </w:r>
          </w:p>
          <w:p>
            <w:pPr>
              <w:spacing w:line="232" w:lineRule="exact"/>
              <w:ind w:left="6" w:leftChars="0" w:hanging="21" w:firstLineChars="0"/>
              <w:rPr>
                <w:rFonts w:hint="eastAsia" w:cs="宋体" w:asciiTheme="minorEastAsia" w:hAnsiTheme="minorEastAsia" w:eastAsiaTheme="minorEastAsia"/>
                <w:strike w:val="0"/>
                <w:dstrike w:val="0"/>
                <w:color w:val="auto"/>
                <w:kern w:val="0"/>
                <w:sz w:val="15"/>
                <w:szCs w:val="15"/>
                <w:highlight w:val="none"/>
                <w:lang w:val="en-US" w:eastAsia="zh-CN" w:bidi="ar-SA"/>
              </w:rPr>
            </w:pPr>
            <w:r>
              <w:rPr>
                <w:rFonts w:hint="eastAsia" w:cs="宋体" w:asciiTheme="minorEastAsia" w:hAnsiTheme="minorEastAsia" w:eastAsiaTheme="minorEastAsia"/>
                <w:strike w:val="0"/>
                <w:dstrike w:val="0"/>
                <w:color w:val="auto"/>
                <w:kern w:val="0"/>
                <w:sz w:val="15"/>
                <w:szCs w:val="15"/>
                <w:highlight w:val="none"/>
                <w:lang w:val="en-US" w:eastAsia="zh-CN" w:bidi="ar-SA"/>
              </w:rPr>
              <w:t>2.未履行第一项至第七项中任两项职责的，处2万元以上3万元以下的罚款；</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r>
              <w:rPr>
                <w:rFonts w:hint="eastAsia" w:cs="宋体" w:asciiTheme="minorEastAsia" w:hAnsiTheme="minorEastAsia" w:eastAsiaTheme="minorEastAsia"/>
                <w:strike w:val="0"/>
                <w:dstrike w:val="0"/>
                <w:color w:val="auto"/>
                <w:kern w:val="0"/>
                <w:sz w:val="15"/>
                <w:szCs w:val="15"/>
                <w:highlight w:val="none"/>
                <w:lang w:val="en-US" w:eastAsia="zh-CN" w:bidi="ar-SA"/>
              </w:rPr>
              <w:t>3.未履行第一项至第七项中任三项以上职责的，处3万元的罚款；</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按照规定对从业人员、被派遣劳动者、实习学生进行安全生产教育和培训的人数为3人以下的，处5万元以下的罚款；逾期未改正的，处10万元以上15万元以下的罚款，对其直接负责的主管人员和其他直接责任人员 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1.生产经营单位未如实记录安全生产教育和培训情况的人数为 5 人以下的，处 5 万元以下的罚款；逾期未改正的，并处 10 万元以上 15 万元以下的罚款，对其直接负责的主管人员和其他责任人员处 2 万元以上 4 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2.生产经营单位未如实记录安全生产教育和培训情况人数为 5 人以上的，处 5 万元以上 10 万元以下的罚款；逾期未改正的，并处 15 万元以上 20 万元以下的罚款，对其直接负责的主管人员和其他责任人员处 4 万元以上 5 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未在有较大危险因素的生产经营场所和有关设施、设备上设置明显的安全警示标志有5处以下的，处2万元以下的罚款；逾期未改正的，处5万元以上10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2.未在有较大危险因素的生产经营场所和有关设施、设备上设置明显的安全警示标志有5处以上10处以下的，处2万元以上 4万元以下的罚款；逾期未改正的，处10万元以上15万元以下的罚款，对其直接负责的主管人员和其他直接责任人员处 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 2万元以下的罚款。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除危险物品的生产、经营、储存、装卸单位以及矿山、金属冶炼、建筑施工、运输单位以外的生产经营单位，未建立事故隐患排查治理制度，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存在未将事故隐患排查治理情况如实记录或者未向从业人员通报情况之一的，处5万元以下的罚款；逾期未改正的，并处10万元以上15万元以下的罚款，对其直接负责的主管人员和其他直接责任人员处2万元以上4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除危险物品的生产、经营、储存、装卸单位以及矿山、金属冶炼、建筑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1.生产经营单位未按照规定向从业人员如实告知作业场所和工作岗位存在的危险因素、防范措施以及事故应急措施中的任一项安全生产事项的，处 5万元以下的罚款；逾期未改正的，并处10万元以上15万元以下的罚款，对其直接负责的主管人员和其他直接责任人员处2万元以上3万元以下的罚款；</w:t>
            </w:r>
          </w:p>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1.生产经营单位拒绝安全生产行政执法人员依法监督检查，拒不改正的，</w:t>
            </w:r>
            <w:r>
              <w:rPr>
                <w:rFonts w:hint="default" w:cs="宋体" w:asciiTheme="minorEastAsia" w:hAnsiTheme="minorEastAsia" w:eastAsiaTheme="minorEastAsia"/>
                <w:strike w:val="0"/>
                <w:dstrike w:val="0"/>
                <w:color w:val="auto"/>
                <w:kern w:val="0"/>
                <w:sz w:val="15"/>
                <w:szCs w:val="15"/>
                <w:highlight w:val="none"/>
                <w:lang w:val="en-US" w:eastAsia="zh-CN"/>
              </w:rPr>
              <w:t>处2万元以上10万元以下的罚款，对其直接负责的主管人员和其他直接责任人员处1万元的罚款；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2.生产经营单位阻碍安全生产行政执法人员依法监督检查，拒不改正的，处10万元以上20万元以下的罚款，对其直接负责的主管人员和其他直接责任人员处1万元以上2万元以下的罚款。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jc w:val="lef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无</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1" w:name="_Toc110851464"/>
            <w:bookmarkStart w:id="92" w:name="_Toc1075063771"/>
            <w:bookmarkStart w:id="93" w:name="_Toc1329113782"/>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1.经责令限期改正，主要负责人未履行其中任一项职责的，对主要负责人处2万元以上3万元以下的罚款；</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2.经责令限期改正，主要负责人未履行其中任两项以上职责的，对主要负责人处3万元以上5万元以下的罚款。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7"/>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北京市应急管理局关于印发《北京市应急管理轻微违法行为依法不予行政处罚事项清单》的通知（京应急规文〔2023〕2号）</w:t>
            </w:r>
          </w:p>
          <w:p>
            <w:pPr>
              <w:pStyle w:val="7"/>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全部具备相应“不予处罚适用条件”的，依法不予行政处罚。</w:t>
            </w: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不予处罚适用条件：</w:t>
            </w:r>
            <w:r>
              <w:rPr>
                <w:rFonts w:hint="eastAsia" w:asciiTheme="minorEastAsia" w:hAnsiTheme="minorEastAsia" w:eastAsiaTheme="minorEastAsia" w:cstheme="minorEastAsia"/>
                <w:color w:val="auto"/>
                <w:spacing w:val="-4"/>
                <w:sz w:val="15"/>
                <w:szCs w:val="15"/>
                <w:highlight w:val="none"/>
                <w:lang w:val="en-US" w:eastAsia="zh-CN"/>
              </w:rPr>
              <w:t>1.首次被发现；2.已向从业人员通报了隐患排查治理情况但未每月通报，或者就重大事故隐患的危害程度、影响范围和应急措施已向从业人员进行了公示但公示不全；3.及时改正；4.危害后果轻微。</w:t>
            </w:r>
          </w:p>
          <w:p>
            <w:pPr>
              <w:pStyle w:val="7"/>
              <w:rPr>
                <w:rFonts w:hint="eastAsia" w:asciiTheme="minorEastAsia" w:hAnsiTheme="minorEastAsia" w:eastAsiaTheme="minorEastAsia" w:cstheme="minorEastAsia"/>
                <w:color w:val="auto"/>
                <w:spacing w:val="-4"/>
                <w:sz w:val="15"/>
                <w:szCs w:val="15"/>
                <w:highlight w:val="none"/>
                <w:lang w:val="en-US" w:eastAsia="zh-CN"/>
              </w:rPr>
            </w:pPr>
          </w:p>
          <w:p>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1.存在虽向从业人员通报了隐患排查治理情况但未每月通报，或者就重大</w:t>
            </w:r>
            <w:r>
              <w:rPr>
                <w:rFonts w:hint="default" w:cs="宋体" w:asciiTheme="minorEastAsia" w:hAnsiTheme="minorEastAsia" w:eastAsiaTheme="minorEastAsia"/>
                <w:strike w:val="0"/>
                <w:dstrike w:val="0"/>
                <w:color w:val="auto"/>
                <w:kern w:val="0"/>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2.未向从业人员通报隐患排查治理情况，或者未向从业人员公示事故隐患的危害程度、影响范围和应急措施的，可以处2万元以上5万元以下的罚款；逾期未改正的，并处7万元以上10万元以下的罚款。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10851465"/>
            <w:bookmarkStart w:id="95" w:name="_Toc780858134"/>
            <w:bookmarkStart w:id="96" w:name="_Toc1373615339"/>
            <w:r>
              <w:rPr>
                <w:rFonts w:hint="eastAsia" w:asciiTheme="minorEastAsia" w:hAnsiTheme="minorEastAsia" w:eastAsiaTheme="minorEastAsia"/>
                <w:color w:val="auto"/>
                <w:sz w:val="21"/>
                <w:szCs w:val="21"/>
                <w:highlight w:val="none"/>
              </w:rPr>
              <w:t>《北京市单用途预付卡管理条例》案由7项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97" w:name="_Toc1495699393"/>
            <w:bookmarkStart w:id="98" w:name="_Toc110851466"/>
            <w:bookmarkStart w:id="99" w:name="_Toc310467363"/>
            <w:r>
              <w:rPr>
                <w:rFonts w:hint="eastAsia" w:ascii="黑体" w:hAnsi="黑体" w:eastAsia="黑体"/>
                <w:b w:val="0"/>
                <w:color w:val="auto"/>
                <w:sz w:val="36"/>
                <w:szCs w:val="36"/>
                <w:highlight w:val="none"/>
              </w:rPr>
              <w:t>园林绿化管理方面</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0" w:name="_Toc110851467"/>
            <w:bookmarkStart w:id="101" w:name="_Toc1801139429"/>
            <w:bookmarkStart w:id="102" w:name="_Toc1701370023"/>
            <w:r>
              <w:rPr>
                <w:rFonts w:hint="eastAsia" w:asciiTheme="minorEastAsia" w:hAnsiTheme="minorEastAsia" w:eastAsiaTheme="minorEastAsia"/>
                <w:color w:val="auto"/>
                <w:sz w:val="21"/>
                <w:szCs w:val="21"/>
                <w:highlight w:val="none"/>
              </w:rPr>
              <w:t>《北京市绿化条例》案由16项</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8"/>
            <w:bookmarkStart w:id="104" w:name="_Toc177791596"/>
            <w:bookmarkStart w:id="105" w:name="_Toc2065286873"/>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9"/>
            <w:bookmarkStart w:id="107" w:name="_Toc1576301640"/>
            <w:bookmarkStart w:id="108" w:name="_Toc1446129084"/>
            <w:r>
              <w:rPr>
                <w:rFonts w:hint="eastAsia" w:asciiTheme="minorEastAsia" w:hAnsiTheme="minorEastAsia" w:eastAsiaTheme="minorEastAsia"/>
                <w:color w:val="auto"/>
                <w:sz w:val="21"/>
                <w:szCs w:val="21"/>
                <w:highlight w:val="none"/>
              </w:rPr>
              <w:t>《北京市古树名木保护管理条例》案由11项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7"/>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70"/>
            <w:bookmarkStart w:id="110" w:name="_Toc465734653"/>
            <w:bookmarkStart w:id="111" w:name="_Toc1221873089"/>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2"/>
              <w:bidi w:val="0"/>
              <w:rPr>
                <w:rFonts w:ascii="黑体" w:hAnsi="黑体" w:eastAsia="黑体" w:cs="宋体"/>
                <w:color w:val="auto"/>
                <w:kern w:val="0"/>
                <w:highlight w:val="none"/>
              </w:rPr>
            </w:pPr>
            <w:bookmarkStart w:id="112" w:name="_Toc1220109606"/>
            <w:r>
              <w:rPr>
                <w:rFonts w:hint="eastAsia" w:ascii="黑体" w:hAnsi="黑体" w:eastAsia="黑体" w:cs="黑体"/>
                <w:b w:val="0"/>
                <w:bCs w:val="0"/>
                <w:color w:val="auto"/>
                <w:highlight w:val="none"/>
              </w:rPr>
              <w:t>环境保护管理方面</w:t>
            </w:r>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3" w:name="_Toc1066561457"/>
            <w:r>
              <w:rPr>
                <w:rFonts w:hint="eastAsia"/>
                <w:color w:val="auto"/>
                <w:sz w:val="21"/>
                <w:szCs w:val="21"/>
                <w:highlight w:val="none"/>
              </w:rPr>
              <w:t>《中华人民共和国大气污染防治法》案由18项</w:t>
            </w:r>
            <w:bookmarkEnd w:id="1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w:t>
            </w:r>
            <w:r>
              <w:rPr>
                <w:rFonts w:hint="eastAsia" w:asciiTheme="minorEastAsia" w:hAnsiTheme="minorEastAsia" w:eastAsiaTheme="minorEastAsia"/>
                <w:color w:val="auto"/>
                <w:sz w:val="15"/>
                <w:szCs w:val="15"/>
                <w:highlight w:val="red"/>
                <w:lang w:eastAsia="zh-CN"/>
              </w:rPr>
              <w:t>他</w:t>
            </w:r>
            <w:r>
              <w:rPr>
                <w:rFonts w:hint="eastAsia" w:asciiTheme="minorEastAsia" w:hAnsiTheme="minorEastAsia" w:eastAsiaTheme="minorEastAsia"/>
                <w:color w:val="auto"/>
                <w:sz w:val="15"/>
                <w:szCs w:val="15"/>
                <w:highlight w:val="none"/>
              </w:rPr>
              <w:t>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4" w:name="_Toc1824350715"/>
            <w:r>
              <w:rPr>
                <w:rFonts w:hint="eastAsia"/>
                <w:color w:val="auto"/>
                <w:sz w:val="21"/>
                <w:szCs w:val="21"/>
                <w:highlight w:val="none"/>
              </w:rPr>
              <w:t>《北京市大气污染防治条例》案由8项</w:t>
            </w:r>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fill="FF0000"/>
              </w:rPr>
              <w:t>在政府划定的禁止范围内露天烧烤食品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5" w:name="_Toc110851471"/>
            <w:bookmarkStart w:id="116" w:name="_Toc1745180410"/>
            <w:bookmarkStart w:id="117" w:name="_Toc1829384669"/>
            <w:r>
              <w:rPr>
                <w:rFonts w:hint="eastAsia" w:asciiTheme="minorEastAsia" w:hAnsiTheme="minorEastAsia" w:eastAsiaTheme="minorEastAsia"/>
                <w:color w:val="auto"/>
                <w:sz w:val="21"/>
                <w:szCs w:val="21"/>
                <w:highlight w:val="none"/>
              </w:rPr>
              <w:t>《北京市环境噪声污染防治办法》案由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115"/>
            <w:bookmarkEnd w:id="116"/>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18" w:name="_Toc110851472"/>
            <w:bookmarkStart w:id="119" w:name="_Toc193344115"/>
            <w:bookmarkStart w:id="120" w:name="_Toc451363998"/>
            <w:r>
              <w:rPr>
                <w:rStyle w:val="32"/>
                <w:rFonts w:hint="eastAsia" w:asciiTheme="minorEastAsia" w:hAnsiTheme="minorEastAsia" w:eastAsiaTheme="minorEastAsia"/>
                <w:color w:val="auto"/>
                <w:sz w:val="21"/>
                <w:szCs w:val="21"/>
                <w:highlight w:val="none"/>
              </w:rPr>
              <w:t>《中华人民共和国噪声污染防治法》案由</w:t>
            </w:r>
            <w:r>
              <w:rPr>
                <w:rStyle w:val="32"/>
                <w:rFonts w:hint="eastAsia" w:asciiTheme="minorEastAsia" w:hAnsiTheme="minorEastAsia" w:eastAsiaTheme="minorEastAsia"/>
                <w:color w:val="auto"/>
                <w:sz w:val="21"/>
                <w:szCs w:val="21"/>
                <w:highlight w:val="none"/>
                <w:lang w:val="en-US" w:eastAsia="zh-CN"/>
              </w:rPr>
              <w:t>6</w:t>
            </w:r>
            <w:r>
              <w:rPr>
                <w:rStyle w:val="32"/>
                <w:rFonts w:hint="eastAsia" w:asciiTheme="minorEastAsia" w:hAnsiTheme="minorEastAsia" w:eastAsiaTheme="minorEastAsia"/>
                <w:color w:val="auto"/>
                <w:sz w:val="21"/>
                <w:szCs w:val="21"/>
                <w:highlight w:val="none"/>
              </w:rPr>
              <w:t>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bookmarkStart w:id="121" w:name="_Toc110851473"/>
            <w:bookmarkStart w:id="122" w:name="_Toc760985315"/>
            <w:r>
              <w:rPr>
                <w:rFonts w:hint="eastAsia" w:cs="宋体" w:asciiTheme="minorEastAsia" w:hAnsiTheme="minorEastAsia" w:eastAsiaTheme="minorEastAsia"/>
                <w:color w:val="auto"/>
                <w:kern w:val="0"/>
                <w:sz w:val="15"/>
                <w:szCs w:val="15"/>
                <w:highlight w:val="none"/>
                <w:lang w:val="en-US" w:eastAsia="zh-CN"/>
              </w:rPr>
              <w:t>4</w:t>
            </w:r>
          </w:p>
        </w:tc>
        <w:tc>
          <w:tcPr>
            <w:tcW w:w="1500" w:type="dxa"/>
            <w:shd w:val="clear" w:color="auto" w:fill="auto"/>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04" w:type="dxa"/>
            <w:shd w:val="clear" w:color="auto" w:fill="auto"/>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或者投诉举报较多的，系数1-2;2.存在较大安全隐患或者造成社会恶劣影响的，系数3-4。</w:t>
            </w:r>
          </w:p>
        </w:tc>
        <w:tc>
          <w:tcPr>
            <w:tcW w:w="1785" w:type="dxa"/>
            <w:shd w:val="clear" w:color="auto" w:fill="auto"/>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vMerge w:val="restart"/>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p>
        </w:tc>
        <w:tc>
          <w:tcPr>
            <w:tcW w:w="17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系数2-3</w:t>
            </w:r>
            <w:r>
              <w:rPr>
                <w:rFonts w:hint="eastAsia" w:ascii="宋体" w:hAnsi="宋体" w:eastAsia="宋体"/>
                <w:color w:val="auto"/>
                <w:sz w:val="15"/>
                <w:szCs w:val="15"/>
                <w:highlight w:val="none"/>
                <w:lang w:val="en"/>
              </w:rPr>
              <w:t>。</w:t>
            </w:r>
          </w:p>
        </w:tc>
        <w:tc>
          <w:tcPr>
            <w:tcW w:w="17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《基准》“拒不改正”的情形，不纳入本案由</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vMerge w:val="restart"/>
            <w:shd w:val="clear" w:color="auto" w:fill="auto"/>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shd w:val="clear" w:color="auto" w:fill="auto"/>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2304" w:type="dxa"/>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1.大型建设工程，开工时间较长，工地位置处于人口集中区域等情形的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系数1-4</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p>
        </w:tc>
        <w:tc>
          <w:tcPr>
            <w:tcW w:w="1785" w:type="dxa"/>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p>
        </w:tc>
        <w:tc>
          <w:tcPr>
            <w:tcW w:w="1500" w:type="dxa"/>
            <w:vMerge w:val="continue"/>
            <w:shd w:val="clear" w:color="auto" w:fill="auto"/>
            <w:vAlign w:val="center"/>
          </w:tcPr>
          <w:p>
            <w:pPr>
              <w:spacing w:line="232" w:lineRule="exact"/>
              <w:rPr>
                <w:rFonts w:hint="eastAsia" w:ascii="宋体" w:hAnsi="宋体" w:eastAsia="宋体" w:cs="宋体"/>
                <w:color w:val="auto"/>
                <w:kern w:val="0"/>
                <w:sz w:val="15"/>
                <w:szCs w:val="15"/>
                <w:highlight w:val="none"/>
              </w:rPr>
            </w:pPr>
          </w:p>
        </w:tc>
        <w:tc>
          <w:tcPr>
            <w:tcW w:w="2789" w:type="dxa"/>
            <w:vMerge w:val="continue"/>
            <w:shd w:val="clear" w:color="auto" w:fill="auto"/>
            <w:vAlign w:val="center"/>
          </w:tcPr>
          <w:p>
            <w:pPr>
              <w:spacing w:line="232" w:lineRule="exact"/>
              <w:rPr>
                <w:rFonts w:hint="eastAsia" w:ascii="宋体" w:hAnsi="宋体" w:eastAsia="宋体" w:cs="宋体"/>
                <w:color w:val="auto"/>
                <w:kern w:val="0"/>
                <w:sz w:val="15"/>
                <w:szCs w:val="15"/>
                <w:highlight w:val="none"/>
              </w:rPr>
            </w:pPr>
          </w:p>
        </w:tc>
        <w:tc>
          <w:tcPr>
            <w:tcW w:w="851"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04" w:type="dxa"/>
            <w:shd w:val="clear" w:color="auto" w:fill="auto"/>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系数2-3</w:t>
            </w:r>
            <w:r>
              <w:rPr>
                <w:rFonts w:hint="eastAsia" w:ascii="宋体" w:hAnsi="宋体" w:eastAsia="宋体"/>
                <w:color w:val="auto"/>
                <w:sz w:val="15"/>
                <w:szCs w:val="15"/>
                <w:highlight w:val="none"/>
                <w:lang w:val="en"/>
              </w:rPr>
              <w:t>。</w:t>
            </w:r>
          </w:p>
        </w:tc>
        <w:tc>
          <w:tcPr>
            <w:tcW w:w="1785" w:type="dxa"/>
            <w:shd w:val="clear" w:color="auto" w:fill="auto"/>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《基准》“拒不改正”的情形，不纳入本案由</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w:t>
            </w:r>
          </w:p>
        </w:tc>
        <w:tc>
          <w:tcPr>
            <w:tcW w:w="824" w:type="dxa"/>
            <w:vMerge w:val="continue"/>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123" w:name="_Toc526170767"/>
            <w:r>
              <w:rPr>
                <w:rFonts w:hint="eastAsia" w:ascii="黑体" w:hAnsi="黑体" w:eastAsia="黑体"/>
                <w:b w:val="0"/>
                <w:color w:val="auto"/>
                <w:sz w:val="36"/>
                <w:szCs w:val="36"/>
                <w:highlight w:val="none"/>
              </w:rPr>
              <w:t>施工现场管理方面</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4" w:name="_Toc110851474"/>
            <w:bookmarkStart w:id="125" w:name="_Toc1669927446"/>
            <w:bookmarkStart w:id="126" w:name="_Toc500363495"/>
            <w:r>
              <w:rPr>
                <w:rFonts w:hint="eastAsia" w:asciiTheme="minorEastAsia" w:hAnsiTheme="minorEastAsia" w:eastAsiaTheme="minorEastAsia"/>
                <w:color w:val="auto"/>
                <w:sz w:val="21"/>
                <w:szCs w:val="21"/>
                <w:highlight w:val="none"/>
              </w:rPr>
              <w:t>《北京市大气污染防治条例》施工现场执法案由16项</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854219027"/>
            <w:bookmarkStart w:id="128" w:name="_Toc110851475"/>
            <w:bookmarkStart w:id="129" w:name="_Toc1498129685"/>
            <w:r>
              <w:rPr>
                <w:rFonts w:hint="eastAsia" w:asciiTheme="minorEastAsia" w:hAnsiTheme="minorEastAsia" w:eastAsiaTheme="minorEastAsia"/>
                <w:color w:val="auto"/>
                <w:sz w:val="21"/>
                <w:szCs w:val="21"/>
                <w:highlight w:val="none"/>
              </w:rPr>
              <w:t>《北京市建设工程施工现场管理办法》案由13项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130" w:name="_Toc1256403622"/>
            <w:bookmarkStart w:id="131" w:name="_Toc110851476"/>
            <w:bookmarkStart w:id="132" w:name="_Toc2073406876"/>
            <w:r>
              <w:rPr>
                <w:rFonts w:hint="eastAsia" w:ascii="黑体" w:hAnsi="黑体" w:eastAsia="黑体"/>
                <w:b w:val="0"/>
                <w:color w:val="auto"/>
                <w:sz w:val="36"/>
                <w:szCs w:val="36"/>
                <w:highlight w:val="none"/>
              </w:rPr>
              <w:t>停车场管理方面</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3" w:name="_Toc509001082"/>
            <w:bookmarkStart w:id="134" w:name="_Toc110851477"/>
            <w:bookmarkStart w:id="135" w:name="_Toc634455237"/>
            <w:r>
              <w:rPr>
                <w:rFonts w:hint="eastAsia" w:asciiTheme="minorEastAsia" w:hAnsiTheme="minorEastAsia" w:eastAsiaTheme="minorEastAsia"/>
                <w:color w:val="auto"/>
                <w:sz w:val="21"/>
                <w:szCs w:val="21"/>
                <w:highlight w:val="none"/>
              </w:rPr>
              <w:t>《北京市机动车停车管理办法》案由13项</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1557995543"/>
            <w:bookmarkStart w:id="137" w:name="_Toc110851478"/>
            <w:bookmarkStart w:id="138" w:name="_Toc167801129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10851479"/>
            <w:bookmarkStart w:id="140" w:name="_Toc67594986"/>
            <w:bookmarkStart w:id="141" w:name="_Toc520257323"/>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142" w:name="_Toc110851480"/>
            <w:bookmarkStart w:id="143" w:name="_Toc2072679585"/>
            <w:bookmarkStart w:id="144" w:name="_Toc416806206"/>
            <w:r>
              <w:rPr>
                <w:rFonts w:hint="eastAsia" w:ascii="黑体" w:hAnsi="黑体" w:eastAsia="黑体"/>
                <w:b w:val="0"/>
                <w:color w:val="auto"/>
                <w:sz w:val="36"/>
                <w:szCs w:val="36"/>
                <w:highlight w:val="none"/>
              </w:rPr>
              <w:t>交通运输管理方面</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5" w:name="_Toc110851481"/>
            <w:bookmarkStart w:id="146" w:name="_Toc1833599949"/>
            <w:bookmarkStart w:id="147" w:name="_Toc1662799368"/>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8" w:name="_Toc121789162"/>
            <w:bookmarkStart w:id="149" w:name="_Toc110851482"/>
            <w:bookmarkStart w:id="150" w:name="_Toc825438800"/>
            <w:r>
              <w:rPr>
                <w:rFonts w:hint="eastAsia" w:asciiTheme="minorEastAsia" w:hAnsiTheme="minorEastAsia" w:eastAsiaTheme="minorEastAsia"/>
                <w:color w:val="auto"/>
                <w:sz w:val="21"/>
                <w:szCs w:val="21"/>
                <w:highlight w:val="none"/>
              </w:rPr>
              <w:t>《北京市查处非法客运若干规定》案由2项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151" w:name="_Toc110851483"/>
            <w:bookmarkStart w:id="152" w:name="_Toc360901343"/>
            <w:bookmarkStart w:id="153" w:name="_Toc1208712443"/>
            <w:r>
              <w:rPr>
                <w:rFonts w:hint="eastAsia" w:ascii="黑体" w:hAnsi="黑体" w:eastAsia="黑体"/>
                <w:b w:val="0"/>
                <w:color w:val="auto"/>
                <w:sz w:val="36"/>
                <w:szCs w:val="36"/>
                <w:highlight w:val="none"/>
              </w:rPr>
              <w:t>市场监督管理（流动无照经营）方面</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4" w:name="_Toc704954681"/>
            <w:bookmarkStart w:id="155" w:name="_Toc110851484"/>
            <w:bookmarkStart w:id="156" w:name="_Toc347319845"/>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7" w:name="_Toc1160691890"/>
            <w:bookmarkStart w:id="158" w:name="_Toc110851485"/>
            <w:bookmarkStart w:id="159" w:name="_Toc1887210009"/>
            <w:r>
              <w:rPr>
                <w:rFonts w:hint="eastAsia" w:ascii="黑体" w:hAnsi="黑体" w:eastAsia="黑体"/>
                <w:b w:val="0"/>
                <w:color w:val="auto"/>
                <w:sz w:val="36"/>
                <w:szCs w:val="36"/>
                <w:highlight w:val="none"/>
              </w:rPr>
              <w:t>城</w:t>
            </w:r>
            <w:r>
              <w:rPr>
                <w:rFonts w:hint="eastAsia" w:ascii="黑体" w:hAnsi="黑体" w:eastAsia="黑体"/>
                <w:b w:val="0"/>
                <w:color w:val="auto"/>
                <w:sz w:val="36"/>
                <w:szCs w:val="36"/>
                <w:highlight w:val="none"/>
                <w:lang w:eastAsia="zh-CN"/>
              </w:rPr>
              <w:t>乡</w:t>
            </w:r>
            <w:r>
              <w:rPr>
                <w:rFonts w:hint="eastAsia" w:ascii="黑体" w:hAnsi="黑体" w:eastAsia="黑体"/>
                <w:b w:val="0"/>
                <w:color w:val="auto"/>
                <w:sz w:val="36"/>
                <w:szCs w:val="36"/>
                <w:highlight w:val="none"/>
              </w:rPr>
              <w:t>规划管理方面</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0" w:name="_Toc110851486"/>
            <w:bookmarkStart w:id="161" w:name="_Toc187041735"/>
            <w:bookmarkStart w:id="162" w:name="_Toc143601731"/>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163" w:name="_Toc250975437"/>
            <w:bookmarkStart w:id="164" w:name="_Toc110851487"/>
            <w:bookmarkStart w:id="165" w:name="_Toc1905691475"/>
            <w:r>
              <w:rPr>
                <w:rFonts w:hint="eastAsia" w:ascii="黑体" w:hAnsi="黑体" w:eastAsia="黑体"/>
                <w:b w:val="0"/>
                <w:color w:val="auto"/>
                <w:sz w:val="36"/>
                <w:szCs w:val="36"/>
                <w:highlight w:val="none"/>
              </w:rPr>
              <w:t>旅游管理（黑导游）方面</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6" w:name="_Toc110851488"/>
            <w:bookmarkStart w:id="167" w:name="_Toc363033362"/>
            <w:bookmarkStart w:id="168" w:name="_Toc1242718252"/>
            <w:r>
              <w:rPr>
                <w:rFonts w:hint="eastAsia" w:asciiTheme="minorEastAsia" w:hAnsiTheme="minorEastAsia" w:eastAsiaTheme="minorEastAsia"/>
                <w:color w:val="auto"/>
                <w:sz w:val="21"/>
                <w:szCs w:val="21"/>
                <w:highlight w:val="none"/>
              </w:rPr>
              <w:t>《中华人民共和国旅游法》案由1项</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2"/>
              <w:keepNext w:val="0"/>
              <w:keepLines w:val="0"/>
              <w:rPr>
                <w:rFonts w:ascii="黑体" w:hAnsi="黑体" w:eastAsia="黑体"/>
                <w:b w:val="0"/>
                <w:color w:val="auto"/>
                <w:sz w:val="36"/>
                <w:szCs w:val="36"/>
                <w:highlight w:val="none"/>
              </w:rPr>
            </w:pPr>
            <w:bookmarkStart w:id="169" w:name="_Toc8089072"/>
            <w:bookmarkStart w:id="170" w:name="_Toc110851489"/>
            <w:bookmarkStart w:id="171" w:name="_Toc1020003393"/>
            <w:r>
              <w:rPr>
                <w:rFonts w:hint="eastAsia" w:ascii="黑体" w:hAnsi="黑体" w:eastAsia="黑体"/>
                <w:b w:val="0"/>
                <w:color w:val="auto"/>
                <w:sz w:val="36"/>
                <w:szCs w:val="36"/>
                <w:highlight w:val="none"/>
              </w:rPr>
              <w:t>食品安全管理方面</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2" w:name="_Toc110851490"/>
            <w:bookmarkStart w:id="173" w:name="_Toc948913247"/>
            <w:bookmarkStart w:id="174" w:name="_Toc389887068"/>
            <w:r>
              <w:rPr>
                <w:rFonts w:hint="eastAsia" w:asciiTheme="minorEastAsia" w:hAnsiTheme="minorEastAsia" w:eastAsiaTheme="minorEastAsia"/>
                <w:color w:val="auto"/>
                <w:sz w:val="21"/>
                <w:szCs w:val="21"/>
                <w:highlight w:val="none"/>
              </w:rPr>
              <w:t>《北京市小规模食品生产经营管理规定》案由23项</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pPr>
              <w:pStyle w:val="2"/>
              <w:keepNext w:val="0"/>
              <w:keepLines w:val="0"/>
              <w:rPr>
                <w:rFonts w:ascii="黑体" w:hAnsi="黑体" w:eastAsia="黑体"/>
                <w:b w:val="0"/>
                <w:color w:val="auto"/>
                <w:sz w:val="24"/>
                <w:szCs w:val="24"/>
                <w:highlight w:val="none"/>
              </w:rPr>
            </w:pPr>
            <w:bookmarkStart w:id="175" w:name="_Toc110851491"/>
            <w:bookmarkStart w:id="176" w:name="_Toc41635676"/>
            <w:bookmarkStart w:id="177" w:name="_Toc53578952"/>
            <w:r>
              <w:rPr>
                <w:rFonts w:hint="eastAsia" w:ascii="黑体" w:hAnsi="黑体" w:eastAsia="黑体"/>
                <w:b w:val="0"/>
                <w:color w:val="auto"/>
                <w:sz w:val="36"/>
                <w:szCs w:val="36"/>
                <w:highlight w:val="none"/>
              </w:rPr>
              <w:t>能源运行管理方面</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78" w:name="_Toc110851492"/>
            <w:bookmarkStart w:id="179" w:name="_Toc1482088652"/>
            <w:bookmarkStart w:id="180" w:name="_Toc201633527"/>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1932982768"/>
            <w:bookmarkStart w:id="182" w:name="_Toc110851493"/>
            <w:bookmarkStart w:id="183" w:name="_Toc1763502407"/>
            <w:r>
              <w:rPr>
                <w:rFonts w:hint="eastAsia" w:asciiTheme="minorEastAsia" w:hAnsiTheme="minorEastAsia" w:eastAsiaTheme="minorEastAsia"/>
                <w:color w:val="auto"/>
                <w:sz w:val="21"/>
                <w:szCs w:val="21"/>
                <w:highlight w:val="none"/>
              </w:rPr>
              <w:t>《中华人民共和国可再生能源法》案由2项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4" w:name="_Toc2142516953"/>
            <w:bookmarkStart w:id="185" w:name="_Toc110851494"/>
            <w:bookmarkStart w:id="186" w:name="_Toc364046316"/>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1.使用1台（套）应当淘汰的危及生产安全的设备或者1种工艺逾期未改正的，处5万元以上10万元以下的罚款，对其直接负责的主管人员和其他直接责任人员处1万元以上2万元以下的罚款；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2.使用2台（套）应当淘汰的危及生产安全的设备或者2种工艺逾期未改正的，处10万元以上15万元以下的罚款，对其直接负责的主管人员和其他直接责任人员处1万元以上2万元以下的罚款；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3.使用3台（套）以上应当淘汰的危及生产安全的设备或者3种以上工艺逾期未改正的，处15万元以上20万元以下的罚款，对其直接负责的主管人员和其他直接责任人员处1万元以上2万元以下的罚款。</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4.逾期未改正，经责令仍拒不改正的，可予以责令停产停业整顿。</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w:t>
            </w:r>
            <w:r>
              <w:rPr>
                <w:rFonts w:hint="eastAsia" w:asciiTheme="minorEastAsia" w:hAnsiTheme="minorEastAsia" w:eastAsiaTheme="minorEastAsia"/>
                <w:color w:val="FF0000"/>
                <w:sz w:val="15"/>
                <w:szCs w:val="15"/>
                <w:highlight w:val="none"/>
              </w:rPr>
              <w:t>第</w:t>
            </w:r>
            <w:r>
              <w:rPr>
                <w:rFonts w:hint="eastAsia" w:asciiTheme="minorEastAsia" w:hAnsiTheme="minorEastAsia" w:eastAsiaTheme="minorEastAsia"/>
                <w:color w:val="FF0000"/>
                <w:sz w:val="15"/>
                <w:szCs w:val="15"/>
                <w:highlight w:val="none"/>
                <w:lang w:eastAsia="zh-CN"/>
              </w:rPr>
              <w:t>十九</w:t>
            </w:r>
            <w:r>
              <w:rPr>
                <w:rFonts w:hint="eastAsia" w:asciiTheme="minorEastAsia" w:hAnsiTheme="minorEastAsia" w:eastAsiaTheme="minorEastAsia"/>
                <w:color w:val="FF0000"/>
                <w:sz w:val="15"/>
                <w:szCs w:val="15"/>
                <w:highlight w:val="none"/>
              </w:rPr>
              <w:t>条</w:t>
            </w:r>
            <w:r>
              <w:rPr>
                <w:rFonts w:hint="eastAsia" w:asciiTheme="minorEastAsia" w:hAnsiTheme="minorEastAsia" w:eastAsiaTheme="minorEastAsia"/>
                <w:color w:val="auto"/>
                <w:sz w:val="15"/>
                <w:szCs w:val="15"/>
                <w:highlight w:val="none"/>
              </w:rPr>
              <w:t>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87" w:name="_Toc110851495"/>
            <w:bookmarkStart w:id="188" w:name="_Toc409668775"/>
            <w:bookmarkStart w:id="189" w:name="_Toc1903003551"/>
            <w:r>
              <w:rPr>
                <w:rFonts w:hint="eastAsia" w:asciiTheme="minorEastAsia" w:hAnsiTheme="minorEastAsia" w:eastAsiaTheme="minorEastAsia"/>
                <w:color w:val="auto"/>
                <w:sz w:val="21"/>
                <w:szCs w:val="21"/>
                <w:highlight w:val="none"/>
              </w:rPr>
              <w:t>《电力设施保护条例》《电力设施保护条例实施细则》案由5项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22"/>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74" w:hRule="atLeast"/>
          <w:jc w:val="center"/>
        </w:trPr>
        <w:tc>
          <w:tcPr>
            <w:tcW w:w="14218" w:type="dxa"/>
            <w:gridSpan w:val="9"/>
            <w:tcBorders>
              <w:bottom w:val="single" w:color="auto" w:sz="4" w:space="0"/>
            </w:tcBorders>
            <w:shd w:val="clear" w:color="auto" w:fill="FFFFFF"/>
            <w:vAlign w:val="center"/>
          </w:tcPr>
          <w:p>
            <w:pPr>
              <w:pStyle w:val="3"/>
              <w:bidi w:val="0"/>
              <w:jc w:val="center"/>
              <w:rPr>
                <w:rFonts w:hint="default"/>
                <w:lang w:val="en-US" w:eastAsia="zh-CN"/>
              </w:rPr>
            </w:pPr>
            <w:bookmarkStart w:id="190" w:name="_Toc1681305632"/>
            <w:r>
              <w:rPr>
                <w:rFonts w:hint="eastAsia"/>
                <w:sz w:val="21"/>
                <w:szCs w:val="21"/>
                <w:lang w:val="en-US" w:eastAsia="zh-CN"/>
              </w:rPr>
              <w:t>《北京市优化营商环境条例》案由1项</w:t>
            </w:r>
            <w:bookmarkEnd w:id="1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pStyle w:val="8"/>
              <w:jc w:val="center"/>
              <w:rPr>
                <w:rFonts w:hint="eastAsia" w:eastAsia="仿宋_GB2312"/>
                <w:sz w:val="15"/>
                <w:szCs w:val="15"/>
                <w:lang w:val="en-US" w:eastAsia="zh-CN"/>
              </w:rPr>
            </w:pPr>
            <w:r>
              <w:rPr>
                <w:rFonts w:hint="eastAsia"/>
                <w:sz w:val="15"/>
                <w:szCs w:val="15"/>
                <w:lang w:val="en-US" w:eastAsia="zh-CN"/>
              </w:rPr>
              <w:t>1</w:t>
            </w:r>
          </w:p>
        </w:tc>
        <w:tc>
          <w:tcPr>
            <w:tcW w:w="1500" w:type="dxa"/>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color w:val="auto"/>
                <w:sz w:val="15"/>
                <w:szCs w:val="15"/>
                <w:highlight w:val="none"/>
              </w:rPr>
              <w:t>供电企业年供电可靠率低于国家有关规定</w:t>
            </w:r>
          </w:p>
        </w:tc>
        <w:tc>
          <w:tcPr>
            <w:tcW w:w="2789" w:type="dxa"/>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违反</w:t>
            </w:r>
            <w:r>
              <w:rPr>
                <w:rStyle w:val="62"/>
                <w:rFonts w:hint="eastAsia" w:asciiTheme="minorEastAsia" w:hAnsiTheme="minorEastAsia" w:eastAsiaTheme="minorEastAsia" w:cstheme="minorEastAsia"/>
                <w:sz w:val="15"/>
                <w:szCs w:val="15"/>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5780" w:type="dxa"/>
            <w:gridSpan w:val="4"/>
            <w:tcBorders>
              <w:bottom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lang w:eastAsia="zh-CN"/>
              </w:rPr>
            </w:pPr>
            <w:r>
              <w:rPr>
                <w:rFonts w:hint="eastAsia" w:asciiTheme="majorEastAsia" w:hAnsiTheme="majorEastAsia" w:eastAsiaTheme="majorEastAsia" w:cstheme="majorEastAsia"/>
                <w:sz w:val="15"/>
                <w:szCs w:val="15"/>
                <w:lang w:eastAsia="zh-CN"/>
              </w:rPr>
              <w:t>《北京市城市管理委员会关于修订</w:t>
            </w:r>
            <w:r>
              <w:rPr>
                <w:rFonts w:hint="default" w:asciiTheme="majorEastAsia" w:hAnsiTheme="majorEastAsia" w:eastAsiaTheme="majorEastAsia" w:cstheme="majorEastAsia"/>
                <w:sz w:val="15"/>
                <w:szCs w:val="15"/>
                <w:lang w:val="en-US" w:eastAsia="zh-CN"/>
              </w:rPr>
              <w:t>&lt;</w:t>
            </w:r>
            <w:r>
              <w:rPr>
                <w:rFonts w:hint="eastAsia" w:asciiTheme="majorEastAsia" w:hAnsiTheme="majorEastAsia" w:eastAsiaTheme="majorEastAsia" w:cstheme="majorEastAsia"/>
                <w:sz w:val="15"/>
                <w:szCs w:val="15"/>
                <w:lang w:eastAsia="zh-CN"/>
              </w:rPr>
              <w:t>北京电网供电可靠性管制工作细则（试行）</w:t>
            </w:r>
            <w:r>
              <w:rPr>
                <w:rFonts w:hint="default" w:asciiTheme="majorEastAsia" w:hAnsiTheme="majorEastAsia" w:eastAsiaTheme="majorEastAsia" w:cstheme="majorEastAsia"/>
                <w:sz w:val="15"/>
                <w:szCs w:val="15"/>
                <w:lang w:val="en-US" w:eastAsia="zh-CN"/>
              </w:rPr>
              <w:t>&gt;</w:t>
            </w:r>
            <w:r>
              <w:rPr>
                <w:rFonts w:hint="eastAsia" w:asciiTheme="majorEastAsia" w:hAnsiTheme="majorEastAsia" w:eastAsiaTheme="majorEastAsia" w:cstheme="majorEastAsia"/>
                <w:sz w:val="15"/>
                <w:szCs w:val="15"/>
                <w:lang w:eastAsia="zh-CN"/>
              </w:rPr>
              <w:t>的通知》</w:t>
            </w:r>
            <w:r>
              <w:rPr>
                <w:rFonts w:hint="default" w:asciiTheme="majorEastAsia" w:hAnsiTheme="majorEastAsia" w:eastAsiaTheme="majorEastAsia" w:cstheme="majorEastAsia"/>
                <w:sz w:val="15"/>
                <w:szCs w:val="15"/>
                <w:lang w:val="en-US" w:eastAsia="zh-CN"/>
              </w:rPr>
              <w:t xml:space="preserve">  </w:t>
            </w:r>
            <w:r>
              <w:rPr>
                <w:rFonts w:hint="eastAsia" w:asciiTheme="majorEastAsia" w:hAnsiTheme="majorEastAsia" w:eastAsiaTheme="majorEastAsia" w:cstheme="majorEastAsia"/>
                <w:sz w:val="15"/>
                <w:szCs w:val="15"/>
              </w:rPr>
              <w:t>城市电网年供电可靠率（ASAI）</w:t>
            </w:r>
            <w:r>
              <w:rPr>
                <w:rFonts w:hint="eastAsia" w:asciiTheme="majorEastAsia" w:hAnsiTheme="majorEastAsia" w:eastAsiaTheme="majorEastAsia" w:cstheme="majorEastAsia"/>
                <w:sz w:val="15"/>
                <w:szCs w:val="15"/>
                <w:lang w:eastAsia="zh-CN"/>
              </w:rPr>
              <w:t>应</w:t>
            </w:r>
            <w:r>
              <w:rPr>
                <w:rFonts w:hint="eastAsia" w:asciiTheme="majorEastAsia" w:hAnsiTheme="majorEastAsia" w:eastAsiaTheme="majorEastAsia" w:cstheme="majorEastAsia"/>
                <w:sz w:val="15"/>
                <w:szCs w:val="15"/>
              </w:rPr>
              <w:t>高于99%（含99%），且较上年变化率在-0.002至0.002个百分点之间（含）</w:t>
            </w:r>
            <w:r>
              <w:rPr>
                <w:rFonts w:hint="eastAsia" w:asciiTheme="majorEastAsia" w:hAnsiTheme="majorEastAsia" w:eastAsiaTheme="majorEastAsia" w:cstheme="majorEastAsia"/>
                <w:sz w:val="15"/>
                <w:szCs w:val="15"/>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1.</w:t>
            </w:r>
            <w:r>
              <w:rPr>
                <w:rFonts w:hint="eastAsia" w:asciiTheme="majorEastAsia" w:hAnsiTheme="majorEastAsia" w:eastAsiaTheme="majorEastAsia" w:cstheme="majorEastAsia"/>
                <w:sz w:val="15"/>
                <w:szCs w:val="15"/>
              </w:rPr>
              <w:t>城市电网年供电可靠率（ASAI）低于上年0.002至0.004个百分点（含0.004），处罚5万元。</w:t>
            </w:r>
          </w:p>
          <w:p>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2.</w:t>
            </w:r>
            <w:r>
              <w:rPr>
                <w:rFonts w:hint="eastAsia" w:asciiTheme="majorEastAsia" w:hAnsiTheme="majorEastAsia" w:eastAsiaTheme="majorEastAsia" w:cstheme="majorEastAsia"/>
                <w:sz w:val="15"/>
                <w:szCs w:val="15"/>
              </w:rPr>
              <w:t>城市电网年供电可靠率（ASAI）低于上年0.004至0.006个百分点（含0.006），处罚20万元。</w:t>
            </w:r>
          </w:p>
          <w:p>
            <w:pPr>
              <w:spacing w:line="232" w:lineRule="exact"/>
              <w:ind w:firstLine="300" w:firstLineChars="200"/>
              <w:rPr>
                <w:rFonts w:hint="eastAsia" w:asciiTheme="minorEastAsia" w:hAnsiTheme="minorEastAsia" w:eastAsiaTheme="minorEastAsia"/>
                <w:color w:val="auto"/>
                <w:sz w:val="15"/>
                <w:szCs w:val="15"/>
                <w:highlight w:val="none"/>
              </w:rPr>
            </w:pPr>
            <w:r>
              <w:rPr>
                <w:rFonts w:hint="eastAsia" w:asciiTheme="majorEastAsia" w:hAnsiTheme="majorEastAsia" w:eastAsiaTheme="majorEastAsia" w:cstheme="majorEastAsia"/>
                <w:sz w:val="15"/>
                <w:szCs w:val="15"/>
                <w:lang w:val="en-US" w:eastAsia="zh-CN"/>
              </w:rPr>
              <w:t>3.</w:t>
            </w:r>
            <w:r>
              <w:rPr>
                <w:rFonts w:hint="eastAsia" w:asciiTheme="majorEastAsia" w:hAnsiTheme="majorEastAsia" w:eastAsiaTheme="majorEastAsia" w:cstheme="majorEastAsia"/>
                <w:sz w:val="15"/>
                <w:szCs w:val="15"/>
              </w:rPr>
              <w:t>城市电网年供电可靠率（ASAI）低于99%，或低于上年0.006个百分点以上，处罚50万元。</w:t>
            </w:r>
          </w:p>
        </w:tc>
        <w:tc>
          <w:tcPr>
            <w:tcW w:w="2385" w:type="dxa"/>
            <w:tcBorders>
              <w:bottom w:val="single" w:color="auto" w:sz="4" w:space="0"/>
            </w:tcBorders>
            <w:shd w:val="clear" w:color="auto" w:fill="FFFFFF"/>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auto"/>
                <w:sz w:val="15"/>
                <w:szCs w:val="15"/>
                <w:highlight w:val="none"/>
              </w:rPr>
            </w:pPr>
          </w:p>
        </w:tc>
        <w:tc>
          <w:tcPr>
            <w:tcW w:w="824" w:type="dxa"/>
            <w:tcBorders>
              <w:bottom w:val="single" w:color="auto" w:sz="4" w:space="0"/>
            </w:tcBorders>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229" w:type="dxa"/>
            <w:gridSpan w:val="3"/>
            <w:shd w:val="clear" w:color="auto" w:fill="auto"/>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1" w:name="_Toc110851497"/>
            <w:bookmarkStart w:id="192" w:name="_Toc1490732698"/>
            <w:bookmarkStart w:id="193" w:name="_Toc1810175400"/>
            <w:r>
              <w:rPr>
                <w:rFonts w:hint="eastAsia" w:asciiTheme="minorEastAsia" w:hAnsiTheme="minorEastAsia" w:eastAsiaTheme="minorEastAsia"/>
                <w:color w:val="auto"/>
                <w:sz w:val="21"/>
                <w:szCs w:val="21"/>
                <w:highlight w:val="none"/>
              </w:rPr>
              <w:t>《中华人民共和国石油天然气管道保护法》</w:t>
            </w:r>
            <w:bookmarkEnd w:id="191"/>
            <w:bookmarkEnd w:id="192"/>
            <w:bookmarkStart w:id="194" w:name="_Toc63324556"/>
            <w:bookmarkStart w:id="195" w:name="_Toc110851498"/>
            <w:r>
              <w:rPr>
                <w:rFonts w:hint="eastAsia" w:asciiTheme="minorEastAsia" w:hAnsiTheme="minorEastAsia" w:eastAsiaTheme="minorEastAsia"/>
                <w:color w:val="auto"/>
                <w:sz w:val="21"/>
                <w:szCs w:val="21"/>
                <w:highlight w:val="none"/>
              </w:rPr>
              <w:t>案由22项</w:t>
            </w:r>
            <w:bookmarkEnd w:id="193"/>
            <w:bookmarkEnd w:id="194"/>
            <w:bookmarkEnd w:id="195"/>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780" w:hRule="atLeast"/>
          <w:jc w:val="center"/>
        </w:trPr>
        <w:tc>
          <w:tcPr>
            <w:tcW w:w="14218" w:type="dxa"/>
            <w:gridSpan w:val="9"/>
            <w:shd w:val="clear" w:color="auto" w:fill="FFFFFF"/>
            <w:vAlign w:val="center"/>
          </w:tcPr>
          <w:p>
            <w:pPr>
              <w:pStyle w:val="2"/>
              <w:bidi w:val="0"/>
              <w:rPr>
                <w:rFonts w:hint="eastAsia" w:asciiTheme="minorEastAsia" w:hAnsiTheme="minorEastAsia" w:eastAsiaTheme="minorEastAsia"/>
                <w:color w:val="auto"/>
                <w:szCs w:val="15"/>
                <w:highlight w:val="none"/>
              </w:rPr>
            </w:pPr>
            <w:bookmarkStart w:id="196" w:name="_Toc977392992"/>
            <w:r>
              <w:rPr>
                <w:rFonts w:hint="eastAsia"/>
              </w:rPr>
              <w:t>国际交往语言环境建设方面</w:t>
            </w:r>
            <w:bookmarkEnd w:id="1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3"/>
              <w:bidi w:val="0"/>
              <w:jc w:val="center"/>
              <w:rPr>
                <w:rFonts w:hint="eastAsia" w:asciiTheme="minorEastAsia" w:hAnsiTheme="minorEastAsia" w:eastAsiaTheme="minorEastAsia"/>
                <w:color w:val="auto"/>
                <w:szCs w:val="15"/>
                <w:highlight w:val="none"/>
              </w:rPr>
            </w:pPr>
            <w:bookmarkStart w:id="197" w:name="_Toc753931591"/>
            <w:r>
              <w:rPr>
                <w:rFonts w:hint="eastAsia"/>
              </w:rPr>
              <w:t>《</w:t>
            </w:r>
            <w:r>
              <w:rPr>
                <w:rFonts w:hint="eastAsia"/>
                <w:lang w:val="zh-CN"/>
              </w:rPr>
              <w:t>北京市国际交往语言环境建设条例</w:t>
            </w:r>
            <w:r>
              <w:rPr>
                <w:rFonts w:hint="eastAsia"/>
              </w:rPr>
              <w:t>》案由4项</w:t>
            </w:r>
            <w:bookmarkEnd w:id="1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firstLineChars="0"/>
              <w:jc w:val="center"/>
              <w:rPr>
                <w:rFonts w:hint="eastAsia" w:cs="Times New Roman" w:asciiTheme="minorEastAsia" w:hAnsiTheme="minorEastAsia" w:eastAsiaTheme="minorEastAsia"/>
                <w:color w:val="auto"/>
                <w:kern w:val="2"/>
                <w:sz w:val="15"/>
                <w:szCs w:val="15"/>
                <w:highlight w:val="none"/>
                <w:lang w:val="e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spacing w:val="-4"/>
                <w:kern w:val="2"/>
                <w:sz w:val="15"/>
                <w:szCs w:val="15"/>
                <w:highlight w:val="none"/>
                <w:lang w:val="en-US" w:eastAsia="zh-CN" w:bidi="ar-SA"/>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vMerge w:val="continue"/>
            <w:shd w:val="clear" w:color="auto" w:fill="FFFFFF"/>
            <w:vAlign w:val="center"/>
          </w:tcPr>
          <w:p>
            <w:pPr>
              <w:autoSpaceDE w:val="0"/>
              <w:spacing w:line="232" w:lineRule="exact"/>
              <w:jc w:val="center"/>
              <w:rPr>
                <w:rFonts w:hint="eastAsia"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190" w:lineRule="exact"/>
              <w:rPr>
                <w:rFonts w:hint="eastAsia"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190" w:lineRule="exact"/>
              <w:rPr>
                <w:rFonts w:hint="eastAsia"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shd w:val="clear" w:color="auto" w:fill="auto"/>
            <w:vAlign w:val="center"/>
          </w:tcPr>
          <w:p>
            <w:pPr>
              <w:autoSpaceDE w:val="0"/>
              <w:spacing w:line="190" w:lineRule="exact"/>
              <w:jc w:val="center"/>
              <w:rPr>
                <w:rFonts w:hint="eastAsia"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4</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0" w:type="auto"/>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区级</w:t>
            </w:r>
          </w:p>
        </w:tc>
      </w:tr>
    </w:tbl>
    <w:p/>
    <w:tbl>
      <w:tblPr>
        <w:tblStyle w:val="23"/>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99"/>
        <w:gridCol w:w="441"/>
        <w:gridCol w:w="489"/>
        <w:gridCol w:w="1011"/>
        <w:gridCol w:w="696"/>
        <w:gridCol w:w="2093"/>
        <w:gridCol w:w="1345"/>
        <w:gridCol w:w="2490"/>
        <w:gridCol w:w="1949"/>
        <w:gridCol w:w="2"/>
        <w:gridCol w:w="697"/>
        <w:gridCol w:w="697"/>
        <w:gridCol w:w="712"/>
        <w:gridCol w:w="14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2" w:hRule="atLeast"/>
        </w:trPr>
        <w:tc>
          <w:tcPr>
            <w:tcW w:w="14329" w:type="dxa"/>
            <w:gridSpan w:val="15"/>
            <w:noWrap w:val="0"/>
            <w:vAlign w:val="center"/>
          </w:tcPr>
          <w:p>
            <w:pPr>
              <w:pStyle w:val="2"/>
              <w:bidi w:val="0"/>
              <w:rPr>
                <w:rFonts w:hint="eastAsia"/>
                <w:sz w:val="21"/>
                <w:szCs w:val="21"/>
              </w:rPr>
            </w:pPr>
            <w:bookmarkStart w:id="198" w:name="_Toc1437339030"/>
            <w:bookmarkStart w:id="199" w:name="_Toc341845612"/>
            <w:bookmarkStart w:id="200" w:name="_Toc110851502"/>
            <w:bookmarkStart w:id="201" w:name="_Toc1953583257"/>
            <w:bookmarkStart w:id="202" w:name="_Toc729253209"/>
            <w:r>
              <w:rPr>
                <w:rFonts w:hint="eastAsia"/>
                <w:sz w:val="21"/>
                <w:szCs w:val="21"/>
              </w:rPr>
              <w:t>生态环境</w:t>
            </w:r>
            <w:bookmarkEnd w:id="198"/>
            <w:r>
              <w:rPr>
                <w:rFonts w:hint="eastAsia"/>
                <w:sz w:val="21"/>
                <w:szCs w:val="21"/>
                <w:lang w:eastAsia="zh-CN"/>
              </w:rPr>
              <w:t>下放</w:t>
            </w:r>
            <w:r>
              <w:rPr>
                <w:rFonts w:hint="eastAsia"/>
                <w:sz w:val="21"/>
                <w:szCs w:val="21"/>
              </w:rPr>
              <w:t>4项</w:t>
            </w:r>
            <w:bookmarkEnd w:id="199"/>
            <w:bookmarkEnd w:id="200"/>
            <w:bookmarkEnd w:id="201"/>
            <w:bookmarkEnd w:id="202"/>
          </w:p>
          <w:p>
            <w:pPr>
              <w:jc w:val="center"/>
              <w:rPr>
                <w:rFonts w:hint="eastAsia" w:asciiTheme="minorEastAsia" w:hAnsiTheme="minorEastAsia" w:eastAsiaTheme="minorEastAsia" w:cstheme="minorEastAsia"/>
                <w:b/>
                <w:bCs/>
                <w:sz w:val="21"/>
                <w:szCs w:val="21"/>
              </w:rPr>
            </w:pPr>
          </w:p>
          <w:p>
            <w:pPr>
              <w:rPr>
                <w:rFonts w:hint="eastAsia" w:eastAsia="宋体"/>
                <w:lang w:val="en-US" w:eastAsia="zh-CN"/>
              </w:rPr>
            </w:pPr>
            <w:r>
              <w:rPr>
                <w:rFonts w:hint="eastAsia" w:asciiTheme="minorEastAsia" w:hAnsiTheme="minorEastAsia" w:eastAsiaTheme="minorEastAsia" w:cstheme="minorEastAsia"/>
                <w:lang w:val="en-US" w:eastAsia="zh-CN"/>
              </w:rPr>
              <w:t>《北京市生态环境局关于印发&lt;北京市生态环境行政处罚裁量权基准（2023年版）&gt;的通知》（京环发〔2023〕15号）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20" w:lineRule="exact"/>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服装干洗和机动车维修等</w:t>
            </w:r>
            <w:r>
              <w:rPr>
                <w:rFonts w:hint="eastAsia" w:ascii="宋体" w:hAnsi="宋体" w:eastAsia="宋体" w:cs="仿宋_GB2312"/>
                <w:kern w:val="0"/>
                <w:sz w:val="15"/>
                <w:szCs w:val="15"/>
              </w:rPr>
              <w:t>项目</w:t>
            </w:r>
            <w:r>
              <w:rPr>
                <w:rFonts w:hint="eastAsia" w:ascii="宋体" w:hAnsi="宋体" w:eastAsia="宋体" w:cs="仿宋_GB2312"/>
                <w:color w:val="000000"/>
                <w:kern w:val="0"/>
                <w:sz w:val="15"/>
                <w:szCs w:val="15"/>
                <w:lang w:bidi="ar"/>
              </w:rPr>
              <w:t>，未设置异味和废气处理装置等污染防治设施并保持正常使用</w:t>
            </w:r>
          </w:p>
        </w:tc>
        <w:tc>
          <w:tcPr>
            <w:tcW w:w="2789" w:type="dxa"/>
            <w:gridSpan w:val="2"/>
            <w:noWrap w:val="0"/>
            <w:vAlign w:val="center"/>
          </w:tcPr>
          <w:p>
            <w:pPr>
              <w:spacing w:line="220" w:lineRule="exact"/>
              <w:jc w:val="lef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《中华人民共和国大气污染防治法》违反条款：第八十四条；处罚条款：第一百二十条，责令改正，处二千元以上二万元以下的罚款；拒不改正的，责令停业整治。</w:t>
            </w:r>
          </w:p>
        </w:tc>
        <w:tc>
          <w:tcPr>
            <w:tcW w:w="5784" w:type="dxa"/>
            <w:gridSpan w:val="3"/>
            <w:noWrap w:val="0"/>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不正常使用异味和废气处理装置等净化设施0.2-1万元；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未安装或者安装后擅自拆除异味和废气净化设施1-2万元；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拒不改正的，责令停业整治。</w:t>
            </w:r>
          </w:p>
        </w:tc>
        <w:tc>
          <w:tcPr>
            <w:tcW w:w="2108" w:type="dxa"/>
            <w:gridSpan w:val="4"/>
            <w:noWrap w:val="0"/>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20" w:lineRule="exact"/>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20" w:lineRule="exact"/>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20" w:lineRule="exact"/>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20" w:lineRule="exact"/>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4"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不使用清洁能源</w:t>
            </w:r>
          </w:p>
        </w:tc>
        <w:tc>
          <w:tcPr>
            <w:tcW w:w="2789" w:type="dxa"/>
            <w:gridSpan w:val="2"/>
            <w:noWrap w:val="0"/>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《北京市大气污染防治条例》违反条款：第五十三条第三款；处罚条款：第一百零三条第二款，责令限期改正，处一万元以上十万元以下罚款。</w:t>
            </w:r>
          </w:p>
        </w:tc>
        <w:tc>
          <w:tcPr>
            <w:tcW w:w="5784" w:type="dxa"/>
            <w:gridSpan w:val="3"/>
            <w:noWrap w:val="0"/>
            <w:vAlign w:val="center"/>
          </w:tcPr>
          <w:p>
            <w:pPr>
              <w:spacing w:line="232" w:lineRule="exact"/>
              <w:rPr>
                <w:rFonts w:ascii="宋体" w:hAnsi="宋体" w:eastAsia="宋体" w:cs="仿宋_GB2312"/>
                <w:kern w:val="0"/>
                <w:sz w:val="15"/>
                <w:szCs w:val="15"/>
              </w:rPr>
            </w:pPr>
            <w:r>
              <w:rPr>
                <w:rFonts w:hint="eastAsia" w:ascii="宋体" w:hAnsi="宋体" w:eastAsia="宋体" w:cs="仿宋_GB2312"/>
                <w:kern w:val="0"/>
                <w:sz w:val="15"/>
                <w:szCs w:val="15"/>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0"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工业企业不能密闭的易产生扬尘的物料，未设置不低于堆放物高度的严密围挡，或者未采取有效覆盖措施防治扬尘污染</w:t>
            </w:r>
          </w:p>
        </w:tc>
        <w:tc>
          <w:tcPr>
            <w:tcW w:w="2789"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《北京市大气污染防治条例》违反条款：第八十二条第一款；处罚条款：第一百二十条，责令改正，处一万元以上十万元以下罚款；拒不改正的，责令停工整治或者停业整治。</w:t>
            </w:r>
          </w:p>
        </w:tc>
        <w:tc>
          <w:tcPr>
            <w:tcW w:w="5784" w:type="dxa"/>
            <w:gridSpan w:val="3"/>
            <w:noWrap w:val="0"/>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未密闭贮存易产生扬尘的物料，</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2"/>
              <w:spacing w:after="0" w:line="232" w:lineRule="exact"/>
              <w:ind w:left="0" w:leftChars="0" w:firstLine="0" w:firstLineChars="0"/>
              <w:textAlignment w:val="center"/>
              <w:rPr>
                <w:rFonts w:ascii="宋体" w:hAnsi="宋体" w:eastAsia="宋体" w:cs="仿宋_GB2312"/>
                <w:sz w:val="15"/>
                <w:szCs w:val="15"/>
              </w:rPr>
            </w:pPr>
            <w:r>
              <w:rPr>
                <w:rFonts w:hint="eastAsia" w:ascii="宋体" w:hAnsi="宋体" w:eastAsia="宋体" w:cs="仿宋_GB2312"/>
                <w:sz w:val="15"/>
                <w:szCs w:val="15"/>
              </w:rPr>
              <w:t>未设置严密围挡，或未采取有效覆盖措施防治扬尘，</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2"/>
              <w:spacing w:after="0" w:line="232" w:lineRule="exact"/>
              <w:ind w:left="0" w:leftChars="0" w:firstLine="0" w:firstLineChars="0"/>
              <w:textAlignment w:val="center"/>
              <w:rPr>
                <w:rFonts w:ascii="宋体" w:hAnsi="宋体" w:eastAsia="宋体"/>
                <w:sz w:val="15"/>
                <w:szCs w:val="15"/>
              </w:rPr>
            </w:pPr>
            <w:r>
              <w:rPr>
                <w:rFonts w:hint="eastAsia" w:ascii="宋体" w:hAnsi="宋体" w:eastAsia="宋体" w:cs="仿宋_GB2312"/>
                <w:color w:val="000000"/>
                <w:kern w:val="0"/>
                <w:sz w:val="15"/>
                <w:szCs w:val="15"/>
                <w:lang w:bidi="ar"/>
              </w:rPr>
              <w:t>拒不改正的，责令停工整治或者停业整治。</w:t>
            </w:r>
          </w:p>
        </w:tc>
        <w:tc>
          <w:tcPr>
            <w:tcW w:w="2108" w:type="dxa"/>
            <w:gridSpan w:val="4"/>
            <w:noWrap w:val="0"/>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加工、维修、餐饮、娱乐、健身、超市及其他商业服务业经营者未采取有效措施，生产经营活动产生噪声干扰周围生活环境，且拒不改正</w:t>
            </w:r>
          </w:p>
        </w:tc>
        <w:tc>
          <w:tcPr>
            <w:tcW w:w="2789"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《北京市环境噪声污染防治办法》违反条款：第三十条；处罚条款：第四十二条，责令改正；拒不改正的，处3万元以下罚款。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trPr>
        <w:tc>
          <w:tcPr>
            <w:tcW w:w="14329" w:type="dxa"/>
            <w:gridSpan w:val="15"/>
            <w:noWrap w:val="0"/>
            <w:vAlign w:val="center"/>
          </w:tcPr>
          <w:p>
            <w:pPr>
              <w:pStyle w:val="2"/>
              <w:bidi w:val="0"/>
              <w:rPr>
                <w:rFonts w:hint="eastAsia"/>
                <w:sz w:val="21"/>
                <w:szCs w:val="21"/>
              </w:rPr>
            </w:pPr>
            <w:bookmarkStart w:id="203" w:name="_Toc110851503"/>
            <w:bookmarkStart w:id="204" w:name="_Toc1642327804"/>
            <w:bookmarkStart w:id="205" w:name="_Toc1112894806"/>
            <w:bookmarkStart w:id="206" w:name="_Toc654260059"/>
            <w:r>
              <w:rPr>
                <w:rFonts w:hint="eastAsia"/>
                <w:sz w:val="21"/>
                <w:szCs w:val="21"/>
              </w:rPr>
              <w:t>水务管理方面20项</w:t>
            </w:r>
            <w:bookmarkEnd w:id="203"/>
            <w:bookmarkEnd w:id="204"/>
            <w:bookmarkEnd w:id="205"/>
            <w:bookmarkEnd w:id="206"/>
          </w:p>
          <w:p>
            <w:pPr>
              <w:rPr>
                <w:rFonts w:hint="eastAsia"/>
              </w:rPr>
            </w:pPr>
          </w:p>
          <w:p>
            <w:pPr>
              <w:rPr>
                <w:rFonts w:hint="eastAsia" w:eastAsia="宋体"/>
                <w:lang w:eastAsia="zh-CN"/>
              </w:rPr>
            </w:pPr>
            <w:r>
              <w:rPr>
                <w:rFonts w:hint="eastAsia" w:ascii="宋体" w:hAnsi="宋体" w:eastAsia="宋体"/>
                <w:sz w:val="15"/>
                <w:szCs w:val="15"/>
                <w:lang w:eastAsia="zh-CN"/>
              </w:rPr>
              <w:t>《北京市水务局关于印发</w:t>
            </w:r>
            <w:r>
              <w:rPr>
                <w:rFonts w:hint="default" w:ascii="宋体" w:hAnsi="宋体"/>
                <w:sz w:val="15"/>
                <w:szCs w:val="15"/>
                <w:lang w:val="en-US" w:eastAsia="zh-CN"/>
              </w:rPr>
              <w:t>&lt;</w:t>
            </w:r>
            <w:r>
              <w:rPr>
                <w:rFonts w:hint="eastAsia" w:ascii="宋体" w:hAnsi="宋体" w:eastAsia="宋体"/>
                <w:sz w:val="15"/>
                <w:szCs w:val="15"/>
                <w:lang w:eastAsia="zh-CN"/>
              </w:rPr>
              <w:t>北京市常用水行政处罚裁量基准表</w:t>
            </w:r>
            <w:r>
              <w:rPr>
                <w:rFonts w:hint="default" w:ascii="宋体" w:hAnsi="宋体"/>
                <w:sz w:val="15"/>
                <w:szCs w:val="15"/>
                <w:lang w:val="en-US" w:eastAsia="zh-CN"/>
              </w:rPr>
              <w:t>&gt;</w:t>
            </w:r>
            <w:r>
              <w:rPr>
                <w:rFonts w:hint="eastAsia" w:ascii="宋体" w:hAnsi="宋体" w:eastAsia="宋体"/>
                <w:sz w:val="15"/>
                <w:szCs w:val="15"/>
                <w:lang w:eastAsia="zh-CN"/>
              </w:rPr>
              <w:t>的通知》</w:t>
            </w:r>
            <w:r>
              <w:rPr>
                <w:rFonts w:hint="eastAsia" w:ascii="宋体" w:hAnsi="宋体"/>
                <w:sz w:val="15"/>
                <w:szCs w:val="15"/>
                <w:lang w:eastAsia="zh-CN"/>
              </w:rPr>
              <w:t>（京水务法〔2023〕12号）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28"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向雨水收集口、雨水管道排放或者倾倒污水、污物和垃圾等废弃物</w:t>
            </w:r>
          </w:p>
        </w:tc>
        <w:tc>
          <w:tcPr>
            <w:tcW w:w="2789" w:type="dxa"/>
            <w:gridSpan w:val="2"/>
            <w:noWrap w:val="0"/>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《北京市水污染防治条例》</w:t>
            </w:r>
          </w:p>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违反条款：第三十九条第二款；处罚条款：第八十六条，责令停止违法行为，对个人处一千元以上一万元以下的罚款；对单位处一万元以上十万元以下的罚款。</w:t>
            </w:r>
          </w:p>
        </w:tc>
        <w:tc>
          <w:tcPr>
            <w:tcW w:w="5784" w:type="dxa"/>
            <w:gridSpan w:val="3"/>
            <w:noWrap w:val="0"/>
            <w:vAlign w:val="center"/>
          </w:tcPr>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对单位：倾倒少量生活污水的，1万≤罚款额≤3万；排放或者倾倒污水污物和垃圾等废弃物，3万＜罚款额≤6</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万；排放或者倾倒污水污物和垃圾等废弃物，情节严重的，6万＜罚款额≤10万。</w:t>
            </w:r>
          </w:p>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对个人：倾倒少量生活污水的，0.1万≤罚款额≤0.3万；排放或者倾倒污水污物和垃圾等废弃物，0.3万＜罚款额≤0.6万；</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排放或者倾倒污水污物和垃圾等废弃物，情节严重的，0.6万＜罚款额≤1万。</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40"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pPr>
              <w:spacing w:line="232" w:lineRule="exact"/>
              <w:textAlignment w:val="center"/>
              <w:rPr>
                <w:rFonts w:ascii="宋体" w:hAnsi="宋体" w:eastAsia="宋体"/>
                <w:kern w:val="0"/>
                <w:sz w:val="15"/>
                <w:szCs w:val="15"/>
              </w:rPr>
            </w:pPr>
            <w:r>
              <w:rPr>
                <w:rFonts w:hint="eastAsia" w:ascii="宋体" w:hAnsi="宋体" w:eastAsia="宋体"/>
                <w:sz w:val="15"/>
                <w:szCs w:val="15"/>
              </w:rPr>
              <w:t>擅自倾倒、堆放、丢弃、遗撒污泥</w:t>
            </w:r>
          </w:p>
        </w:tc>
        <w:tc>
          <w:tcPr>
            <w:tcW w:w="2789" w:type="dxa"/>
            <w:gridSpan w:val="2"/>
            <w:noWrap w:val="0"/>
            <w:vAlign w:val="center"/>
          </w:tcPr>
          <w:p>
            <w:pPr>
              <w:spacing w:line="190" w:lineRule="exact"/>
              <w:textAlignment w:val="center"/>
              <w:rPr>
                <w:rFonts w:ascii="宋体" w:hAnsi="宋体" w:eastAsia="宋体"/>
                <w:kern w:val="0"/>
                <w:sz w:val="15"/>
                <w:szCs w:val="15"/>
              </w:rPr>
            </w:pPr>
            <w:r>
              <w:rPr>
                <w:rFonts w:hint="eastAsia" w:ascii="宋体" w:hAnsi="宋体" w:eastAsia="宋体"/>
                <w:sz w:val="15"/>
                <w:szCs w:val="15"/>
              </w:rPr>
              <w:t>《城镇排水与污水处理条例</w:t>
            </w:r>
            <w:r>
              <w:rPr>
                <w:rFonts w:hint="eastAsia" w:ascii="宋体" w:hAnsi="宋体" w:eastAsia="宋体"/>
                <w:spacing w:val="-4"/>
                <w:sz w:val="15"/>
                <w:szCs w:val="15"/>
              </w:rPr>
              <w:t>》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type="textWrapping"/>
            </w:r>
            <w:r>
              <w:rPr>
                <w:rFonts w:hint="eastAsia" w:ascii="宋体" w:hAnsi="宋体" w:eastAsia="宋体"/>
                <w:sz w:val="15"/>
                <w:szCs w:val="15"/>
              </w:rPr>
              <w:t>《中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4"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因巡查、维护不到位，导致窨井盖丢失、损毁，造成人员伤亡和财产损失</w:t>
            </w:r>
          </w:p>
        </w:tc>
        <w:tc>
          <w:tcPr>
            <w:tcW w:w="2789" w:type="dxa"/>
            <w:gridSpan w:val="2"/>
            <w:noWrap w:val="0"/>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p>
        </w:tc>
        <w:tc>
          <w:tcPr>
            <w:tcW w:w="5784" w:type="dxa"/>
            <w:gridSpan w:val="3"/>
            <w:noWrap w:val="0"/>
            <w:vAlign w:val="center"/>
          </w:tcPr>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逾期不改正，但未造成其他严重后果的，10万≤罚款额≤30万；</w:t>
            </w:r>
          </w:p>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造成财产损失的，30万＜罚款额≤40万；</w:t>
            </w:r>
          </w:p>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造成人员伤亡的，40万＜罚款额≤50万</w:t>
            </w:r>
            <w:r>
              <w:rPr>
                <w:rFonts w:ascii="宋体" w:hAnsi="宋体" w:eastAsia="宋体" w:cs="仿宋_GB2312"/>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在河湖管理范围、保护范围内围河、挖筑鱼塘、挖坑开槽、勘探或者设立线杆、线塔、无线通信塔、标识</w:t>
            </w:r>
          </w:p>
        </w:tc>
        <w:tc>
          <w:tcPr>
            <w:tcW w:w="2789" w:type="dxa"/>
            <w:gridSpan w:val="2"/>
            <w:noWrap w:val="0"/>
            <w:vAlign w:val="center"/>
          </w:tcPr>
          <w:p>
            <w:pPr>
              <w:spacing w:line="216" w:lineRule="exact"/>
              <w:textAlignment w:val="center"/>
              <w:rPr>
                <w:rFonts w:ascii="宋体" w:hAnsi="宋体" w:eastAsia="宋体"/>
                <w:sz w:val="15"/>
                <w:szCs w:val="15"/>
              </w:rPr>
            </w:pPr>
            <w:r>
              <w:rPr>
                <w:rFonts w:hint="eastAsia" w:ascii="宋体" w:hAnsi="宋体" w:eastAsia="宋体"/>
                <w:sz w:val="15"/>
                <w:szCs w:val="15"/>
              </w:rPr>
              <w:t>《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在保护范围内，1万≤罚款额≤3万；</w:t>
            </w:r>
          </w:p>
          <w:p>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在管理范围内，3万＜罚款额≤5万</w:t>
            </w:r>
            <w:r>
              <w:rPr>
                <w:rFonts w:ascii="宋体" w:hAnsi="宋体" w:eastAsia="宋体" w:cs="仿宋_GB2312"/>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r>
              <w:rPr>
                <w:rFonts w:hint="eastAsia" w:ascii="宋体" w:hAnsi="宋体" w:eastAsia="宋体" w:cs="仿宋_GB2312"/>
                <w:sz w:val="15"/>
                <w:szCs w:val="15"/>
              </w:rPr>
              <w:t>备注：危害活动同时涉及管理范围和保护范围的，按在管理范围内确定罚款额。</w:t>
            </w: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在河湖管理范围、保护范围内设置固定停车场所</w:t>
            </w:r>
          </w:p>
        </w:tc>
        <w:tc>
          <w:tcPr>
            <w:tcW w:w="2789" w:type="dxa"/>
            <w:gridSpan w:val="2"/>
            <w:noWrap w:val="0"/>
            <w:vAlign w:val="center"/>
          </w:tcPr>
          <w:p>
            <w:pPr>
              <w:spacing w:line="216" w:lineRule="exact"/>
              <w:rPr>
                <w:rFonts w:ascii="宋体" w:hAnsi="宋体" w:eastAsia="宋体"/>
                <w:sz w:val="15"/>
                <w:szCs w:val="15"/>
              </w:rPr>
            </w:pPr>
            <w:r>
              <w:rPr>
                <w:rFonts w:hint="eastAsia" w:ascii="宋体" w:hAnsi="宋体" w:eastAsia="宋体"/>
                <w:sz w:val="15"/>
                <w:szCs w:val="15"/>
              </w:rPr>
              <w:t>《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在河湖管理范围、保护范围内修路，或者修建园林小品、管理房及其附属设施</w:t>
            </w:r>
          </w:p>
        </w:tc>
        <w:tc>
          <w:tcPr>
            <w:tcW w:w="2789" w:type="dxa"/>
            <w:gridSpan w:val="2"/>
            <w:noWrap w:val="0"/>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在河湖管理范围、保护范围内进行河道改线、开挖人工湖泊</w:t>
            </w:r>
          </w:p>
        </w:tc>
        <w:tc>
          <w:tcPr>
            <w:tcW w:w="2789" w:type="dxa"/>
            <w:gridSpan w:val="2"/>
            <w:noWrap w:val="0"/>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毁坏或者拆除保护名录中的水工建筑物、构筑物、遗址</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《北京市河湖保护管理条例》违反条款：第二十四条第二款；处罚条款：第四十二条，责令其停止违法行为，限期恢复原状，处10万元以上50万元以下的罚款。</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开展水上旅游项目或者其他利用活动时使用以柴油、汽油为动力的游船</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《北京市河湖保护管理条例》违反条款：第三十一条第一款；处罚条款：第四十四条第一款，责令停止违法行为，限期改正，处8000元以上8万元以下的罚款；造成损失的，依法赔偿损失或者采取补救措施。</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未经批准擅自利用河湖进行开发利用活动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《北京市河湖保护管理条例》违反条款：第三十一条第二款；处罚条款：第四十四条第二款，责令停止违法行为，限期改正，处2万元以上10万元以下的罚款。</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在地表饮用水水源一级保护区的水域内垂钓</w:t>
            </w:r>
          </w:p>
        </w:tc>
        <w:tc>
          <w:tcPr>
            <w:tcW w:w="2789" w:type="dxa"/>
            <w:gridSpan w:val="2"/>
            <w:noWrap w:val="0"/>
            <w:vAlign w:val="center"/>
          </w:tcPr>
          <w:p>
            <w:pPr>
              <w:spacing w:line="212" w:lineRule="exact"/>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noWrap w:val="0"/>
            <w:vAlign w:val="center"/>
          </w:tcPr>
          <w:p>
            <w:pPr>
              <w:spacing w:line="212" w:lineRule="exact"/>
              <w:rPr>
                <w:rFonts w:ascii="宋体" w:hAnsi="宋体" w:eastAsia="宋体"/>
                <w:sz w:val="15"/>
                <w:szCs w:val="15"/>
              </w:rPr>
            </w:pPr>
            <w:r>
              <w:rPr>
                <w:rFonts w:hint="eastAsia" w:ascii="宋体" w:hAnsi="宋体" w:eastAsia="宋体"/>
                <w:sz w:val="15"/>
                <w:szCs w:val="15"/>
              </w:rPr>
              <w:t>在堤防和护堤地，从事放牧、葬坟、晒粮、开渠、打井、挖窖、取土、存放物料、开办集市贸易、开采地下资源、进行考古发掘等活动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13</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在堤防上及大型渠道内垦</w:t>
            </w:r>
            <w:r>
              <w:rPr>
                <w:rFonts w:hint="eastAsia" w:ascii="宋体" w:hAnsi="宋体" w:eastAsia="宋体"/>
                <w:sz w:val="15"/>
                <w:szCs w:val="15"/>
                <w:lang w:eastAsia="zh-CN"/>
              </w:rPr>
              <w:t>殖</w:t>
            </w:r>
            <w:r>
              <w:rPr>
                <w:rFonts w:hint="eastAsia" w:ascii="宋体" w:hAnsi="宋体" w:eastAsia="宋体"/>
                <w:sz w:val="15"/>
                <w:szCs w:val="15"/>
              </w:rPr>
              <w:t>、放牧</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殖</w:t>
            </w:r>
            <w:r>
              <w:rPr>
                <w:rFonts w:hint="eastAsia" w:ascii="宋体" w:hAnsi="宋体" w:eastAsia="宋体"/>
                <w:sz w:val="15"/>
                <w:szCs w:val="15"/>
              </w:rPr>
              <w:t xml:space="preserve">的，还应令其恢复地貌。 </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8"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14</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在河道、湖泊管理范围内倾倒垃圾、渣土从事影响河势稳定、危害河岸堤防安全和其他妨碍河道行洪的活动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type="textWrapping"/>
            </w:r>
            <w:r>
              <w:rPr>
                <w:rFonts w:hint="eastAsia" w:ascii="宋体" w:hAnsi="宋体" w:eastAsia="宋体"/>
                <w:sz w:val="15"/>
                <w:szCs w:val="15"/>
              </w:rPr>
              <w:t>《北京市水利工程保护管理条例》违反条款：第九条第（三）项；处罚条款：第二十一条第（二）项，责令排除阻碍或者采取其他补救措施，可以处5万元以下罚款。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倾倒量≤5m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，罚款额≤1万；5m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倾倒量≤10m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，1万＜罚款额≤2万；10m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倾倒量≤20m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，2万＜罚款额≤3万；20m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倾倒量，3万＜罚款额≤5万</w:t>
            </w:r>
            <w:r>
              <w:rPr>
                <w:rFonts w:ascii="宋体" w:hAnsi="宋体" w:eastAsia="宋体" w:cs="Calibri"/>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6"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15</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在地表饮用水水源保护区和准保护区内、组织水上旅游或者其他可能污染饮用水水源活动</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《北京市水污染防治条例》违反条款：第六十条第一款第（一）项、第（二）项、第（三）项；第六十条第二款；处罚条款：第八十条第二款，责令停止违法行为，并处二万元以上十万元以下的罚款。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16</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在河道、湖泊管理范围内建设妨碍行洪的建筑物、构筑物，或者从事影响河势稳定、危害河岸堤防安全和其他妨碍河道行洪的活动</w:t>
            </w:r>
          </w:p>
        </w:tc>
        <w:tc>
          <w:tcPr>
            <w:tcW w:w="2789" w:type="dxa"/>
            <w:gridSpan w:val="2"/>
            <w:noWrap w:val="0"/>
            <w:vAlign w:val="center"/>
          </w:tcPr>
          <w:p>
            <w:pPr>
              <w:spacing w:line="232" w:lineRule="exact"/>
              <w:jc w:val="left"/>
              <w:rPr>
                <w:rFonts w:ascii="宋体" w:hAnsi="宋体" w:eastAsia="宋体"/>
                <w:sz w:val="15"/>
                <w:szCs w:val="15"/>
              </w:rPr>
            </w:pPr>
            <w:r>
              <w:rPr>
                <w:rFonts w:hint="eastAsia" w:ascii="宋体" w:hAnsi="宋体" w:eastAsia="宋体"/>
                <w:sz w:val="15"/>
                <w:szCs w:val="15"/>
              </w:rPr>
              <w:t>《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p>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1</w:t>
            </w:r>
            <w:r>
              <w:rPr>
                <w:rFonts w:ascii="宋体" w:hAnsi="宋体" w:eastAsia="宋体" w:cs="仿宋_GB2312"/>
                <w:color w:val="000000"/>
                <w:kern w:val="0"/>
                <w:sz w:val="15"/>
                <w:szCs w:val="15"/>
                <w:lang w:bidi="ar"/>
              </w:rPr>
              <w:t>.</w:t>
            </w:r>
            <w:r>
              <w:rPr>
                <w:rFonts w:hint="eastAsia" w:ascii="宋体" w:hAnsi="宋体" w:eastAsia="宋体" w:cs="仿宋_GB2312"/>
                <w:color w:val="000000"/>
                <w:kern w:val="0"/>
                <w:sz w:val="15"/>
                <w:szCs w:val="15"/>
                <w:lang w:bidi="ar"/>
              </w:rPr>
              <w:t>依据《中华人民共和国水法》处罚：</w:t>
            </w:r>
          </w:p>
          <w:p>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在限期内拆除，恢复原状的，不予处罚；逾期不拆除，不恢复原状的，占地面积≤25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，3万＜罚款额≤6万；100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＜占地面积，6万＜罚款额≤10万</w:t>
            </w:r>
            <w:r>
              <w:rPr>
                <w:rFonts w:ascii="宋体" w:hAnsi="宋体" w:eastAsia="宋体" w:cs="Batang"/>
                <w:color w:val="000000"/>
                <w:kern w:val="0"/>
                <w:sz w:val="15"/>
                <w:szCs w:val="15"/>
                <w:lang w:bidi="ar"/>
              </w:rPr>
              <w:t>。</w:t>
            </w:r>
          </w:p>
          <w:p>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Batang"/>
                <w:color w:val="000000"/>
                <w:kern w:val="0"/>
                <w:sz w:val="15"/>
                <w:szCs w:val="15"/>
                <w:lang w:bidi="ar"/>
              </w:rPr>
              <w:t>2</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依据《中华人民共和国防洪法》《北京市水利工程保护管理条例》《北京市河湖保护管理条例》处罚：</w:t>
            </w:r>
          </w:p>
          <w:p>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，罚款额≤1万；25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＜占地面积，3万＜罚款额≤5万</w:t>
            </w:r>
            <w:r>
              <w:rPr>
                <w:rFonts w:ascii="宋体" w:hAnsi="宋体" w:eastAsia="宋体" w:cs="Batang"/>
                <w:color w:val="000000"/>
                <w:kern w:val="0"/>
                <w:sz w:val="15"/>
                <w:szCs w:val="15"/>
                <w:lang w:bidi="ar"/>
              </w:rPr>
              <w:t>。</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17</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在生态清洁小流域范围内的沟道内私搭乱建、堆放物品</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《北京市水土保持条例》违反条款：第二十条第一款第（一）项；处罚条款：第三十六条，责令改正，对个人可处500元以上5000元以下罚款；对单位可处1万元以上10万元以下罚款。</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6"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18</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在生态清洁小流域范围内随意取土、挖砂、倾倒垃圾、排放污水</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《北京市水土保持条例》违反条款：第二十条第一款第（二）项；处罚条款：第三十六条，责令改正，对个人可处500元以上5000元以下罚款；对单位可处1万元以上10万元以下罚款。</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1"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19</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在生态清洁小流域范围内破坏水土保持设施或者干扰其正常运行</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《北京市水土保持条例》违反条款：第二十条第一款第（三）项；处罚条款：第三十六条，责令改正，对个人可处500元以上5000元以下罚款；对单位可处1万元以上10万元以下罚款。</w:t>
            </w:r>
          </w:p>
        </w:tc>
        <w:tc>
          <w:tcPr>
            <w:tcW w:w="5784" w:type="dxa"/>
            <w:gridSpan w:val="3"/>
            <w:noWrap w:val="0"/>
            <w:vAlign w:val="center"/>
          </w:tcPr>
          <w:p>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20</w:t>
            </w:r>
          </w:p>
        </w:tc>
        <w:tc>
          <w:tcPr>
            <w:tcW w:w="1500"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擅自在河湖管理范围内新建、改建或者扩大排水口</w:t>
            </w:r>
          </w:p>
        </w:tc>
        <w:tc>
          <w:tcPr>
            <w:tcW w:w="2789"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《北京市河湖保护管理条例》违反条款：第二十八条第一款；处罚条款：第四十三条，责令停止违法行为，限期恢复原状，处5万元以上10万元以下的罚款。</w:t>
            </w:r>
          </w:p>
        </w:tc>
        <w:tc>
          <w:tcPr>
            <w:tcW w:w="5784" w:type="dxa"/>
            <w:gridSpan w:val="3"/>
            <w:noWrap w:val="0"/>
            <w:vAlign w:val="center"/>
          </w:tcPr>
          <w:p>
            <w:pPr>
              <w:pStyle w:val="22"/>
              <w:spacing w:after="0" w:line="210"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pPr>
              <w:spacing w:line="210" w:lineRule="exact"/>
              <w:rPr>
                <w:rFonts w:ascii="宋体" w:hAnsi="宋体" w:eastAsia="宋体" w:cs="仿宋_GB2312"/>
                <w:sz w:val="15"/>
                <w:szCs w:val="15"/>
              </w:rPr>
            </w:pPr>
          </w:p>
        </w:tc>
        <w:tc>
          <w:tcPr>
            <w:tcW w:w="1208" w:type="dxa"/>
            <w:gridSpan w:val="2"/>
            <w:noWrap w:val="0"/>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5" w:hRule="atLeast"/>
        </w:trPr>
        <w:tc>
          <w:tcPr>
            <w:tcW w:w="14329" w:type="dxa"/>
            <w:gridSpan w:val="15"/>
            <w:noWrap w:val="0"/>
            <w:vAlign w:val="center"/>
          </w:tcPr>
          <w:p>
            <w:pPr>
              <w:pStyle w:val="2"/>
              <w:bidi w:val="0"/>
              <w:rPr>
                <w:rFonts w:ascii="宋体" w:hAnsi="宋体" w:eastAsia="宋体"/>
                <w:szCs w:val="15"/>
              </w:rPr>
            </w:pPr>
            <w:bookmarkStart w:id="207" w:name="_Toc1290044525"/>
            <w:bookmarkStart w:id="208" w:name="_Toc110851504"/>
            <w:bookmarkStart w:id="209" w:name="_Toc473764242"/>
            <w:bookmarkStart w:id="210" w:name="_Toc435832612"/>
            <w:r>
              <w:rPr>
                <w:rFonts w:hint="eastAsia"/>
                <w:sz w:val="21"/>
                <w:szCs w:val="21"/>
              </w:rPr>
              <w:t>农业农村</w:t>
            </w:r>
            <w:r>
              <w:rPr>
                <w:rFonts w:hint="eastAsia"/>
                <w:sz w:val="21"/>
                <w:szCs w:val="21"/>
                <w:lang w:eastAsia="zh-CN"/>
              </w:rPr>
              <w:t>下放</w:t>
            </w:r>
            <w:r>
              <w:rPr>
                <w:rFonts w:hint="eastAsia"/>
                <w:sz w:val="21"/>
                <w:szCs w:val="21"/>
              </w:rPr>
              <w:t>1项</w:t>
            </w:r>
            <w:bookmarkEnd w:id="207"/>
            <w:bookmarkEnd w:id="208"/>
            <w:bookmarkEnd w:id="209"/>
            <w:bookmarkEnd w:id="2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10" w:lineRule="exact"/>
              <w:rPr>
                <w:rFonts w:ascii="宋体" w:hAnsi="宋体" w:eastAsia="宋体"/>
                <w:kern w:val="0"/>
                <w:sz w:val="15"/>
                <w:szCs w:val="15"/>
              </w:rPr>
            </w:pPr>
            <w:r>
              <w:rPr>
                <w:rFonts w:hint="eastAsia" w:ascii="宋体" w:hAnsi="宋体" w:eastAsia="宋体"/>
                <w:sz w:val="15"/>
                <w:szCs w:val="15"/>
              </w:rPr>
              <w:t>在增殖放流水域垂钓</w:t>
            </w:r>
          </w:p>
        </w:tc>
        <w:tc>
          <w:tcPr>
            <w:tcW w:w="2789"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《北京市实施〈中华人民共和国渔业法〉办法》违反条款：第二十一条第一款第（七）项；处罚条款：第二十六条第一款第（五）项，责令停止违法行为，没收渔具，并可以处50元以上500元以下罚款。</w:t>
            </w:r>
          </w:p>
        </w:tc>
        <w:tc>
          <w:tcPr>
            <w:tcW w:w="5784" w:type="dxa"/>
            <w:gridSpan w:val="3"/>
            <w:noWrap w:val="0"/>
            <w:vAlign w:val="center"/>
          </w:tcPr>
          <w:p>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宋体"/>
                <w:color w:val="000000"/>
                <w:kern w:val="0"/>
                <w:sz w:val="15"/>
                <w:szCs w:val="15"/>
              </w:rPr>
              <w:t>责令停止违法行为，没收渔具，并可处50元以上500元以下罚款。</w:t>
            </w:r>
          </w:p>
        </w:tc>
        <w:tc>
          <w:tcPr>
            <w:tcW w:w="2108" w:type="dxa"/>
            <w:gridSpan w:val="4"/>
            <w:noWrap w:val="0"/>
            <w:vAlign w:val="center"/>
          </w:tcPr>
          <w:p>
            <w:pPr>
              <w:spacing w:line="210" w:lineRule="exact"/>
              <w:rPr>
                <w:rFonts w:ascii="宋体" w:hAnsi="宋体" w:eastAsia="宋体" w:cs="仿宋_GB2312"/>
                <w:sz w:val="15"/>
                <w:szCs w:val="15"/>
              </w:rPr>
            </w:pPr>
          </w:p>
        </w:tc>
        <w:tc>
          <w:tcPr>
            <w:tcW w:w="1208" w:type="dxa"/>
            <w:gridSpan w:val="2"/>
            <w:noWrap w:val="0"/>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trPr>
        <w:tc>
          <w:tcPr>
            <w:tcW w:w="14329" w:type="dxa"/>
            <w:gridSpan w:val="15"/>
            <w:noWrap w:val="0"/>
            <w:vAlign w:val="center"/>
          </w:tcPr>
          <w:p>
            <w:pPr>
              <w:pStyle w:val="2"/>
              <w:bidi w:val="0"/>
              <w:rPr>
                <w:rFonts w:hint="eastAsia"/>
                <w:sz w:val="21"/>
                <w:szCs w:val="21"/>
              </w:rPr>
            </w:pPr>
            <w:bookmarkStart w:id="211" w:name="_Toc110851505"/>
            <w:bookmarkStart w:id="212" w:name="_Toc2011773058"/>
            <w:bookmarkStart w:id="213" w:name="_Toc589852508"/>
            <w:bookmarkStart w:id="214" w:name="_Toc1180617207"/>
            <w:r>
              <w:rPr>
                <w:rFonts w:hint="eastAsia"/>
                <w:sz w:val="21"/>
                <w:szCs w:val="21"/>
              </w:rPr>
              <w:t>卫生健康</w:t>
            </w:r>
            <w:r>
              <w:rPr>
                <w:rFonts w:hint="eastAsia"/>
                <w:sz w:val="21"/>
                <w:szCs w:val="21"/>
                <w:lang w:eastAsia="zh-CN"/>
              </w:rPr>
              <w:t>下放</w:t>
            </w:r>
            <w:r>
              <w:rPr>
                <w:rFonts w:hint="eastAsia"/>
                <w:sz w:val="21"/>
                <w:szCs w:val="21"/>
              </w:rPr>
              <w:t>12项</w:t>
            </w:r>
            <w:bookmarkEnd w:id="211"/>
            <w:bookmarkEnd w:id="212"/>
            <w:bookmarkEnd w:id="213"/>
            <w:bookmarkEnd w:id="214"/>
          </w:p>
          <w:p>
            <w:pPr>
              <w:rPr>
                <w:rFonts w:hint="eastAsia"/>
              </w:rPr>
            </w:pPr>
          </w:p>
          <w:p>
            <w:pPr>
              <w:rPr>
                <w:rFonts w:hint="eastAsia" w:eastAsia="宋体"/>
                <w:lang w:eastAsia="zh-CN"/>
              </w:rPr>
            </w:pPr>
            <w:r>
              <w:rPr>
                <w:rFonts w:hint="eastAsia" w:ascii="宋体" w:hAnsi="宋体"/>
                <w:sz w:val="15"/>
                <w:szCs w:val="15"/>
                <w:lang w:eastAsia="zh-CN"/>
              </w:rPr>
              <w:t>《北京市卫生健康委员会关于印发北京市卫生健康行政处罚裁量细则（2023年1月修订）的通知》（京卫监督〔2023〕1号）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pPr>
              <w:spacing w:line="210" w:lineRule="exact"/>
              <w:rPr>
                <w:rFonts w:ascii="宋体" w:hAnsi="宋体" w:eastAsia="宋体"/>
                <w:kern w:val="0"/>
                <w:sz w:val="15"/>
                <w:szCs w:val="15"/>
              </w:rPr>
            </w:pPr>
            <w:r>
              <w:rPr>
                <w:rFonts w:hint="eastAsia" w:ascii="宋体" w:hAnsi="宋体" w:eastAsia="宋体"/>
                <w:sz w:val="15"/>
                <w:szCs w:val="15"/>
              </w:rPr>
              <w:t>未按规定采取清除鼠迹、堵塞鼠洞、添设防范设施等措施及毒杀、诱捕等方法消灭老鼠，使鼠密度等指标符合国家控制标准</w:t>
            </w:r>
          </w:p>
        </w:tc>
        <w:tc>
          <w:tcPr>
            <w:tcW w:w="2789" w:type="dxa"/>
            <w:gridSpan w:val="2"/>
            <w:noWrap w:val="0"/>
            <w:vAlign w:val="center"/>
          </w:tcPr>
          <w:p>
            <w:pPr>
              <w:spacing w:line="210" w:lineRule="exact"/>
              <w:rPr>
                <w:rFonts w:ascii="宋体" w:hAnsi="宋体" w:eastAsia="宋体"/>
                <w:sz w:val="15"/>
                <w:szCs w:val="15"/>
              </w:rPr>
            </w:pPr>
            <w:r>
              <w:rPr>
                <w:rFonts w:hint="eastAsia" w:ascii="宋体" w:hAnsi="宋体" w:eastAsia="宋体"/>
                <w:sz w:val="15"/>
                <w:szCs w:val="15"/>
              </w:rPr>
              <w:t>《北京市除四害工作管理规定》违反条款：第八条；处罚条款：第十六条第（一）项，予以警告，责令限期改正，并可处以20元以上500元以下罚款；情节严重的，处以500元以上1000元以下罚款。</w:t>
            </w:r>
          </w:p>
        </w:tc>
        <w:tc>
          <w:tcPr>
            <w:tcW w:w="5784" w:type="dxa"/>
            <w:gridSpan w:val="3"/>
            <w:noWrap w:val="0"/>
            <w:vAlign w:val="center"/>
          </w:tcPr>
          <w:p>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pPr>
              <w:spacing w:line="210" w:lineRule="exact"/>
              <w:rPr>
                <w:rFonts w:ascii="宋体" w:hAnsi="宋体" w:eastAsia="宋体" w:cs="仿宋_GB2312"/>
                <w:sz w:val="15"/>
                <w:szCs w:val="15"/>
              </w:rPr>
            </w:pPr>
          </w:p>
        </w:tc>
        <w:tc>
          <w:tcPr>
            <w:tcW w:w="1208" w:type="dxa"/>
            <w:gridSpan w:val="2"/>
            <w:noWrap w:val="0"/>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未按规定清除蚊蝇孳生地并运用化学、物理、生物等方法消灭蚊蝇及其幼虫，使蚊蝇密度等指标符合国家控制标准</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九条第（一）项、第（二）项、第（三）项；处罚条款：第十六条第（一）项，予以警告，责令限期改正，并可处以20元以上500元以下罚款；情节严重的，处以500元以上1000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发现蟑螂未按规定及时采取灭杀措施，使蟑螂密度等指标符合国家控制标准</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《北京市除四害工作管理规定》违反条款：第十条；处罚条款：第十六条第（一）项，予以警告，责令限期改正，并可处以20元以上500元以下罚款；情节严重的，处以500元以上1000元以下罚款。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未按规定配置四害防治设施或者无人负责除四害工作</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《北京市除四害工作管理规定》违反条款：第十一条；处罚条款：第十六条第（二）项，予以警告，责令限期改正，并可处以20元以上1000元以下罚款。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未造成严重后果的，情节严重的，警告，处以500元以上（不含）1000元以下（含）罚款。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未按规定采取统一的除四害措施</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《北京市除四害工作管理规定》违反条款：第十二条；处罚条款：第十六条第（三）项，给予警告，责令限期改正；逾期不改正的，可处以20元以上1000元以下罚款。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未造成严重后果的，情节轻微，处以20元以上（含）500元以下（含）罚款；</w:t>
            </w:r>
          </w:p>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未造成严重后果的，情节严重的，处以500元以上（不含）1000元以下（含）罚款。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1"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未建立禁止吸烟管理制度，做好宣传教育工作且拒不改正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《北京市控制吸烟条例》违反条款：第十三条第一款第（一）项；处罚条款：第二十四条第（一）项，责令限期改正;拒不改正的，处2000元以上5000元以下罚款。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1" w:hRule="atLeast"/>
        </w:trPr>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未在禁止吸烟场所设置明显的禁止吸烟标志和举报投诉电话号码标识且拒不改正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《北京市控制吸烟条例》违反条款：第十三条第一款第（二）项；处罚条款：第二十四条第（一）项，责令限期改正;拒不改正的，处2000元以上5000元以下罚款。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在禁止吸烟场所提供烟具和附有烟草广告的物品且拒不改正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《北京市控制吸烟条例》违反条款：第十三条第一款第（三）项；处罚条款：第二十四条第（一）项，责令限期改正;拒不改正的，处2000元以上5000元以下罚款。</w:t>
            </w:r>
          </w:p>
        </w:tc>
        <w:tc>
          <w:tcPr>
            <w:tcW w:w="5784" w:type="dxa"/>
            <w:gridSpan w:val="3"/>
            <w:noWrap w:val="0"/>
            <w:vAlign w:val="center"/>
          </w:tcPr>
          <w:p>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未开展禁止吸烟检查工作，制作并留存禁止吸烟检查工作相关记录且拒不改正</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《北京市控制吸烟条例》违反条款：第十三条第一款第（四）项；处罚条款：第二十四条第（一）项，责令限期改正;拒不改正的，处2000元以上5000元以下罚款。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在禁止吸烟场所内的吸烟者未予以劝阻，对不听劝阻的吸烟者未要求其离开，对不听劝阻且不离开的吸烟者未投诉举报</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《北京市控制吸烟条例》违反条款：第十三条第一款第（五）项；处罚条款：第二十四条第（二）项，给予警告，并处5000元以上1万元以下罚款。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场所内吸烟者有1人的，警告，并处5000元罚款；</w:t>
            </w:r>
          </w:p>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场所内吸烟者有2-5人的，警告，并处5000元以上（不含）8000元以下（含）罚款；</w:t>
            </w:r>
          </w:p>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场所内吸烟者有5人以上的，警告，并处8000元以上（不含）1万元以下（含）罚款。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在其他禁止吸烟场所或者排队等候队伍中吸烟</w:t>
            </w:r>
          </w:p>
        </w:tc>
        <w:tc>
          <w:tcPr>
            <w:tcW w:w="2789" w:type="dxa"/>
            <w:gridSpan w:val="2"/>
            <w:noWrap w:val="0"/>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《北京市控制吸烟条例》违反条款：第十四条；处罚条款：第二十五条第一款，责令改正，可以处50元罚款;拒不改正的，处200元罚款。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在禁止吸烟场所或者排队等候队伍中吸烟，处50元罚款；</w:t>
            </w:r>
          </w:p>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在禁止吸烟场所或者排队等候队伍中吸烟，拒不改正，处200元罚款。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noWrap w:val="0"/>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在幼儿园、中小学校、少年宫、儿童福利机构等以未成年人为主要活动人群的场所吸烟</w:t>
            </w:r>
          </w:p>
        </w:tc>
        <w:tc>
          <w:tcPr>
            <w:tcW w:w="2789" w:type="dxa"/>
            <w:gridSpan w:val="2"/>
            <w:noWrap w:val="0"/>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《北京市控制吸烟条例》违反条款：第十四条；处罚条款：第二十五条第一款，责令改正，给予警告，可以并处200元以上500以下罚款。</w:t>
            </w:r>
          </w:p>
        </w:tc>
        <w:tc>
          <w:tcPr>
            <w:tcW w:w="5784" w:type="dxa"/>
            <w:gridSpan w:val="3"/>
            <w:noWrap w:val="0"/>
            <w:vAlign w:val="center"/>
          </w:tcPr>
          <w:p>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警告，可以并处200元以上（含）500元以下（含）罚款。</w:t>
            </w:r>
          </w:p>
        </w:tc>
        <w:tc>
          <w:tcPr>
            <w:tcW w:w="2108" w:type="dxa"/>
            <w:gridSpan w:val="4"/>
            <w:noWrap w:val="0"/>
            <w:vAlign w:val="center"/>
          </w:tcPr>
          <w:p>
            <w:pPr>
              <w:spacing w:line="232" w:lineRule="exact"/>
              <w:rPr>
                <w:rFonts w:ascii="宋体" w:hAnsi="宋体" w:eastAsia="宋体" w:cs="仿宋_GB2312"/>
                <w:sz w:val="15"/>
                <w:szCs w:val="15"/>
              </w:rPr>
            </w:pPr>
          </w:p>
        </w:tc>
        <w:tc>
          <w:tcPr>
            <w:tcW w:w="1208" w:type="dxa"/>
            <w:gridSpan w:val="2"/>
            <w:noWrap w:val="0"/>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9" w:hRule="atLeast"/>
        </w:trPr>
        <w:tc>
          <w:tcPr>
            <w:tcW w:w="14329" w:type="dxa"/>
            <w:gridSpan w:val="15"/>
            <w:noWrap w:val="0"/>
            <w:vAlign w:val="center"/>
          </w:tcPr>
          <w:p>
            <w:pPr>
              <w:pStyle w:val="2"/>
              <w:bidi w:val="0"/>
              <w:rPr>
                <w:rFonts w:hint="default" w:ascii="宋体" w:hAnsi="宋体" w:eastAsia="宋体" w:cs="Times New Roman"/>
                <w:b/>
                <w:bCs/>
                <w:color w:val="000000"/>
                <w:kern w:val="44"/>
                <w:szCs w:val="15"/>
                <w:lang w:val="en-US" w:eastAsia="zh-CN" w:bidi="ar-SA"/>
              </w:rPr>
            </w:pPr>
            <w:bookmarkStart w:id="215" w:name="_Toc1180430827"/>
            <w:bookmarkStart w:id="216" w:name="_Toc979026322"/>
            <w:r>
              <w:rPr>
                <w:rFonts w:hint="eastAsia"/>
                <w:b/>
                <w:bCs/>
                <w:sz w:val="21"/>
                <w:szCs w:val="21"/>
                <w:lang w:eastAsia="zh-CN"/>
              </w:rPr>
              <w:t>住房城乡建设下放</w:t>
            </w:r>
            <w:r>
              <w:rPr>
                <w:rFonts w:hint="eastAsia"/>
                <w:b/>
                <w:bCs/>
                <w:sz w:val="21"/>
                <w:szCs w:val="21"/>
                <w:lang w:val="en-US" w:eastAsia="zh-CN"/>
              </w:rPr>
              <w:t>3项</w:t>
            </w:r>
            <w:bookmarkEnd w:id="2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14329" w:type="dxa"/>
            <w:gridSpan w:val="15"/>
            <w:noWrap w:val="0"/>
            <w:vAlign w:val="center"/>
          </w:tcPr>
          <w:p>
            <w:pPr>
              <w:autoSpaceDE w:val="0"/>
              <w:autoSpaceDN w:val="0"/>
              <w:adjustRightInd w:val="0"/>
              <w:spacing w:line="520" w:lineRule="exact"/>
              <w:jc w:val="center"/>
              <w:rPr>
                <w:rFonts w:hint="default"/>
                <w:b/>
                <w:bCs/>
                <w:sz w:val="21"/>
                <w:szCs w:val="21"/>
                <w:lang w:val="en-US" w:eastAsia="zh-CN"/>
              </w:rPr>
            </w:pPr>
            <w:r>
              <w:rPr>
                <w:rFonts w:hint="eastAsia"/>
                <w:b/>
                <w:bCs/>
                <w:sz w:val="21"/>
                <w:szCs w:val="21"/>
                <w:lang w:eastAsia="zh-CN"/>
              </w:rPr>
              <w:t>《北京市物业管理条例案由》</w:t>
            </w:r>
            <w:r>
              <w:rPr>
                <w:rFonts w:hint="eastAsia"/>
                <w:b/>
                <w:bCs/>
                <w:sz w:val="21"/>
                <w:szCs w:val="21"/>
                <w:lang w:val="en-US" w:eastAsia="zh-CN"/>
              </w:rPr>
              <w:t>2项</w:t>
            </w:r>
          </w:p>
          <w:p>
            <w:pPr>
              <w:autoSpaceDE w:val="0"/>
              <w:autoSpaceDN w:val="0"/>
              <w:adjustRightInd w:val="0"/>
              <w:spacing w:line="520" w:lineRule="exact"/>
              <w:jc w:val="center"/>
              <w:rPr>
                <w:rFonts w:hint="eastAsia"/>
                <w:sz w:val="21"/>
                <w:szCs w:val="21"/>
                <w:lang w:eastAsia="zh-CN"/>
              </w:rPr>
            </w:pPr>
            <w:r>
              <w:rPr>
                <w:rFonts w:hint="eastAsia"/>
                <w:sz w:val="21"/>
                <w:szCs w:val="21"/>
                <w:lang w:eastAsia="zh-CN"/>
              </w:rPr>
              <w:t>《北京市住房和城乡建设委员会关于调整</w:t>
            </w:r>
            <w:r>
              <w:rPr>
                <w:rFonts w:hint="default"/>
                <w:sz w:val="21"/>
                <w:szCs w:val="21"/>
                <w:lang w:val="en-US" w:eastAsia="zh-CN"/>
              </w:rPr>
              <w:t>&lt;</w:t>
            </w:r>
            <w:r>
              <w:rPr>
                <w:rFonts w:hint="eastAsia"/>
                <w:sz w:val="21"/>
                <w:szCs w:val="21"/>
                <w:lang w:eastAsia="zh-CN"/>
              </w:rPr>
              <w:t>北京市住房城乡建设系统行政处罚裁量基准</w:t>
            </w:r>
            <w:r>
              <w:rPr>
                <w:rFonts w:hint="default"/>
                <w:sz w:val="21"/>
                <w:szCs w:val="21"/>
                <w:lang w:val="en-US" w:eastAsia="zh-CN"/>
              </w:rPr>
              <w:t>&gt;</w:t>
            </w:r>
            <w:r>
              <w:rPr>
                <w:rFonts w:hint="eastAsia"/>
                <w:sz w:val="21"/>
                <w:szCs w:val="21"/>
                <w:lang w:eastAsia="zh-CN"/>
              </w:rPr>
              <w:t>部分条款的通知》（</w:t>
            </w:r>
            <w:r>
              <w:rPr>
                <w:rFonts w:hint="eastAsia" w:ascii="仿宋_GB2312" w:eastAsia="仿宋_GB2312" w:cs="楷体_GB2312"/>
                <w:sz w:val="21"/>
                <w:szCs w:val="21"/>
                <w:lang w:val="zh-CN"/>
              </w:rPr>
              <w:t>京建法〔202</w:t>
            </w:r>
            <w:r>
              <w:rPr>
                <w:rFonts w:hint="eastAsia" w:ascii="仿宋_GB2312" w:eastAsia="仿宋_GB2312" w:cs="楷体_GB2312"/>
                <w:sz w:val="21"/>
                <w:szCs w:val="21"/>
                <w:lang w:val="en-US" w:eastAsia="zh-CN"/>
              </w:rPr>
              <w:t>3</w:t>
            </w:r>
            <w:r>
              <w:rPr>
                <w:rFonts w:hint="eastAsia" w:ascii="仿宋_GB2312" w:eastAsia="仿宋_GB2312" w:cs="楷体_GB2312"/>
                <w:sz w:val="21"/>
                <w:szCs w:val="21"/>
                <w:lang w:val="zh-CN"/>
              </w:rPr>
              <w:t>〕</w:t>
            </w:r>
            <w:r>
              <w:rPr>
                <w:rFonts w:hint="eastAsia" w:ascii="仿宋_GB2312" w:eastAsia="仿宋_GB2312" w:cs="楷体_GB2312"/>
                <w:sz w:val="21"/>
                <w:szCs w:val="21"/>
                <w:lang w:val="en-US" w:eastAsia="zh-CN"/>
              </w:rPr>
              <w:t>5</w:t>
            </w:r>
            <w:r>
              <w:rPr>
                <w:rFonts w:hint="eastAsia" w:ascii="仿宋_GB2312" w:eastAsia="仿宋_GB2312" w:cs="楷体_GB2312"/>
                <w:sz w:val="21"/>
                <w:szCs w:val="21"/>
                <w:lang w:val="zh-CN"/>
              </w:rPr>
              <w:t>号</w:t>
            </w:r>
            <w:r>
              <w:rPr>
                <w:rFonts w:hint="eastAsia"/>
                <w:sz w:val="21"/>
                <w:szCs w:val="21"/>
                <w:lang w:eastAsia="zh-CN"/>
              </w:rPr>
              <w:t>）</w:t>
            </w:r>
          </w:p>
          <w:p>
            <w:pPr>
              <w:autoSpaceDE w:val="0"/>
              <w:autoSpaceDN w:val="0"/>
              <w:adjustRightInd w:val="0"/>
              <w:spacing w:line="520" w:lineRule="exact"/>
              <w:jc w:val="center"/>
              <w:rPr>
                <w:rFonts w:hint="eastAsia"/>
                <w:sz w:val="21"/>
                <w:szCs w:val="21"/>
                <w:lang w:val="en-US" w:eastAsia="zh-CN"/>
              </w:rPr>
            </w:pPr>
          </w:p>
        </w:tc>
      </w:tr>
      <w:bookmarkEnd w:id="21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bookmarkStart w:id="217" w:name="_Toc1056450575"/>
            <w:r>
              <w:rPr>
                <w:rFonts w:hint="eastAsia" w:ascii="宋体" w:hAnsi="宋体" w:eastAsia="宋体" w:cs="宋体"/>
                <w:i w:val="0"/>
                <w:color w:val="000000"/>
                <w:kern w:val="0"/>
                <w:sz w:val="15"/>
                <w:szCs w:val="15"/>
                <w:u w:val="none"/>
                <w:lang w:val="en-US" w:eastAsia="zh-CN" w:bidi="ar"/>
              </w:rPr>
              <w:t>37</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物业服务人未按规定将物业服务合同报街道办事处、乡镇人民政府、区住房和城乡建设或者房屋主管部门备案</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《北京市物业管理条例》违反条款：第六十三条第三款；</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处罚条款：第九十一条，责令限期改正，给予警告；逾期不改的，处五千元以上一万元以下的罚款。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责令7日内改正，警告</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1"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38</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物业服务企业项目负责人未按时报到</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w:t>
            </w:r>
            <w:r>
              <w:rPr>
                <w:rFonts w:hint="eastAsia" w:ascii="宋体" w:hAnsi="宋体" w:cs="宋体"/>
                <w:i w:val="0"/>
                <w:color w:val="000000"/>
                <w:kern w:val="0"/>
                <w:sz w:val="15"/>
                <w:szCs w:val="15"/>
                <w:u w:val="none"/>
                <w:lang w:val="en-US" w:eastAsia="zh-CN" w:bidi="ar"/>
              </w:rPr>
              <w:t>违反条款：</w:t>
            </w:r>
            <w:r>
              <w:rPr>
                <w:rFonts w:hint="eastAsia" w:ascii="宋体" w:hAnsi="宋体" w:eastAsia="宋体" w:cs="宋体"/>
                <w:i w:val="0"/>
                <w:color w:val="000000"/>
                <w:kern w:val="0"/>
                <w:sz w:val="15"/>
                <w:szCs w:val="15"/>
                <w:u w:val="none"/>
                <w:lang w:val="en-US" w:eastAsia="zh-CN" w:bidi="ar"/>
              </w:rPr>
              <w:t>第六十六条</w:t>
            </w:r>
            <w:r>
              <w:rPr>
                <w:rFonts w:hint="eastAsia" w:ascii="宋体" w:hAnsi="宋体" w:cs="宋体"/>
                <w:i w:val="0"/>
                <w:color w:val="000000"/>
                <w:kern w:val="0"/>
                <w:sz w:val="15"/>
                <w:szCs w:val="15"/>
                <w:u w:val="none"/>
                <w:lang w:val="en-US" w:eastAsia="zh-CN" w:bidi="ar"/>
              </w:rPr>
              <w:t>；处罚条款：</w:t>
            </w:r>
            <w:r>
              <w:rPr>
                <w:rFonts w:hint="eastAsia" w:ascii="宋体" w:hAnsi="宋体" w:eastAsia="宋体" w:cs="宋体"/>
                <w:i w:val="0"/>
                <w:color w:val="000000"/>
                <w:kern w:val="0"/>
                <w:sz w:val="15"/>
                <w:szCs w:val="15"/>
                <w:u w:val="none"/>
                <w:lang w:val="en-US" w:eastAsia="zh-CN" w:bidi="ar"/>
              </w:rPr>
              <w:t>第九十三条，责令限期改正；逾期不改的，处五千元以上一万元以下的罚款。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329"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pPr>
              <w:bidi w:val="0"/>
              <w:jc w:val="center"/>
              <w:rPr>
                <w:rFonts w:hint="eastAsia"/>
                <w:b/>
                <w:bCs/>
                <w:lang w:val="en-US" w:eastAsia="zh-CN"/>
              </w:rPr>
            </w:pPr>
            <w:r>
              <w:rPr>
                <w:rFonts w:hint="eastAsia"/>
                <w:b/>
                <w:bCs/>
                <w:lang w:eastAsia="zh-CN"/>
              </w:rPr>
              <w:t>《北京市住房租赁条例》案由</w:t>
            </w:r>
            <w:r>
              <w:rPr>
                <w:rFonts w:hint="eastAsia"/>
                <w:b/>
                <w:bCs/>
                <w:lang w:val="en-US" w:eastAsia="zh-CN"/>
              </w:rPr>
              <w:t>1项</w:t>
            </w:r>
          </w:p>
          <w:p>
            <w:pPr>
              <w:jc w:val="center"/>
              <w:rPr>
                <w:rFonts w:hint="eastAsia" w:asciiTheme="minorEastAsia" w:hAnsiTheme="minorEastAsia" w:eastAsiaTheme="minorEastAsia" w:cstheme="minorEastAsia"/>
                <w:sz w:val="21"/>
                <w:szCs w:val="21"/>
                <w:lang w:val="en-US" w:eastAsia="zh-CN"/>
              </w:rPr>
            </w:pPr>
          </w:p>
          <w:p>
            <w:pPr>
              <w:jc w:val="left"/>
              <w:rPr>
                <w:rFonts w:hint="eastAsia"/>
                <w:sz w:val="15"/>
                <w:szCs w:val="15"/>
                <w:lang w:val="en-US" w:eastAsia="zh-CN"/>
              </w:rPr>
            </w:pPr>
            <w:r>
              <w:rPr>
                <w:rFonts w:hint="eastAsia"/>
                <w:sz w:val="15"/>
                <w:szCs w:val="15"/>
                <w:lang w:val="en-US" w:eastAsia="zh-CN"/>
              </w:rPr>
              <w:t>《北京市住房和城乡建设委员会关于印发</w:t>
            </w:r>
            <w:r>
              <w:rPr>
                <w:rFonts w:hint="default"/>
                <w:sz w:val="15"/>
                <w:szCs w:val="15"/>
                <w:lang w:val="en-US" w:eastAsia="zh-CN"/>
              </w:rPr>
              <w:t>&lt;</w:t>
            </w:r>
            <w:r>
              <w:rPr>
                <w:rFonts w:hint="eastAsia"/>
                <w:sz w:val="15"/>
                <w:szCs w:val="15"/>
                <w:lang w:val="en-US" w:eastAsia="zh-CN"/>
              </w:rPr>
              <w:t>北京市住房租赁条例</w:t>
            </w:r>
            <w:r>
              <w:rPr>
                <w:rFonts w:hint="default"/>
                <w:sz w:val="15"/>
                <w:szCs w:val="15"/>
                <w:lang w:val="en-US" w:eastAsia="zh-CN"/>
              </w:rPr>
              <w:t>&gt;</w:t>
            </w:r>
            <w:r>
              <w:rPr>
                <w:rFonts w:hint="eastAsia"/>
                <w:sz w:val="15"/>
                <w:szCs w:val="15"/>
                <w:lang w:val="en-US" w:eastAsia="zh-CN"/>
              </w:rPr>
              <w:t>行政处罚裁量基准的通知》（</w:t>
            </w:r>
            <w:r>
              <w:rPr>
                <w:rFonts w:ascii="微软雅黑" w:hAnsi="微软雅黑" w:eastAsia="微软雅黑" w:cs="微软雅黑"/>
                <w:i w:val="0"/>
                <w:iCs w:val="0"/>
                <w:caps w:val="0"/>
                <w:color w:val="333333"/>
                <w:spacing w:val="0"/>
                <w:sz w:val="14"/>
                <w:szCs w:val="14"/>
                <w:shd w:val="clear" w:fill="FFFFFF"/>
              </w:rPr>
              <w:t>京建法〔2022〕10号</w:t>
            </w:r>
            <w:r>
              <w:rPr>
                <w:rFonts w:hint="eastAsia"/>
                <w:sz w:val="15"/>
                <w:szCs w:val="15"/>
                <w:lang w:val="en-US" w:eastAsia="zh-CN"/>
              </w:rPr>
              <w:t>）</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15"/>
                <w:szCs w:val="15"/>
                <w:u w:val="none"/>
                <w:lang w:val="en-US" w:eastAsia="zh-CN" w:bidi="ar"/>
              </w:rPr>
            </w:pPr>
            <w:r>
              <w:rPr>
                <w:rFonts w:hint="default" w:ascii="宋体" w:hAnsi="宋体" w:cs="宋体"/>
                <w:i w:val="0"/>
                <w:color w:val="000000"/>
                <w:kern w:val="0"/>
                <w:sz w:val="15"/>
                <w:szCs w:val="15"/>
                <w:u w:val="none"/>
                <w:lang w:val="en-US" w:eastAsia="zh-CN" w:bidi="ar"/>
              </w:rPr>
              <w:t>1</w:t>
            </w:r>
          </w:p>
        </w:tc>
        <w:tc>
          <w:tcPr>
            <w:tcW w:w="930"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w:t>
            </w:r>
          </w:p>
        </w:tc>
        <w:tc>
          <w:tcPr>
            <w:tcW w:w="170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未按照规定出租住房</w:t>
            </w:r>
          </w:p>
        </w:tc>
        <w:tc>
          <w:tcPr>
            <w:tcW w:w="209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责令改正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restart"/>
            <w:tcBorders>
              <w:left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color w:val="000000"/>
                <w:kern w:val="0"/>
                <w:sz w:val="15"/>
                <w:szCs w:val="15"/>
                <w:u w:val="none"/>
                <w:lang w:val="en-US" w:eastAsia="zh-CN" w:bidi="ar"/>
              </w:rPr>
            </w:pPr>
            <w:r>
              <w:rPr>
                <w:rFonts w:hint="eastAsia" w:ascii="宋体" w:hAnsi="宋体" w:cs="宋体"/>
                <w:i w:val="0"/>
                <w:color w:val="000000"/>
                <w:kern w:val="0"/>
                <w:sz w:val="15"/>
                <w:szCs w:val="15"/>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在规定期限内改正，违法情节轻微</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对个人可处二千元以上四千元以下罚款，对单位可处二万元以上四万元以下罚款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在规定期限内改正，违法情节一般的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对个人可处四千元以上七千元以下罚款，对单位可处四万元以上七万元以下罚款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对个人可处七千元以上一万元以下罚款，对单位可处七万元以上十万元以下罚款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逾期3日内改正的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改正前停止出租，对个人处一万元以上二万元以下罚款，对单位处十万元以上二十万元以下罚款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逾期3日以上7日以内的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改正前停止出租，对个人处二万元以上四万元以下罚款，对单位处二十万元以上四十万元以下罚款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逾期7日以上或违法情节严重的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改正前停止出租，对个人处四万元以上五万元以下罚款，对单位处四十万元以上五十万元以下罚款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36个月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bookmarkEnd w:id="217"/>
    </w:tbl>
    <w:p>
      <w:pPr>
        <w:pStyle w:val="8"/>
      </w:pPr>
    </w:p>
    <w:p>
      <w:pPr>
        <w:pStyle w:val="2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B203EF"/>
    <w:rsid w:val="0EA6FEA5"/>
    <w:rsid w:val="0EC7610D"/>
    <w:rsid w:val="0EEE2A65"/>
    <w:rsid w:val="0F260DF9"/>
    <w:rsid w:val="0FBFF7C9"/>
    <w:rsid w:val="0FC138D0"/>
    <w:rsid w:val="0FD550EB"/>
    <w:rsid w:val="0FEFC186"/>
    <w:rsid w:val="1126007C"/>
    <w:rsid w:val="11443462"/>
    <w:rsid w:val="11AE7893"/>
    <w:rsid w:val="11BB0CCA"/>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B81E24"/>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DFC7DDF"/>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C0F1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C669F"/>
    <w:rsid w:val="4B5FD1C2"/>
    <w:rsid w:val="4B7E4857"/>
    <w:rsid w:val="4C9630E6"/>
    <w:rsid w:val="4D796D4B"/>
    <w:rsid w:val="4DA78014"/>
    <w:rsid w:val="4DD29871"/>
    <w:rsid w:val="4DEF0CAE"/>
    <w:rsid w:val="4DEFFB07"/>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DB479A"/>
    <w:rsid w:val="5DED387C"/>
    <w:rsid w:val="5DF5385C"/>
    <w:rsid w:val="5DF7A785"/>
    <w:rsid w:val="5DFDEB58"/>
    <w:rsid w:val="5DFE02C1"/>
    <w:rsid w:val="5E2FF403"/>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DC4B56"/>
    <w:rsid w:val="5FE744AA"/>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D2DA"/>
    <w:rsid w:val="5FFF5029"/>
    <w:rsid w:val="5FFFFC6E"/>
    <w:rsid w:val="617D4A6A"/>
    <w:rsid w:val="61B31169"/>
    <w:rsid w:val="61D35B82"/>
    <w:rsid w:val="62C73DF1"/>
    <w:rsid w:val="62CF0EFF"/>
    <w:rsid w:val="62FFDDCB"/>
    <w:rsid w:val="638377A8"/>
    <w:rsid w:val="63EB71E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D8961"/>
    <w:rsid w:val="67DE850A"/>
    <w:rsid w:val="67EAE887"/>
    <w:rsid w:val="694D1DDC"/>
    <w:rsid w:val="69774823"/>
    <w:rsid w:val="697E3C46"/>
    <w:rsid w:val="69BC06BD"/>
    <w:rsid w:val="69FE0A5F"/>
    <w:rsid w:val="6A3D2095"/>
    <w:rsid w:val="6A4515FF"/>
    <w:rsid w:val="6A723F09"/>
    <w:rsid w:val="6A7D6FBC"/>
    <w:rsid w:val="6A860352"/>
    <w:rsid w:val="6A8B0F56"/>
    <w:rsid w:val="6ABF683F"/>
    <w:rsid w:val="6ABFCBE9"/>
    <w:rsid w:val="6AEC4A2D"/>
    <w:rsid w:val="6AF57D44"/>
    <w:rsid w:val="6B7BBC6F"/>
    <w:rsid w:val="6BBE8DC3"/>
    <w:rsid w:val="6BDB9361"/>
    <w:rsid w:val="6BDC5CA0"/>
    <w:rsid w:val="6BDCF144"/>
    <w:rsid w:val="6BE73003"/>
    <w:rsid w:val="6BEFAF24"/>
    <w:rsid w:val="6BEFFBC2"/>
    <w:rsid w:val="6BF3BB87"/>
    <w:rsid w:val="6BFD7552"/>
    <w:rsid w:val="6BFE00A3"/>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A7572A"/>
    <w:rsid w:val="73B51EF9"/>
    <w:rsid w:val="73BB12E0"/>
    <w:rsid w:val="73D68846"/>
    <w:rsid w:val="73ED6581"/>
    <w:rsid w:val="73EFF68F"/>
    <w:rsid w:val="73F31CE6"/>
    <w:rsid w:val="73F67713"/>
    <w:rsid w:val="73FEF627"/>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6FF95A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AD4284"/>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5A78E"/>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626"/>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39406"/>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BFDA9B9"/>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7D4576"/>
    <w:rsid w:val="D787430D"/>
    <w:rsid w:val="D79D7F56"/>
    <w:rsid w:val="D7A7460B"/>
    <w:rsid w:val="D7DF94DA"/>
    <w:rsid w:val="D7E7FDB1"/>
    <w:rsid w:val="D7EB2526"/>
    <w:rsid w:val="D7EBD1A5"/>
    <w:rsid w:val="D7F62A5C"/>
    <w:rsid w:val="D7FDE049"/>
    <w:rsid w:val="D7FF623E"/>
    <w:rsid w:val="D8FD8BAE"/>
    <w:rsid w:val="D9EFD876"/>
    <w:rsid w:val="D9F6D5BA"/>
    <w:rsid w:val="DA9DC0C0"/>
    <w:rsid w:val="DA9FB462"/>
    <w:rsid w:val="DADB344B"/>
    <w:rsid w:val="DB370689"/>
    <w:rsid w:val="DB3F8FB7"/>
    <w:rsid w:val="DB5D723C"/>
    <w:rsid w:val="DB6FB61A"/>
    <w:rsid w:val="DB73D7DF"/>
    <w:rsid w:val="DB7920D3"/>
    <w:rsid w:val="DB7DAEAA"/>
    <w:rsid w:val="DBD34663"/>
    <w:rsid w:val="DBEAF5C3"/>
    <w:rsid w:val="DBEAFEFE"/>
    <w:rsid w:val="DBEB7774"/>
    <w:rsid w:val="DBFBF72A"/>
    <w:rsid w:val="DBFFA3A0"/>
    <w:rsid w:val="DBFFE62A"/>
    <w:rsid w:val="DCA61F6F"/>
    <w:rsid w:val="DCBE0BF0"/>
    <w:rsid w:val="DCEFDE86"/>
    <w:rsid w:val="DD36A020"/>
    <w:rsid w:val="DD7DD9E1"/>
    <w:rsid w:val="DD7F06CB"/>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7A1829"/>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DFCCE8"/>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FDB1E4"/>
    <w:rsid w:val="F552A8DB"/>
    <w:rsid w:val="F56B5BAD"/>
    <w:rsid w:val="F5729ABB"/>
    <w:rsid w:val="F57F4DA8"/>
    <w:rsid w:val="F58FFD66"/>
    <w:rsid w:val="F5B9D0C9"/>
    <w:rsid w:val="F5BDD1EE"/>
    <w:rsid w:val="F5CF8F43"/>
    <w:rsid w:val="F5E7485D"/>
    <w:rsid w:val="F5E78F19"/>
    <w:rsid w:val="F5EBBEC7"/>
    <w:rsid w:val="F5F58577"/>
    <w:rsid w:val="F5F7717B"/>
    <w:rsid w:val="F5F7CC98"/>
    <w:rsid w:val="F5F908CE"/>
    <w:rsid w:val="F5F91F09"/>
    <w:rsid w:val="F5FE5C2F"/>
    <w:rsid w:val="F5FFBB49"/>
    <w:rsid w:val="F62D44B6"/>
    <w:rsid w:val="F6BF00C6"/>
    <w:rsid w:val="F6F5656B"/>
    <w:rsid w:val="F6FA9E45"/>
    <w:rsid w:val="F6FBD95B"/>
    <w:rsid w:val="F6FD14F3"/>
    <w:rsid w:val="F6FFD7B4"/>
    <w:rsid w:val="F71E64CF"/>
    <w:rsid w:val="F73D9369"/>
    <w:rsid w:val="F73FC669"/>
    <w:rsid w:val="F7751416"/>
    <w:rsid w:val="F77570B5"/>
    <w:rsid w:val="F7767906"/>
    <w:rsid w:val="F7792F0B"/>
    <w:rsid w:val="F78FE489"/>
    <w:rsid w:val="F79B70F7"/>
    <w:rsid w:val="F79F3EE3"/>
    <w:rsid w:val="F7A7BE7D"/>
    <w:rsid w:val="F7B63B30"/>
    <w:rsid w:val="F7B77A11"/>
    <w:rsid w:val="F7BBDB1B"/>
    <w:rsid w:val="F7BBF1CE"/>
    <w:rsid w:val="F7BD39CA"/>
    <w:rsid w:val="F7BEC53E"/>
    <w:rsid w:val="F7CB21F0"/>
    <w:rsid w:val="F7CFDD56"/>
    <w:rsid w:val="F7D72319"/>
    <w:rsid w:val="F7D9F7D4"/>
    <w:rsid w:val="F7E9353E"/>
    <w:rsid w:val="F7ED4F59"/>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8BA7E3"/>
    <w:rsid w:val="FE9EA054"/>
    <w:rsid w:val="FEAF6FD6"/>
    <w:rsid w:val="FEAFA5FE"/>
    <w:rsid w:val="FEBFBEB7"/>
    <w:rsid w:val="FED20F90"/>
    <w:rsid w:val="FED6F92A"/>
    <w:rsid w:val="FEE79552"/>
    <w:rsid w:val="FEEF1E6E"/>
    <w:rsid w:val="FEEF70A3"/>
    <w:rsid w:val="FEF36EFC"/>
    <w:rsid w:val="FEF6CEFE"/>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58"/>
    <w:qFormat/>
    <w:uiPriority w:val="0"/>
    <w:pPr>
      <w:shd w:val="clear" w:color="auto" w:fill="000080"/>
    </w:pPr>
  </w:style>
  <w:style w:type="paragraph" w:styleId="7">
    <w:name w:val="annotation text"/>
    <w:basedOn w:val="1"/>
    <w:link w:val="33"/>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40"/>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4"/>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4"/>
    <w:link w:val="6"/>
    <w:qFormat/>
    <w:uiPriority w:val="0"/>
    <w:rPr>
      <w:kern w:val="2"/>
      <w:sz w:val="21"/>
      <w:szCs w:val="24"/>
      <w:shd w:val="clear" w:color="auto" w:fill="000080"/>
    </w:rPr>
  </w:style>
  <w:style w:type="character" w:customStyle="1" w:styleId="59">
    <w:name w:val="批注框文本 字符"/>
    <w:basedOn w:val="24"/>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137</Pages>
  <Words>124895</Words>
  <Characters>131914</Characters>
  <Lines>1186</Lines>
  <Paragraphs>334</Paragraphs>
  <TotalTime>2</TotalTime>
  <ScaleCrop>false</ScaleCrop>
  <LinksUpToDate>false</LinksUpToDate>
  <CharactersWithSpaces>134862</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2022-09-03T02:35:00Z</dcterms:created>
  <dc:creator>张通</dc:creator>
  <cp:lastModifiedBy>Administrator</cp:lastModifiedBy>
  <cp:lastPrinted>2024-09-05T23:37:00Z</cp:lastPrinted>
  <dcterms:modified xsi:type="dcterms:W3CDTF">2025-06-09T06:14:53Z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0B80440A2DE09F57AAA2A066EEE69FF8</vt:lpwstr>
  </property>
</Properties>
</file>