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0" w:firstLineChars="0"/>
        <w:jc w:val="center"/>
        <w:textAlignment w:val="auto"/>
        <w:outlineLvl w:val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</w:rPr>
        <w:t>北京市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lang w:eastAsia="zh-CN"/>
        </w:rPr>
        <w:t>门头沟区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</w:rPr>
        <w:t>国防动员办公室202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</w:rPr>
        <w:t>年度行政执法统计年报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</w:rPr>
        <w:t>一、执法主体情况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北京市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门头沟区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国防动员办公室（北京市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门头沟区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人民防空办公室）。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</w:rPr>
        <w:t>二、执法岗位设置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</w:rPr>
        <w:t>执法人员在岗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lang w:eastAsia="zh-CN"/>
        </w:rPr>
        <w:t>及执法力量头日情况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结合职权事项和执法实际，实际行政执法岗位是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val="en-US" w:eastAsia="zh-CN"/>
        </w:rPr>
        <w:t>3个，其中A类2个，B类1个。执法人员在岗5人，岗位人员关联率100%，A岗人员参与执法率100%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</w:rPr>
        <w:t>、政务服务事项的办理情况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我办行政职权事项共有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val="en-US" w:eastAsia="zh-CN"/>
        </w:rPr>
        <w:t>88项，包括行政许可8项，行政处罚78项，行政检查78项、其他类2项。年类共办理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政务服务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业务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val="en-US" w:eastAsia="zh-CN"/>
        </w:rPr>
        <w:t>158件，其中行政许可148件</w:t>
      </w:r>
      <w:bookmarkStart w:id="0" w:name="_GoBack"/>
      <w:bookmarkEnd w:id="0"/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其他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类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val="en-US" w:eastAsia="zh-CN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</w:rPr>
        <w:t>、执法检查计划执行情况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年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内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共开展行政检查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val="en-US" w:eastAsia="zh-CN"/>
        </w:rPr>
        <w:t>284件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人均检查量较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val="en-US" w:eastAsia="zh-CN"/>
        </w:rPr>
        <w:t>2023年指标降低34%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</w:rPr>
        <w:t>、行政处罚案件的办理情况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本机关202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年共作出行政处罚决定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</w:rPr>
        <w:t>、投诉、举报案件的受理和分类办理情况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年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类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共办理主任信箱加来电信件涉及信访投诉共计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件，通过“12345”平台反馈和承办的工单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件，均为“满意，已解决”。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lang w:eastAsia="zh-CN"/>
        </w:rPr>
        <w:t>七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</w:rPr>
        <w:t>、行政执法机关认为需要公示的其他情况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无。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480" w:firstLineChars="1400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门头沟区国防动员办公室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5120" w:firstLineChars="1600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val="en-US" w:eastAsia="zh-CN"/>
        </w:rPr>
        <w:t>2024年1月9日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BF0832"/>
    <w:rsid w:val="28541512"/>
    <w:rsid w:val="5EBF0832"/>
    <w:rsid w:val="7FDF0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区民防局</Company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2025-01-09T09:26:00Z</dcterms:created>
  <dc:creator>经办人</dc:creator>
  <cp:lastModifiedBy>sugon</cp:lastModifiedBy>
  <dcterms:modified xsi:type="dcterms:W3CDTF">2025-01-09T11:59:45Z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