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国防动员办公室双随机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检查事项清单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tbl>
      <w:tblPr>
        <w:tblStyle w:val="4"/>
        <w:tblW w:w="13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02"/>
        <w:gridCol w:w="1980"/>
        <w:gridCol w:w="6645"/>
        <w:gridCol w:w="1500"/>
        <w:gridCol w:w="142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57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66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抽查依据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抽查事项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抽查主体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4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对人防工程进行质量监督</w:t>
            </w:r>
          </w:p>
        </w:tc>
        <w:tc>
          <w:tcPr>
            <w:tcW w:w="664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《中华人民共和国人民防空法》《建设工程质量管理条例》《北京市人民防空条例》《北京市建设工程质量条例》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房屋建筑和市政基础设施工程质量监督管理规定》《人民防空工程建设管理规定》（〔2003]国人防办字第18号）和《北京市人民防空工程质量监督管理规定》（京人防发〔2019〕4号）、《北京市人民防空工程竣工验收办法》（京人防发〔2019〕119号）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区级审批人防工程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对人防工程进行质量监督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国防动员办公室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4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80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对群众防空组织进行专业训练情况监督检查</w:t>
            </w:r>
          </w:p>
        </w:tc>
        <w:tc>
          <w:tcPr>
            <w:tcW w:w="66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《北京市人民防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空条例》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区级人防专业队伍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对群众防空组织进行专业训练情况监督检查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国防动员办公室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4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对人防工程安全使用、维护管理的监督检查</w:t>
            </w:r>
          </w:p>
        </w:tc>
        <w:tc>
          <w:tcPr>
            <w:tcW w:w="66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《中华人民共和国人民防空法》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北京市人民防空条例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北京市人民防空工程建设与使用管理规定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》《北京市人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民防空工程和普通地下室安全使用管理办法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全区人防工程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对人防工程安全使用监督管理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/对人防工程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维护管理的监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门头沟区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国防动员办公室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</w:rPr>
      </w:pPr>
    </w:p>
    <w:p>
      <w:pPr>
        <w:rPr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CF"/>
    <w:rsid w:val="00227FCF"/>
    <w:rsid w:val="2549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区民防局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2024-11-27T04:10:00Z</dcterms:created>
  <dc:creator>经办人</dc:creator>
  <cp:lastModifiedBy>经办人</cp:lastModifiedBy>
  <dcterms:modified xsi:type="dcterms:W3CDTF">2024-11-27T04:43:08Z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