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lang w:val="en-US" w:eastAsia="zh-CN"/>
        </w:rPr>
      </w:pPr>
      <w:r>
        <w:rPr>
          <w:rFonts w:hint="eastAsia"/>
          <w:sz w:val="36"/>
          <w:szCs w:val="36"/>
          <w:lang w:val="en-US" w:eastAsia="zh-CN"/>
        </w:rPr>
        <w:t>行政处罚听证程序标准</w:t>
      </w:r>
    </w:p>
    <w:p>
      <w:pPr>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市场监督管理部门作出下列行政处罚决定之前，应当告知当事人有要求举行听证的权利：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（一）责令停产停业；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（二）吊销许可证或者执照；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（三）对自然人处以一万元以上、对法人或者其他组织处以十万元以上罚款;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（四）对自然人、法人或者其他组织作出没收违法所得和非法财物价值达到第三项所列数额的行政处罚。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5F71FE"/>
    <w:rsid w:val="545F71F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2020-06-03T02:32:00Z</dcterms:created>
  <dc:creator>unknown</dc:creator>
  <cp:lastModifiedBy>unknown</cp:lastModifiedBy>
  <dcterms:modified xsi:type="dcterms:W3CDTF">2020-06-03T02:33:34Z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ies>
</file>