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农业农村局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ind w:firstLine="640" w:firstLineChars="200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为深入推进依法行政，高质量完成全年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农业综合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执法工作，按照《北京市人民政府办公厅关于印发&lt;北京市行政执法公示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&gt;&lt;北京市行政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执法全过程记录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&gt;&lt;北京市</w:t>
      </w:r>
      <w:r>
        <w:rPr>
          <w:rFonts w:hint="eastAsia" w:ascii="仿宋_GB2312" w:hAnsi="仿宋_GB2312" w:eastAsia="仿宋_GB2312" w:cs="仿宋_GB2312"/>
          <w:sz w:val="32"/>
          <w:szCs w:val="32"/>
        </w:rPr>
        <w:t>重大执法决定法制审核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</w:rPr>
        <w:t>&gt;的通知》（京政办发〔20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〕1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号），结合我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执法检查工作实际，特制定202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年度行政执法检查工作计划</w:t>
      </w:r>
      <w:r>
        <w:rPr>
          <w:rFonts w:hint="eastAsia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一、检查主体及检查依据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检查主体为北京市门头沟区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农业农村局</w:t>
      </w:r>
      <w:r>
        <w:rPr>
          <w:rFonts w:hint="eastAsia" w:ascii="仿宋_GB2312" w:hAnsi="仿宋_GB2312" w:eastAsia="仿宋_GB2312" w:cs="仿宋_GB2312"/>
          <w:sz w:val="32"/>
          <w:szCs w:val="32"/>
        </w:rPr>
        <w:t>。检查依据为《中华人民共和国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动物防疫法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》《中华人民共和国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渔业法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《中华人民共和国种子法》《中华人民共和国农业机械化促进法》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中华人民共和国农产品质量安全法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兽药管理条例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《饲料和饲料添加剂管理条例》《农药管理条例》《肥料登记管理办法》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等法律法规。开展时间为202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月至12月。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二、检查方式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及检查项目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1.检查方式。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对纳入双随机检查的监管对象</w:t>
      </w:r>
      <w:r>
        <w:rPr>
          <w:rFonts w:hint="eastAsia" w:ascii="仿宋_GB2312" w:hAnsi="仿宋_GB2312" w:eastAsia="仿宋_GB2312" w:cs="仿宋_GB2312"/>
          <w:sz w:val="32"/>
          <w:szCs w:val="32"/>
        </w:rPr>
        <w:t>，采用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“双随机”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和部门联合“双随机”</w:t>
      </w:r>
      <w:r>
        <w:rPr>
          <w:rFonts w:hint="eastAsia" w:ascii="仿宋_GB2312" w:hAnsi="仿宋_GB2312" w:eastAsia="仿宋_GB2312" w:cs="仿宋_GB2312"/>
          <w:sz w:val="32"/>
          <w:szCs w:val="32"/>
        </w:rPr>
        <w:t>方式进行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检查；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市级统一部署的专项行动所对应的环节和监管对象采用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对举报案件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、上级交办案件</w:t>
      </w:r>
      <w:r>
        <w:rPr>
          <w:rFonts w:hint="eastAsia" w:ascii="仿宋_GB2312" w:hAnsi="仿宋_GB2312" w:eastAsia="仿宋_GB2312" w:cs="仿宋_GB2312"/>
          <w:sz w:val="32"/>
          <w:szCs w:val="32"/>
        </w:rPr>
        <w:t>等检查采用先立案后检查方式进行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；对未纳入双随机检查的监管对象，采用日常检查及区域巡查方式进行。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2.检查项目。检查项目见行政检查单。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三、管理对象基数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门头沟区农业综合执法重点监管对象共有1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家，其中畜禽规模养殖场1家，动物诊疗机构1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家，兽药经营企业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家，农产品质量安全检测机构1家，病原微生物实验室1家，饲料经营单位21家，农资生产经营门店12家，设施农业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家，农机维修企业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家，水产养殖户2家，渔具经营场所9家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，农产品生产经营企业（合作社）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四、检查比例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“双随机”检查比例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不低于</w:t>
      </w:r>
      <w:r>
        <w:rPr>
          <w:rFonts w:hint="eastAsia" w:ascii="仿宋_GB2312" w:hAnsi="仿宋_GB2312" w:eastAsia="仿宋_GB2312" w:cs="仿宋_GB2312"/>
          <w:sz w:val="32"/>
          <w:szCs w:val="32"/>
        </w:rPr>
        <w:t>统计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对象的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；部门联合“双随机”</w:t>
      </w:r>
      <w:r>
        <w:rPr>
          <w:rFonts w:hint="eastAsia" w:ascii="仿宋_GB2312" w:hAnsi="仿宋_GB2312" w:eastAsia="仿宋_GB2312" w:cs="仿宋_GB2312"/>
          <w:sz w:val="32"/>
          <w:szCs w:val="32"/>
        </w:rPr>
        <w:t>检查比例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不低于部门联合“双随机”监管对象库（许可类农业监管对象，主要以农资类、告知承诺类监管对象为主）中监管对象的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20%。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E67C7"/>
    <w:rsid w:val="049C6EDF"/>
    <w:rsid w:val="1FFF7C1A"/>
    <w:rsid w:val="287B0E3B"/>
    <w:rsid w:val="56776705"/>
    <w:rsid w:val="5C945643"/>
    <w:rsid w:val="69DE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2023-01-17T01:13:00Z</dcterms:created>
  <dc:creator>dell</dc:creator>
  <cp:lastModifiedBy>dell</cp:lastModifiedBy>
  <dcterms:modified xsi:type="dcterms:W3CDTF">2023-10-12T01:28:46Z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