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为深入推进依法行政，高质量完成全年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执法工作，按照《北京市人民政府办公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厅关于印发&lt;北京市行政执法公示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执法全过程记录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重大执法决定法制审核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&gt;的通知》（京政办发〔20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〕1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号），结合我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执法检查工作实际，特制定202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年度行政执法检查工作计划</w:t>
      </w:r>
      <w:r>
        <w:rPr>
          <w:rFonts w:hint="eastAsia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一、检查主体及检查依据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检查主体为北京市门头沟区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。检查依据为《中华人民共和国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动物防疫法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渔业法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《中华人民共和国种子法》《中华人民共和国农业机械化促进法》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中华人民共和国农产品质量安全法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兽药管理条例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《饲料和饲料添加剂管理条例》《农药管理条例》《肥料登记管理办法》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等法律法规。开展时间为202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月至12月。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二、检查方式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对纳入双随机检查的监管对象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，采用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市级统一部署的专项行动所对应的环节和监管对象采用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对举报案件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、上级交办案件</w:t>
      </w:r>
      <w:r>
        <w:rPr>
          <w:rFonts w:hint="eastAsia" w:ascii="仿宋_GB2312" w:hAnsi="仿宋_GB2312" w:eastAsia="仿宋_GB2312" w:cs="仿宋_GB2312"/>
          <w:sz w:val="32"/>
          <w:szCs w:val="32"/>
        </w:rPr>
        <w:t>等检查采用先立案后检查方式进行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；对未纳入双随机检查的监管对象，采用日常检查及区域巡查方式进行。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三、管理对象基数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门头沟区农业综合执法重点监管对象共有1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家，其中畜禽规模养殖场1家，动物诊疗机构1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家，兽药经营企业2家，农产品质量安全检测机构1家，病原微生物实验室1家，饲料经营单位21家，农资生产经营门店12家，设施农业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家，农机维修企业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家，水产养殖户2家，渔具经营场所9家。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四、检查比例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“双随机”检查比例达到统计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检查比例达到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部门联合“双随机”监管对象库（许可类农业监管对象，主要以农资类、告知承诺类监管对象为主）中监管对象的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20%。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658D4"/>
    <w:rsid w:val="03B46CF9"/>
    <w:rsid w:val="1914410C"/>
    <w:rsid w:val="215C57B8"/>
    <w:rsid w:val="293B3CB2"/>
    <w:rsid w:val="3ACE4735"/>
    <w:rsid w:val="5250221D"/>
    <w:rsid w:val="5676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2022-01-11T03:58:00Z</dcterms:created>
  <dc:creator>dell</dc:creator>
  <cp:lastModifiedBy>dell</cp:lastModifiedBy>
  <dcterms:modified xsi:type="dcterms:W3CDTF">2022-02-21T07:30:13Z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