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bCs/>
          <w:i w:val="0"/>
          <w:caps w:val="0"/>
          <w:color w:val="333333"/>
          <w:spacing w:val="0"/>
          <w:sz w:val="44"/>
          <w:szCs w:val="44"/>
          <w:shd w:val="clear" w:fill="FFFFFF"/>
        </w:rPr>
        <w:t>北京市殡葬管理条例</w:t>
      </w: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第三条　市民政局是本市殡葬管理的主管机关，负责本条例的组织实施。各区民政局负责本区的殡葬管理工作。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公安、工商行政、城市规划、房屋土地、卫生、环境保护等管理部门应当按照各自的职责，做好有关殡葬的管理工作。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第二十五条　违反本条例第六条、第十八条的规定，擅自兴建殡仪馆、火葬场、骨灰堂、殡仪服务站和公墓的，由民政部门会同规划、土地行政管理部门予以取缔，责令恢复原状，没收违法所得，可以并处违法所得1倍以上3倍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第二十九条　违反本条例第十三条的规定，未经批准开展殡仪服务业务的，由民政部门责令限期改正，没收违法所得，并处以1000元以上5000元以下的罚款。</w:t>
      </w: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bCs/>
          <w:i w:val="0"/>
          <w:caps w:val="0"/>
          <w:color w:val="333333"/>
          <w:spacing w:val="0"/>
          <w:sz w:val="44"/>
          <w:szCs w:val="44"/>
          <w:shd w:val="clear" w:fill="FFFFFF"/>
        </w:rPr>
        <w:t>社会团体登记管理条例</w:t>
      </w: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第三十二条　社会团体在申请登记时弄虚作假,骗取登记的,或者自取得《社会团体法人登记证书》之日起1年未开展活动的,由登记管理机关予以撤销登记。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第三十三条　社会团体有下列情形之一的,由登记管理机关给予警告,责令改正,可以限期停止活动,并可以责令撤换直接负责的主管人员；情节严重的,予以撤销登记；构成犯罪的,依法追究刑事责任：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（一）涂改、出租、出借《社会团体法人登记证书》,或者出租、出借社会团体印章的；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（二）超出章程规定的宗旨和业务范围进行活动的；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（三）拒不接受或者不按照规定接受监督检查的；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（四）不按照规定办理变更登记的；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（五）擅自设立分支机构、代表机构,或者对分支机构、代表机构疏于管理,造成严重后果的；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（六）从事营利性的经营活动的；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（七）侵占、私分、挪用社会团体资产或者所接受的捐赠、资助的；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（八）违反国家有关规定收取费用、筹集资金或者接受、使用捐赠、资助的。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前款规定的行为有违法经营额或者违法所得的,予以没收,可以并处违法经营额1倍以上3倍以下或者违法所得3倍以上5倍以下的罚款。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第三十四条　社会团体的活动违反其他法律、法规的,由有关国家机关依法处理；有关国家机关认为应当撤销登记的,由登记管理机关撤销登记。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第三十五条　未经批准,擅自开展社会团体筹备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第三十六条　社会团体被责令限期停止活动的,由登记管理机关封存《社会团体法人登记证书》、印章和财务凭证。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社会团体被撤销登记的,由登记管理机关收缴《社会团体法人登记证书》和印章。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bCs/>
          <w:i w:val="0"/>
          <w:caps w:val="0"/>
          <w:color w:val="333333"/>
          <w:spacing w:val="0"/>
          <w:sz w:val="44"/>
          <w:szCs w:val="44"/>
          <w:shd w:val="clear" w:fill="FFFFFF"/>
        </w:rPr>
        <w:t>民办非企业单位登记管理暂行条例</w:t>
      </w: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第二十四条　民办非企业单位在申请登记时弄虚作假,骗取登记的,或者业务主管单位撤销批准的,由登记管理机关予以撤销登记。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第二十五条　民办非企业单位有下列情形之一的,由登记管理机关予以警告,责令改正,可以限期停止活动；情节严重的,予以撤销登记；构成犯罪的,依法追究刑事责任：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（一）涂改、出租、出借民办非企业单位登记证书,或者出租、出借民办非企业单位印章的；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（二）超出其章程规定的宗旨和业务范围进行活动的；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（三）拒不接受或者不按照规定接受监督检查的；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（四）不按照规定办理变更登记的；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（五）设立分支机构的；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（六）从事营利性的经营活动的；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（七）侵占、私分、挪用民办非企业单位的资产或者所接受的捐赠、资助的；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（八）违反国家有关规定收取费用、筹集资金或者接受使用捐赠、资助的。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前款规定的行为有违法经营额或者违法所得的,予以没收,可以并处违法经营额1倍以上3倍以下或者违法所得3倍以上5倍以下的罚款。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第二十六条　民办非企业单位的活动违反其他法律、法规的,由有关国家机关依法处理；有关国家机关认为应当撤销登记的,由登记管理机关撤销登记。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第二十七条　未经登记,擅自以民办非企业单位名义进行活动的,或者被撤销登记的民办非企业单位继续以民办非企业单位名义进行活动的,由登记管理机关予以取缔,没收非法财产；构成犯罪的,依法追究刑事责任；尚不构成犯罪的,依法给予治安管理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第二十八条　民办非企业单位被限期停止活动的,由登记管理机关封存其登记证书、印章和财务凭证。　民办非企业单位被撤销登记的,由登记管理机关收缴登记证书和印章。</w:t>
      </w:r>
    </w:p>
    <w:p/>
    <w:p/>
    <w:p/>
    <w:p/>
    <w:p/>
    <w:p/>
    <w:p/>
    <w:p/>
    <w:p/>
    <w:p/>
    <w:p/>
    <w:p/>
    <w:p/>
    <w:p/>
    <w:p/>
    <w:p/>
    <w:p/>
    <w:p/>
    <w:p/>
    <w:p/>
    <w:p/>
    <w:p/>
    <w:p/>
    <w:p/>
    <w:p/>
    <w:p/>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bCs/>
          <w:i w:val="0"/>
          <w:caps w:val="0"/>
          <w:color w:val="333333"/>
          <w:spacing w:val="0"/>
          <w:sz w:val="44"/>
          <w:szCs w:val="44"/>
          <w:shd w:val="clear" w:fill="FFFFFF"/>
        </w:rPr>
        <w:t>城市居民最低生活保障条例</w:t>
      </w: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仿宋_GB2312" w:eastAsia="仿宋_GB2312" w:cs="仿宋_GB2312"/>
          <w:i w:val="0"/>
          <w:caps w:val="0"/>
          <w:color w:val="333333"/>
          <w:spacing w:val="0"/>
          <w:sz w:val="32"/>
          <w:szCs w:val="32"/>
          <w:shd w:val="clear" w:fill="FFFFFF"/>
        </w:rPr>
      </w:pPr>
    </w:p>
    <w:p>
      <w:pPr>
        <w:ind w:firstLine="640" w:firstLineChars="200"/>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第十四条　享受城市居民最低生活保障待遇的城市居民有下列行为之一的，由县级人民政府民政部门给予批评教育或者警告，追回其冒领的城市居民最低生 活保障款物；情节恶劣的，处冒领金额1倍以上 3倍以下的罚款： 　　</w:t>
      </w:r>
    </w:p>
    <w:p>
      <w:pPr>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rPr>
        <w:t>（一）采取虚报、隐瞒、伪造等手段，骗取享受城市居民最低生活保障待遇的； 　　</w:t>
      </w:r>
    </w:p>
    <w:p>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val="en-US" w:eastAsia="zh-CN"/>
        </w:rPr>
        <w:t xml:space="preserve">  </w:t>
      </w:r>
      <w:bookmarkStart w:id="0" w:name="_GoBack"/>
      <w:bookmarkEnd w:id="0"/>
      <w:r>
        <w:rPr>
          <w:rFonts w:hint="eastAsia" w:ascii="仿宋_GB2312" w:hAnsi="仿宋_GB2312" w:eastAsia="仿宋_GB2312" w:cs="仿宋_GB2312"/>
          <w:i w:val="0"/>
          <w:caps w:val="0"/>
          <w:color w:val="333333"/>
          <w:spacing w:val="0"/>
          <w:sz w:val="32"/>
          <w:szCs w:val="32"/>
          <w:shd w:val="clear" w:fill="FFFFFF"/>
        </w:rPr>
        <w:t>（二）在享受城市居民最低生活保障待遇期间家庭收入情况好转，不按规定告知管理审批机关，继续享受城市居民最低生活保障待遇的。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Y2E2YjVkYzVhNmY3YWMzMGI2Y2E0ZThmNzkxZGQifQ=="/>
  </w:docVars>
  <w:rsids>
    <w:rsidRoot w:val="00000000"/>
    <w:rsid w:val="14D658A2"/>
    <w:rsid w:val="60186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1668</Words>
  <Characters>1674</Characters>
  <Lines>0</Lines>
  <Paragraphs>0</Paragraphs>
  <TotalTime>0</TotalTime>
  <ScaleCrop>false</ScaleCrop>
  <LinksUpToDate>false</LinksUpToDate>
  <CharactersWithSpaces>1688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2023-06-19T08:30:00Z</dcterms:created>
  <dc:creator>admin</dc:creator>
  <cp:lastModifiedBy>无机</cp:lastModifiedBy>
  <dcterms:modified xsi:type="dcterms:W3CDTF">2023-06-19T09:02:40Z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4E8E4A835838456AA243D7F5CB58E9FA_12</vt:lpwstr>
  </property>
</Properties>
</file>