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404040"/>
          <w:spacing w:val="0"/>
          <w:sz w:val="42"/>
          <w:szCs w:val="42"/>
          <w:shd w:val="clear" w:fill="FFFFFF"/>
        </w:rPr>
      </w:pPr>
      <w:r>
        <w:rPr>
          <w:rFonts w:hint="eastAsia" w:ascii="微软雅黑" w:hAnsi="微软雅黑" w:eastAsia="微软雅黑" w:cs="微软雅黑"/>
          <w:i w:val="0"/>
          <w:caps w:val="0"/>
          <w:color w:val="404040"/>
          <w:spacing w:val="0"/>
          <w:sz w:val="42"/>
          <w:szCs w:val="42"/>
          <w:shd w:val="clear" w:fill="FFFFFF"/>
          <w:lang w:val="en-US" w:eastAsia="zh-CN"/>
        </w:rPr>
        <w:t>北京市门头沟区发展和改革委员会</w:t>
      </w:r>
      <w:bookmarkStart w:id="0" w:name="_GoBack"/>
      <w:bookmarkEnd w:id="0"/>
      <w:r>
        <w:rPr>
          <w:rFonts w:ascii="微软雅黑" w:hAnsi="微软雅黑" w:eastAsia="微软雅黑" w:cs="微软雅黑"/>
          <w:i w:val="0"/>
          <w:caps w:val="0"/>
          <w:color w:val="404040"/>
          <w:spacing w:val="0"/>
          <w:sz w:val="42"/>
          <w:szCs w:val="42"/>
          <w:shd w:val="clear" w:fill="FFFFFF"/>
        </w:rPr>
        <w:t>双随机抽查事项清单</w:t>
      </w:r>
    </w:p>
    <w:tbl>
      <w:tblPr>
        <w:tblStyle w:val="5"/>
        <w:tblW w:w="1410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397"/>
        <w:gridCol w:w="1605"/>
        <w:gridCol w:w="1444"/>
        <w:gridCol w:w="748"/>
        <w:gridCol w:w="1200"/>
        <w:gridCol w:w="1625"/>
        <w:gridCol w:w="1229"/>
        <w:gridCol w:w="4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jc w:val="center"/>
        </w:trPr>
        <w:tc>
          <w:tcPr>
            <w:tcW w:w="1397"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序号</w:t>
            </w:r>
          </w:p>
        </w:tc>
        <w:tc>
          <w:tcPr>
            <w:tcW w:w="3049" w:type="dxa"/>
            <w:gridSpan w:val="2"/>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抽查项目</w:t>
            </w:r>
          </w:p>
        </w:tc>
        <w:tc>
          <w:tcPr>
            <w:tcW w:w="748"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检查对象</w:t>
            </w:r>
          </w:p>
        </w:tc>
        <w:tc>
          <w:tcPr>
            <w:tcW w:w="120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事项类别</w:t>
            </w:r>
          </w:p>
        </w:tc>
        <w:tc>
          <w:tcPr>
            <w:tcW w:w="1625"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检查方式</w:t>
            </w:r>
          </w:p>
        </w:tc>
        <w:tc>
          <w:tcPr>
            <w:tcW w:w="1229"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检查主体</w:t>
            </w:r>
          </w:p>
        </w:tc>
        <w:tc>
          <w:tcPr>
            <w:tcW w:w="4860" w:type="dxa"/>
            <w:vMerge w:val="restart"/>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检查依据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jc w:val="center"/>
        </w:trPr>
        <w:tc>
          <w:tcPr>
            <w:tcW w:w="1397"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抽查类别</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Style w:val="4"/>
                <w:rFonts w:hint="eastAsia" w:ascii="仿宋_GB2312" w:hAnsi="仿宋_GB2312" w:eastAsia="仿宋_GB2312" w:cs="仿宋_GB2312"/>
                <w:i w:val="0"/>
                <w:caps w:val="0"/>
                <w:color w:val="000000"/>
                <w:spacing w:val="0"/>
                <w:kern w:val="0"/>
                <w:sz w:val="24"/>
                <w:szCs w:val="24"/>
                <w:lang w:val="en-US" w:eastAsia="zh-CN" w:bidi="ar"/>
              </w:rPr>
              <w:t>抽查事项</w:t>
            </w:r>
          </w:p>
        </w:tc>
        <w:tc>
          <w:tcPr>
            <w:tcW w:w="748"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120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1625"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1229"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c>
          <w:tcPr>
            <w:tcW w:w="4860" w:type="dxa"/>
            <w:vMerge w:val="continue"/>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kinsoku/>
              <w:overflowPunct/>
              <w:topLinePunct w:val="0"/>
              <w:autoSpaceDE/>
              <w:autoSpaceDN/>
              <w:bidi w:val="0"/>
              <w:adjustRightInd/>
              <w:snapToGrid/>
              <w:spacing w:line="360" w:lineRule="exact"/>
              <w:jc w:val="center"/>
              <w:textAlignment w:val="auto"/>
              <w:outlineLvl w:val="9"/>
              <w:rPr>
                <w:rFonts w:hint="eastAsia" w:ascii="仿宋_GB2312" w:hAnsi="仿宋_GB2312" w:eastAsia="仿宋_GB2312" w:cs="仿宋_GB2312"/>
                <w:i w:val="0"/>
                <w:caps w:val="0"/>
                <w:color w:val="404040"/>
                <w:spacing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826"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1</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对节能法律、法规和节能标准执行情况的行政检查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对节能法律、法规和节能标准执行情况的行政检查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40404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1.《中华人民共和国节约能源法》(中华人民共和国主席令第77号)</w:t>
            </w:r>
            <w:r>
              <w:rPr>
                <w:rFonts w:hint="eastAsia" w:ascii="仿宋_GB2312" w:hAnsi="仿宋_GB2312" w:eastAsia="仿宋_GB2312" w:cs="仿宋_GB2312"/>
                <w:i w:val="0"/>
                <w:caps w:val="0"/>
                <w:color w:val="000000"/>
                <w:spacing w:val="0"/>
                <w:kern w:val="0"/>
                <w:sz w:val="24"/>
                <w:szCs w:val="24"/>
                <w:lang w:val="en-US" w:eastAsia="zh-CN" w:bidi="ar"/>
              </w:rPr>
              <w:br w:type="textWrapping"/>
            </w:r>
            <w:r>
              <w:rPr>
                <w:rFonts w:hint="eastAsia" w:ascii="仿宋_GB2312" w:hAnsi="仿宋_GB2312" w:eastAsia="仿宋_GB2312" w:cs="仿宋_GB2312"/>
                <w:i w:val="0"/>
                <w:caps w:val="0"/>
                <w:color w:val="000000"/>
                <w:spacing w:val="0"/>
                <w:kern w:val="0"/>
                <w:sz w:val="24"/>
                <w:szCs w:val="24"/>
                <w:lang w:val="en-US" w:eastAsia="zh-CN" w:bidi="ar"/>
              </w:rPr>
              <w:t>2.《北京市实施中华人民共和国节约能源法办法》(北京市第十一届人民代表大会常务委员会第十三次会议通过；北京市第十三届人民代表大会常务委员会第十八次会议修订)</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3.《节能监察办法》（国家发展和改革委员会令第33号 ）</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4.《固定资产投资项目节能审查办法》（国家发展改革委2016年令第44号）</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aps w:val="0"/>
                <w:color w:val="000000"/>
                <w:spacing w:val="0"/>
                <w:kern w:val="0"/>
                <w:sz w:val="24"/>
                <w:szCs w:val="24"/>
                <w:lang w:val="en-US" w:eastAsia="zh-CN" w:bidi="ar"/>
              </w:rPr>
              <w:t>5.《北京市节能监察办法》（北京市人民政府令第174号）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81"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2</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对本市有关建设项目招投标活动的行政检查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对本市有关建设项目招投标活动的行政检查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40404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1.《中华人民共和国招标投标法》(中华人民共和国主席令第86号）</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2.《中华人民共和国招标投标法实施条例》（中华人民共和国国务院令第613号）</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3.《北京市招标投标例》(2002年9月6日北京市第十一届人民代表大会常务委员会第36次会议通过；根据2010年12月23日北京市第十三届人民代表大会常务委员会第22次会议《关于修改部分地方性法规的决定》修正）</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4.《中共北京市委机构编制委员会办公室北京市发展和改革委员会关于印发&lt;关于进一步明确市政府有关部门实施公共资源交易活动监督管理职责分工的通知&gt;的通知》（京编办发〔2022〕4号）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561"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3</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对政府固定资产投资项目的行政检查检查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对政府固定资产投资项目的行政检查检查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40404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《政府投资条例》(国务院令第712号)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906"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4</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对企业投资建设固定资产投资项目相关行为的行政检查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对企业投资建设固定资产投资项目相关行为的行政检查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40404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1.《企业投资项目核准和备案管理条例》（中华人民共和国国务院令第673号 ）</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000000"/>
                <w:spacing w:val="0"/>
                <w:kern w:val="0"/>
                <w:sz w:val="24"/>
                <w:szCs w:val="24"/>
                <w:lang w:val="en-US" w:eastAsia="zh-CN" w:bidi="ar"/>
              </w:rPr>
            </w:pPr>
            <w:r>
              <w:rPr>
                <w:rFonts w:hint="eastAsia" w:ascii="仿宋_GB2312" w:hAnsi="仿宋_GB2312" w:eastAsia="仿宋_GB2312" w:cs="仿宋_GB2312"/>
                <w:i w:val="0"/>
                <w:caps w:val="0"/>
                <w:color w:val="000000"/>
                <w:spacing w:val="0"/>
                <w:kern w:val="0"/>
                <w:sz w:val="24"/>
                <w:szCs w:val="24"/>
                <w:lang w:val="en-US" w:eastAsia="zh-CN" w:bidi="ar"/>
              </w:rPr>
              <w:t>2.《企业投资项目核准和备案管理办法》（中华人民共和国国家发展和改革委员会令第 2 号 ）</w:t>
            </w:r>
          </w:p>
          <w:p>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i w:val="0"/>
                <w:caps w:val="0"/>
                <w:color w:val="000000"/>
                <w:spacing w:val="0"/>
                <w:kern w:val="0"/>
                <w:sz w:val="24"/>
                <w:szCs w:val="24"/>
                <w:lang w:val="en-US" w:eastAsia="zh-CN" w:bidi="ar"/>
              </w:rPr>
              <w:t>3.《企业投资项目事中事后监管办法》（中华人民共和国国家发展和改革委员会令第14号）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381" w:hRule="atLeast"/>
          <w:jc w:val="center"/>
        </w:trPr>
        <w:tc>
          <w:tcPr>
            <w:tcW w:w="1397"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5</w:t>
            </w:r>
          </w:p>
        </w:tc>
        <w:tc>
          <w:tcPr>
            <w:tcW w:w="160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对申报外商投资项目核准或备案的项目单位的行政检查</w:t>
            </w:r>
          </w:p>
        </w:tc>
        <w:tc>
          <w:tcPr>
            <w:tcW w:w="1444"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对申报外商投资项目核准或备案的项目单位的行政检查</w:t>
            </w:r>
          </w:p>
        </w:tc>
        <w:tc>
          <w:tcPr>
            <w:tcW w:w="748"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法人</w:t>
            </w:r>
          </w:p>
        </w:tc>
        <w:tc>
          <w:tcPr>
            <w:tcW w:w="120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一般检查事项</w:t>
            </w:r>
          </w:p>
        </w:tc>
        <w:tc>
          <w:tcPr>
            <w:tcW w:w="1625"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现场检查和在线监管</w:t>
            </w:r>
          </w:p>
        </w:tc>
        <w:tc>
          <w:tcPr>
            <w:tcW w:w="1229"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center"/>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市、区发展改革委</w:t>
            </w:r>
          </w:p>
        </w:tc>
        <w:tc>
          <w:tcPr>
            <w:tcW w:w="4860" w:type="dxa"/>
            <w:tcBorders>
              <w:top w:val="single" w:color="000000" w:sz="6" w:space="0"/>
              <w:left w:val="single" w:color="000000" w:sz="6" w:space="0"/>
              <w:bottom w:val="single" w:color="000000" w:sz="6" w:space="0"/>
              <w:right w:val="single" w:color="000000" w:sz="6" w:space="0"/>
            </w:tcBorders>
            <w:shd w:val="clear" w:color="auto" w:fill="FFFFFF"/>
            <w:tcMar>
              <w:top w:w="75" w:type="dxa"/>
              <w:left w:w="75" w:type="dxa"/>
              <w:bottom w:w="75" w:type="dxa"/>
              <w:right w:w="75" w:type="dxa"/>
            </w:tcMar>
            <w:vAlign w:val="center"/>
          </w:tcPr>
          <w:p>
            <w:pPr>
              <w:keepNext w:val="0"/>
              <w:keepLines w:val="0"/>
              <w:pageBreakBefore w:val="0"/>
              <w:widowControl/>
              <w:suppressLineNumbers w:val="0"/>
              <w:kinsoku/>
              <w:overflowPunct/>
              <w:topLinePunct w:val="0"/>
              <w:autoSpaceDE/>
              <w:autoSpaceDN/>
              <w:bidi w:val="0"/>
              <w:adjustRightInd/>
              <w:snapToGrid/>
              <w:spacing w:before="0" w:beforeAutospacing="0" w:after="0" w:afterAutospacing="0" w:line="360" w:lineRule="exact"/>
              <w:ind w:left="0" w:right="0" w:firstLine="0"/>
              <w:jc w:val="left"/>
              <w:textAlignment w:val="auto"/>
              <w:outlineLvl w:val="9"/>
              <w:rPr>
                <w:rFonts w:hint="eastAsia" w:ascii="仿宋_GB2312" w:hAnsi="仿宋_GB2312" w:eastAsia="仿宋_GB2312" w:cs="仿宋_GB2312"/>
                <w:i w:val="0"/>
                <w:caps w:val="0"/>
                <w:color w:val="404040"/>
                <w:spacing w:val="0"/>
                <w:sz w:val="24"/>
                <w:szCs w:val="24"/>
              </w:rPr>
            </w:pPr>
            <w:r>
              <w:rPr>
                <w:rFonts w:hint="eastAsia" w:ascii="仿宋_GB2312" w:hAnsi="仿宋_GB2312" w:eastAsia="仿宋_GB2312" w:cs="仿宋_GB2312"/>
                <w:i w:val="0"/>
                <w:caps w:val="0"/>
                <w:color w:val="000000"/>
                <w:spacing w:val="0"/>
                <w:kern w:val="0"/>
                <w:sz w:val="24"/>
                <w:szCs w:val="24"/>
                <w:lang w:val="en-US" w:eastAsia="zh-CN" w:bidi="ar"/>
              </w:rPr>
              <w:t>《外商投资项目核准和备案管理办法》（国家发展改革委令第12号）</w:t>
            </w:r>
          </w:p>
        </w:tc>
      </w:tr>
    </w:tbl>
    <w:p>
      <w:pPr>
        <w:jc w:val="center"/>
        <w:rPr>
          <w:rFonts w:ascii="微软雅黑" w:hAnsi="微软雅黑" w:eastAsia="微软雅黑" w:cs="微软雅黑"/>
          <w:i w:val="0"/>
          <w:caps w:val="0"/>
          <w:color w:val="404040"/>
          <w:spacing w:val="0"/>
          <w:sz w:val="40"/>
          <w:szCs w:val="40"/>
          <w:shd w:val="clear" w:fill="FFFFFF"/>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2213EA"/>
    <w:rsid w:val="0E2213EA"/>
    <w:rsid w:val="12BC6AFD"/>
    <w:rsid w:val="53991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2023-06-05T09:24:00Z</dcterms:created>
  <dc:creator>福蒙蒙</dc:creator>
  <cp:lastModifiedBy>福蒙蒙</cp:lastModifiedBy>
  <dcterms:modified xsi:type="dcterms:W3CDTF">2023-06-06T08:44:13Z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